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Use these links to rapidly review the document</w:t>
      </w:r>
    </w:p>
    <w:p>
      <w:pPr>
        <w:spacing w:after="0" w:line="8" w:lineRule="exact"/>
        <w:rPr>
          <w:sz w:val="24"/>
          <w:szCs w:val="24"/>
          <w:color w:val="auto"/>
        </w:rPr>
      </w:pPr>
    </w:p>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01" w:lineRule="exact"/>
        <w:rPr>
          <w:sz w:val="24"/>
          <w:szCs w:val="24"/>
          <w:color w:val="auto"/>
        </w:rPr>
      </w:pPr>
    </w:p>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72466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pacing w:after="0" w:line="200" w:lineRule="exact"/>
        <w:rPr>
          <w:sz w:val="24"/>
          <w:szCs w:val="24"/>
          <w:color w:val="auto"/>
        </w:rPr>
      </w:pPr>
    </w:p>
    <w:p>
      <w:pPr>
        <w:spacing w:after="0" w:line="256"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UNITED STATES</w:t>
      </w:r>
    </w:p>
    <w:p>
      <w:pPr>
        <w:spacing w:after="0" w:line="33"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SECURITIES AND EXCHANGE COMMISSION</w:t>
      </w:r>
    </w:p>
    <w:p>
      <w:pPr>
        <w:spacing w:after="0" w:line="7"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2680970</wp:posOffset>
            </wp:positionH>
            <wp:positionV relativeFrom="paragraph">
              <wp:posOffset>139700</wp:posOffset>
            </wp:positionV>
            <wp:extent cx="189547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89547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12"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2680970</wp:posOffset>
            </wp:positionH>
            <wp:positionV relativeFrom="paragraph">
              <wp:posOffset>161290</wp:posOffset>
            </wp:positionV>
            <wp:extent cx="189547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9547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52" w:lineRule="exact"/>
        <w:rPr>
          <w:sz w:val="24"/>
          <w:szCs w:val="24"/>
          <w:color w:val="auto"/>
        </w:rPr>
      </w:pPr>
    </w:p>
    <w:p>
      <w:pPr>
        <w:ind w:left="1140" w:right="100" w:hanging="740"/>
        <w:spacing w:after="0" w:line="256" w:lineRule="auto"/>
        <w:tabs>
          <w:tab w:leader="none" w:pos="114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203"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For the Quarterly Period Ended September 30, 2010</w:t>
      </w:r>
    </w:p>
    <w:p>
      <w:pPr>
        <w:spacing w:after="0" w:line="252"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or</w:t>
      </w:r>
    </w:p>
    <w:p>
      <w:pPr>
        <w:spacing w:after="0" w:line="239" w:lineRule="exact"/>
        <w:rPr>
          <w:sz w:val="24"/>
          <w:szCs w:val="24"/>
          <w:color w:val="auto"/>
        </w:rPr>
      </w:pPr>
    </w:p>
    <w:p>
      <w:pPr>
        <w:ind w:left="1140" w:right="80" w:hanging="700"/>
        <w:spacing w:after="0" w:line="256" w:lineRule="auto"/>
        <w:tabs>
          <w:tab w:leader="none" w:pos="1140" w:val="left"/>
        </w:tabs>
        <w:numPr>
          <w:ilvl w:val="0"/>
          <w:numId w:val="2"/>
        </w:numPr>
        <w:rPr>
          <w:rFonts w:ascii="Arial" w:cs="Arial" w:eastAsia="Arial" w:hAnsi="Arial"/>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203" w:lineRule="exact"/>
        <w:rPr>
          <w:sz w:val="24"/>
          <w:szCs w:val="24"/>
          <w:color w:val="auto"/>
        </w:rPr>
      </w:pPr>
    </w:p>
    <w:p>
      <w:pPr>
        <w:ind w:left="3260"/>
        <w:spacing w:after="0"/>
        <w:tabs>
          <w:tab w:leader="none" w:pos="678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4"/>
          <w:szCs w:val="14"/>
          <w:b w:val="1"/>
          <w:bCs w:val="1"/>
          <w:color w:val="auto"/>
        </w:rPr>
        <w:t>to</w:t>
      </w:r>
    </w:p>
    <w:p>
      <w:pPr>
        <w:spacing w:after="0" w:line="225"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Commission File No. 001-34063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2680970</wp:posOffset>
            </wp:positionH>
            <wp:positionV relativeFrom="paragraph">
              <wp:posOffset>152400</wp:posOffset>
            </wp:positionV>
            <wp:extent cx="189547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89547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32"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TREE.COM, INC.</w:t>
      </w:r>
    </w:p>
    <w:p>
      <w:pPr>
        <w:spacing w:after="0" w:line="43"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(Exact name of Registrant as specified in its charter)</w:t>
      </w:r>
    </w:p>
    <w:p>
      <w:pPr>
        <w:spacing w:after="0" w:line="205" w:lineRule="exact"/>
        <w:rPr>
          <w:sz w:val="24"/>
          <w:szCs w:val="24"/>
          <w:color w:val="auto"/>
        </w:rPr>
      </w:pPr>
    </w:p>
    <w:tbl>
      <w:tblPr>
        <w:tblLayout w:type="fixed"/>
        <w:tblInd w:w="3540" w:type="dxa"/>
        <w:tblCellMar>
          <w:top w:w="0" w:type="dxa"/>
          <w:left w:w="0" w:type="dxa"/>
          <w:bottom w:w="0" w:type="dxa"/>
          <w:right w:w="0" w:type="dxa"/>
        </w:tblCellMar>
      </w:tblPr>
      <w:tr>
        <w:trPr>
          <w:trHeight w:val="222"/>
        </w:trPr>
        <w:tc>
          <w:tcPr>
            <w:tcW w:w="2360" w:type="dxa"/>
            <w:vAlign w:val="bottom"/>
          </w:tcPr>
          <w:p>
            <w:pPr>
              <w:jc w:val="center"/>
              <w:ind w:right="232"/>
              <w:spacing w:after="0"/>
              <w:rPr>
                <w:sz w:val="20"/>
                <w:szCs w:val="20"/>
                <w:color w:val="auto"/>
              </w:rPr>
            </w:pPr>
            <w:r>
              <w:rPr>
                <w:rFonts w:ascii="Arial" w:cs="Arial" w:eastAsia="Arial" w:hAnsi="Arial"/>
                <w:sz w:val="18"/>
                <w:szCs w:val="18"/>
                <w:b w:val="1"/>
                <w:bCs w:val="1"/>
                <w:color w:val="auto"/>
                <w:w w:val="91"/>
              </w:rPr>
              <w:t>Delaware</w:t>
            </w:r>
          </w:p>
        </w:tc>
        <w:tc>
          <w:tcPr>
            <w:tcW w:w="1620" w:type="dxa"/>
            <w:vAlign w:val="bottom"/>
          </w:tcPr>
          <w:p>
            <w:pPr>
              <w:jc w:val="center"/>
              <w:ind w:left="232"/>
              <w:spacing w:after="0"/>
              <w:rPr>
                <w:sz w:val="20"/>
                <w:szCs w:val="20"/>
                <w:color w:val="auto"/>
              </w:rPr>
            </w:pPr>
            <w:r>
              <w:rPr>
                <w:rFonts w:ascii="Arial" w:cs="Arial" w:eastAsia="Arial" w:hAnsi="Arial"/>
                <w:sz w:val="18"/>
                <w:szCs w:val="18"/>
                <w:b w:val="1"/>
                <w:bCs w:val="1"/>
                <w:color w:val="auto"/>
                <w:w w:val="89"/>
              </w:rPr>
              <w:t>26-2414818</w:t>
            </w:r>
          </w:p>
        </w:tc>
      </w:tr>
      <w:tr>
        <w:trPr>
          <w:trHeight w:val="216"/>
        </w:trPr>
        <w:tc>
          <w:tcPr>
            <w:tcW w:w="2360" w:type="dxa"/>
            <w:vAlign w:val="bottom"/>
          </w:tcPr>
          <w:p>
            <w:pPr>
              <w:jc w:val="center"/>
              <w:ind w:right="232"/>
              <w:spacing w:after="0"/>
              <w:rPr>
                <w:sz w:val="20"/>
                <w:szCs w:val="20"/>
                <w:color w:val="auto"/>
              </w:rPr>
            </w:pPr>
            <w:r>
              <w:rPr>
                <w:rFonts w:ascii="Arial" w:cs="Arial" w:eastAsia="Arial" w:hAnsi="Arial"/>
                <w:sz w:val="18"/>
                <w:szCs w:val="18"/>
                <w:color w:val="auto"/>
                <w:w w:val="90"/>
              </w:rPr>
              <w:t>(State or other jurisdiction of</w:t>
            </w:r>
          </w:p>
        </w:tc>
        <w:tc>
          <w:tcPr>
            <w:tcW w:w="1620" w:type="dxa"/>
            <w:vAlign w:val="bottom"/>
          </w:tcPr>
          <w:p>
            <w:pPr>
              <w:jc w:val="center"/>
              <w:ind w:left="212"/>
              <w:spacing w:after="0"/>
              <w:rPr>
                <w:sz w:val="20"/>
                <w:szCs w:val="20"/>
                <w:color w:val="auto"/>
              </w:rPr>
            </w:pPr>
            <w:r>
              <w:rPr>
                <w:rFonts w:ascii="Arial" w:cs="Arial" w:eastAsia="Arial" w:hAnsi="Arial"/>
                <w:sz w:val="18"/>
                <w:szCs w:val="18"/>
                <w:color w:val="auto"/>
                <w:w w:val="90"/>
              </w:rPr>
              <w:t>(I.R.S. Employer</w:t>
            </w:r>
          </w:p>
        </w:tc>
      </w:tr>
      <w:tr>
        <w:trPr>
          <w:trHeight w:val="216"/>
        </w:trPr>
        <w:tc>
          <w:tcPr>
            <w:tcW w:w="2360" w:type="dxa"/>
            <w:vAlign w:val="bottom"/>
          </w:tcPr>
          <w:p>
            <w:pPr>
              <w:jc w:val="center"/>
              <w:ind w:right="232"/>
              <w:spacing w:after="0"/>
              <w:rPr>
                <w:sz w:val="20"/>
                <w:szCs w:val="20"/>
                <w:color w:val="auto"/>
              </w:rPr>
            </w:pPr>
            <w:r>
              <w:rPr>
                <w:rFonts w:ascii="Arial" w:cs="Arial" w:eastAsia="Arial" w:hAnsi="Arial"/>
                <w:sz w:val="18"/>
                <w:szCs w:val="18"/>
                <w:color w:val="auto"/>
                <w:w w:val="89"/>
              </w:rPr>
              <w:t>incorporation or</w:t>
            </w:r>
          </w:p>
        </w:tc>
        <w:tc>
          <w:tcPr>
            <w:tcW w:w="1620" w:type="dxa"/>
            <w:vAlign w:val="bottom"/>
          </w:tcPr>
          <w:p>
            <w:pPr>
              <w:jc w:val="center"/>
              <w:ind w:left="232"/>
              <w:spacing w:after="0"/>
              <w:rPr>
                <w:sz w:val="20"/>
                <w:szCs w:val="20"/>
                <w:color w:val="auto"/>
              </w:rPr>
            </w:pPr>
            <w:r>
              <w:rPr>
                <w:rFonts w:ascii="Arial" w:cs="Arial" w:eastAsia="Arial" w:hAnsi="Arial"/>
                <w:sz w:val="18"/>
                <w:szCs w:val="18"/>
                <w:color w:val="auto"/>
                <w:w w:val="92"/>
              </w:rPr>
              <w:t>Identification No.)</w:t>
            </w:r>
          </w:p>
        </w:tc>
      </w:tr>
      <w:tr>
        <w:trPr>
          <w:trHeight w:val="222"/>
        </w:trPr>
        <w:tc>
          <w:tcPr>
            <w:tcW w:w="2360" w:type="dxa"/>
            <w:vAlign w:val="bottom"/>
          </w:tcPr>
          <w:p>
            <w:pPr>
              <w:jc w:val="center"/>
              <w:ind w:right="232"/>
              <w:spacing w:after="0"/>
              <w:rPr>
                <w:sz w:val="20"/>
                <w:szCs w:val="20"/>
                <w:color w:val="auto"/>
              </w:rPr>
            </w:pPr>
            <w:r>
              <w:rPr>
                <w:rFonts w:ascii="Arial" w:cs="Arial" w:eastAsia="Arial" w:hAnsi="Arial"/>
                <w:sz w:val="18"/>
                <w:szCs w:val="18"/>
                <w:color w:val="auto"/>
                <w:w w:val="88"/>
              </w:rPr>
              <w:t>organization)</w:t>
            </w:r>
          </w:p>
        </w:tc>
        <w:tc>
          <w:tcPr>
            <w:tcW w:w="1620" w:type="dxa"/>
            <w:vAlign w:val="bottom"/>
          </w:tcPr>
          <w:p>
            <w:pPr>
              <w:spacing w:after="0"/>
              <w:rPr>
                <w:sz w:val="19"/>
                <w:szCs w:val="19"/>
                <w:color w:val="auto"/>
              </w:rPr>
            </w:pPr>
          </w:p>
        </w:tc>
      </w:tr>
    </w:tbl>
    <w:p>
      <w:pPr>
        <w:spacing w:after="0" w:line="204"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11115 Rushmore Drive, Charlotte, North Carolina 28277</w:t>
      </w:r>
    </w:p>
    <w:p>
      <w:pPr>
        <w:spacing w:after="0" w:line="21"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(Address of principal executive offices)</w:t>
      </w:r>
    </w:p>
    <w:p>
      <w:pPr>
        <w:spacing w:after="0" w:line="213"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(704) 541-5351</w:t>
      </w:r>
    </w:p>
    <w:p>
      <w:pPr>
        <w:spacing w:after="0" w:line="21"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(Registrant's telephone number, including area code)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2680970</wp:posOffset>
            </wp:positionH>
            <wp:positionV relativeFrom="paragraph">
              <wp:posOffset>144145</wp:posOffset>
            </wp:positionV>
            <wp:extent cx="189547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89547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right="280" w:firstLine="351"/>
        <w:spacing w:after="0" w:line="225"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o</w:t>
      </w:r>
    </w:p>
    <w:p>
      <w:pPr>
        <w:spacing w:after="0" w:line="192" w:lineRule="exact"/>
        <w:rPr>
          <w:sz w:val="24"/>
          <w:szCs w:val="24"/>
          <w:color w:val="auto"/>
        </w:rPr>
      </w:pPr>
    </w:p>
    <w:p>
      <w:pPr>
        <w:jc w:val="both"/>
        <w:ind w:firstLine="351"/>
        <w:spacing w:after="0" w:line="259" w:lineRule="auto"/>
        <w:rPr>
          <w:sz w:val="20"/>
          <w:szCs w:val="20"/>
          <w:color w:val="auto"/>
        </w:rPr>
      </w:pPr>
      <w:r>
        <w:rPr>
          <w:rFonts w:ascii="Arial" w:cs="Arial" w:eastAsia="Arial" w:hAnsi="Arial"/>
          <w:sz w:val="18"/>
          <w:szCs w:val="18"/>
          <w:color w:val="auto"/>
        </w:rPr>
        <w:t>Indicate by check mark whether the Registrant has submitted electronically and posted on its corporate Web site, if any, every Interactive Data File required to be submitted and posted pursuant to Rule 405 of Regulation S-T during the preceding 12 months (or for such shorter period than the Registrant was required to submit and post such files). Yes o No o</w:t>
      </w:r>
    </w:p>
    <w:p>
      <w:pPr>
        <w:spacing w:after="0" w:line="194" w:lineRule="exact"/>
        <w:rPr>
          <w:sz w:val="24"/>
          <w:szCs w:val="24"/>
          <w:color w:val="auto"/>
        </w:rPr>
      </w:pPr>
    </w:p>
    <w:p>
      <w:pPr>
        <w:ind w:right="260" w:firstLine="351"/>
        <w:spacing w:after="0" w:line="332"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definition of "accelerated filer," "large accelerated filer" and "smaller reporting company" in Rule 12b-2 of the Exchange Act. (Check one):</w:t>
      </w:r>
    </w:p>
    <w:p>
      <w:pPr>
        <w:sectPr>
          <w:pgSz w:w="11900" w:h="16838" w:orient="portrait"/>
          <w:cols w:equalWidth="0" w:num="1">
            <w:col w:w="11380"/>
          </w:cols>
          <w:pgMar w:left="240" w:top="685" w:right="279" w:bottom="0" w:gutter="0" w:footer="0" w:header="0"/>
        </w:sectPr>
      </w:pPr>
    </w:p>
    <w:p>
      <w:pPr>
        <w:spacing w:after="0" w:line="139" w:lineRule="exact"/>
        <w:rPr>
          <w:sz w:val="24"/>
          <w:szCs w:val="24"/>
          <w:color w:val="auto"/>
        </w:rPr>
      </w:pPr>
    </w:p>
    <w:p>
      <w:pPr>
        <w:ind w:left="580"/>
        <w:spacing w:after="0"/>
        <w:rPr>
          <w:sz w:val="20"/>
          <w:szCs w:val="20"/>
          <w:color w:val="auto"/>
        </w:rPr>
      </w:pPr>
      <w:r>
        <w:rPr>
          <w:rFonts w:ascii="Arial" w:cs="Arial" w:eastAsia="Arial" w:hAnsi="Arial"/>
          <w:sz w:val="15"/>
          <w:szCs w:val="15"/>
          <w:color w:val="auto"/>
        </w:rPr>
        <w:t>Large accelerated filer o</w:t>
      </w:r>
    </w:p>
    <w:p>
      <w:pPr>
        <w:spacing w:after="0" w:line="20" w:lineRule="exact"/>
        <w:rPr>
          <w:sz w:val="24"/>
          <w:szCs w:val="24"/>
          <w:color w:val="auto"/>
        </w:rPr>
      </w:pPr>
      <w:r>
        <w:rPr>
          <w:sz w:val="24"/>
          <w:szCs w:val="24"/>
          <w:color w:val="auto"/>
        </w:rPr>
        <w:br w:type="column"/>
      </w:r>
    </w:p>
    <w:p>
      <w:pPr>
        <w:spacing w:after="0" w:line="119" w:lineRule="exact"/>
        <w:rPr>
          <w:sz w:val="24"/>
          <w:szCs w:val="24"/>
          <w:color w:val="auto"/>
        </w:rPr>
      </w:pPr>
    </w:p>
    <w:p>
      <w:pPr>
        <w:jc w:val="center"/>
        <w:ind w:right="340"/>
        <w:spacing w:after="0"/>
        <w:rPr>
          <w:sz w:val="20"/>
          <w:szCs w:val="20"/>
          <w:color w:val="auto"/>
        </w:rPr>
      </w:pPr>
      <w:r>
        <w:rPr>
          <w:rFonts w:ascii="Arial" w:cs="Arial" w:eastAsia="Arial" w:hAnsi="Arial"/>
          <w:sz w:val="16"/>
          <w:szCs w:val="16"/>
          <w:color w:val="auto"/>
        </w:rPr>
        <w:t>Accelerated filer o</w:t>
      </w:r>
    </w:p>
    <w:p>
      <w:pPr>
        <w:spacing w:after="0" w:line="20" w:lineRule="exact"/>
        <w:rPr>
          <w:sz w:val="24"/>
          <w:szCs w:val="24"/>
          <w:color w:val="auto"/>
        </w:rPr>
      </w:pPr>
      <w:r>
        <w:rPr>
          <w:sz w:val="24"/>
          <w:szCs w:val="24"/>
          <w:color w:val="auto"/>
        </w:rPr>
        <w:br w:type="column"/>
      </w:r>
    </w:p>
    <w:p>
      <w:pPr>
        <w:spacing w:after="0" w:line="87" w:lineRule="exact"/>
        <w:rPr>
          <w:sz w:val="24"/>
          <w:szCs w:val="24"/>
          <w:color w:val="auto"/>
        </w:rPr>
      </w:pPr>
    </w:p>
    <w:p>
      <w:pPr>
        <w:spacing w:after="0" w:line="173" w:lineRule="exact"/>
        <w:rPr>
          <w:sz w:val="20"/>
          <w:szCs w:val="20"/>
          <w:color w:val="auto"/>
        </w:rPr>
      </w:pPr>
      <w:r>
        <w:rPr>
          <w:rFonts w:ascii="Arial" w:cs="Arial" w:eastAsia="Arial" w:hAnsi="Arial"/>
          <w:sz w:val="15"/>
          <w:szCs w:val="15"/>
          <w:color w:val="auto"/>
        </w:rPr>
        <w:t xml:space="preserve">Non-accelerated filer </w:t>
      </w:r>
      <w:r>
        <w:rPr>
          <w:rFonts w:ascii="MS PGothic" w:cs="MS PGothic" w:eastAsia="MS PGothic" w:hAnsi="MS PGothic"/>
          <w:sz w:val="15"/>
          <w:szCs w:val="15"/>
          <w:color w:val="auto"/>
        </w:rPr>
        <w:t>☒</w:t>
      </w:r>
    </w:p>
    <w:p>
      <w:pPr>
        <w:spacing w:after="0" w:line="20" w:lineRule="exact"/>
        <w:rPr>
          <w:sz w:val="24"/>
          <w:szCs w:val="24"/>
          <w:color w:val="auto"/>
        </w:rPr>
      </w:pPr>
      <w:r>
        <w:rPr>
          <w:sz w:val="24"/>
          <w:szCs w:val="24"/>
          <w:color w:val="auto"/>
        </w:rPr>
        <w:br w:type="column"/>
      </w:r>
    </w:p>
    <w:p>
      <w:pPr>
        <w:spacing w:after="0" w:line="119" w:lineRule="exact"/>
        <w:rPr>
          <w:sz w:val="24"/>
          <w:szCs w:val="24"/>
          <w:color w:val="auto"/>
        </w:rPr>
      </w:pPr>
    </w:p>
    <w:p>
      <w:pPr>
        <w:spacing w:after="0"/>
        <w:rPr>
          <w:sz w:val="20"/>
          <w:szCs w:val="20"/>
          <w:color w:val="auto"/>
        </w:rPr>
      </w:pPr>
      <w:r>
        <w:rPr>
          <w:rFonts w:ascii="Arial" w:cs="Arial" w:eastAsia="Arial" w:hAnsi="Arial"/>
          <w:sz w:val="16"/>
          <w:szCs w:val="16"/>
          <w:color w:val="auto"/>
        </w:rPr>
        <w:t>Smaller reporting company o</w:t>
      </w:r>
    </w:p>
    <w:p>
      <w:pPr>
        <w:spacing w:after="0" w:line="29" w:lineRule="exact"/>
        <w:rPr>
          <w:sz w:val="24"/>
          <w:szCs w:val="24"/>
          <w:color w:val="auto"/>
        </w:rPr>
      </w:pPr>
    </w:p>
    <w:p>
      <w:pPr>
        <w:sectPr>
          <w:pgSz w:w="11900" w:h="16838" w:orient="portrait"/>
          <w:cols w:equalWidth="0" w:num="4">
            <w:col w:w="2680" w:space="720"/>
            <w:col w:w="1640" w:space="720"/>
            <w:col w:w="2240" w:space="720"/>
            <w:col w:w="2660"/>
          </w:cols>
          <w:pgMar w:left="240" w:top="685" w:right="279" w:bottom="0" w:gutter="0" w:footer="0" w:header="0"/>
          <w:type w:val="continuous"/>
        </w:sectPr>
      </w:pPr>
    </w:p>
    <w:p>
      <w:pPr>
        <w:jc w:val="center"/>
        <w:ind w:left="1800"/>
        <w:spacing w:after="0"/>
        <w:rPr>
          <w:sz w:val="20"/>
          <w:szCs w:val="20"/>
          <w:color w:val="auto"/>
        </w:rPr>
      </w:pPr>
      <w:r>
        <w:rPr>
          <w:rFonts w:ascii="Arial" w:cs="Arial" w:eastAsia="Arial" w:hAnsi="Arial"/>
          <w:sz w:val="14"/>
          <w:szCs w:val="14"/>
          <w:color w:val="auto"/>
        </w:rPr>
        <w:t>(Do not check if a</w:t>
      </w:r>
    </w:p>
    <w:p>
      <w:pPr>
        <w:jc w:val="center"/>
        <w:ind w:left="1800"/>
        <w:spacing w:after="0"/>
        <w:rPr>
          <w:sz w:val="20"/>
          <w:szCs w:val="20"/>
          <w:color w:val="auto"/>
        </w:rPr>
      </w:pPr>
      <w:r>
        <w:rPr>
          <w:rFonts w:ascii="Arial" w:cs="Arial" w:eastAsia="Arial" w:hAnsi="Arial"/>
          <w:sz w:val="12"/>
          <w:szCs w:val="12"/>
          <w:color w:val="auto"/>
        </w:rPr>
        <w:t>smaller reporting company)</w:t>
      </w:r>
    </w:p>
    <w:p>
      <w:pPr>
        <w:sectPr>
          <w:pgSz w:w="11900" w:h="16838" w:orient="portrait"/>
          <w:cols w:equalWidth="0" w:num="1">
            <w:col w:w="11380"/>
          </w:cols>
          <w:pgMar w:left="240" w:top="685" w:right="279" w:bottom="0" w:gutter="0" w:footer="0" w:header="0"/>
          <w:type w:val="continuous"/>
        </w:sectPr>
      </w:pPr>
    </w:p>
    <w:p>
      <w:pPr>
        <w:spacing w:after="0" w:line="185" w:lineRule="exact"/>
        <w:rPr>
          <w:sz w:val="24"/>
          <w:szCs w:val="24"/>
          <w:color w:val="auto"/>
        </w:rPr>
      </w:pPr>
    </w:p>
    <w:p>
      <w:pPr>
        <w:ind w:left="360"/>
        <w:spacing w:after="0" w:line="184" w:lineRule="exact"/>
        <w:tabs>
          <w:tab w:leader="none" w:pos="8960" w:val="left"/>
        </w:tabs>
        <w:rPr>
          <w:sz w:val="20"/>
          <w:szCs w:val="20"/>
          <w:color w:val="auto"/>
        </w:rPr>
      </w:pPr>
      <w:r>
        <w:rPr>
          <w:rFonts w:ascii="Arial" w:cs="Arial" w:eastAsia="Arial" w:hAnsi="Arial"/>
          <w:sz w:val="16"/>
          <w:szCs w:val="16"/>
          <w:color w:val="auto"/>
        </w:rPr>
        <w:t>Indicate by check mark whether the Registrant is a shell company (as defined in Rule 12b-2 of the Exchange Act). Yes o</w:t>
        <w:tab/>
        <w:t xml:space="preserve">No </w:t>
      </w:r>
      <w:r>
        <w:rPr>
          <w:rFonts w:ascii="MS PGothic" w:cs="MS PGothic" w:eastAsia="MS PGothic" w:hAnsi="MS PGothic"/>
          <w:sz w:val="16"/>
          <w:szCs w:val="16"/>
          <w:color w:val="auto"/>
        </w:rPr>
        <w:t>☒</w:t>
      </w:r>
    </w:p>
    <w:p>
      <w:pPr>
        <w:spacing w:after="0" w:line="281" w:lineRule="exact"/>
        <w:rPr>
          <w:sz w:val="24"/>
          <w:szCs w:val="24"/>
          <w:color w:val="auto"/>
        </w:rPr>
      </w:pPr>
    </w:p>
    <w:p>
      <w:pPr>
        <w:ind w:left="340"/>
        <w:spacing w:after="0"/>
        <w:rPr>
          <w:sz w:val="20"/>
          <w:szCs w:val="20"/>
          <w:color w:val="auto"/>
        </w:rPr>
      </w:pPr>
      <w:r>
        <w:rPr>
          <w:rFonts w:ascii="Arial" w:cs="Arial" w:eastAsia="Arial" w:hAnsi="Arial"/>
          <w:sz w:val="15"/>
          <w:szCs w:val="15"/>
          <w:color w:val="auto"/>
        </w:rPr>
        <w:t>As of November 2, 2010 there were 11,083,129 shares of the Registrant's common stock, par value $.01 per share, outstanding.</w:t>
      </w:r>
    </w:p>
    <w:p>
      <w:pPr>
        <w:sectPr>
          <w:pgSz w:w="11900" w:h="16838" w:orient="portrait"/>
          <w:cols w:equalWidth="0" w:num="1">
            <w:col w:w="11380"/>
          </w:cols>
          <w:pgMar w:left="240" w:top="685" w:right="279" w:bottom="0" w:gutter="0" w:footer="0" w:header="0"/>
          <w:type w:val="continuous"/>
        </w:sectPr>
      </w:pPr>
    </w:p>
    <w:bookmarkStart w:id="1" w:name="page2"/>
    <w:bookmarkEnd w:id="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46620" cy="4318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43180"/>
                    </a:xfrm>
                    <a:prstGeom prst="rect">
                      <a:avLst/>
                    </a:prstGeom>
                    <a:noFill/>
                  </pic:spPr>
                </pic:pic>
              </a:graphicData>
            </a:graphic>
          </wp:anchor>
        </w:drawing>
        <w:drawing>
          <wp:anchor simplePos="0" relativeHeight="251657728" behindDoc="1" locked="0" layoutInCell="0" allowOverlap="1">
            <wp:simplePos x="0" y="0"/>
            <wp:positionH relativeFrom="page">
              <wp:posOffset>155575</wp:posOffset>
            </wp:positionH>
            <wp:positionV relativeFrom="page">
              <wp:posOffset>266700</wp:posOffset>
            </wp:positionV>
            <wp:extent cx="725043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 w:name="page3"/>
    <w:bookmarkEnd w:id="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TABLE OF CONTENTS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680" w:type="dxa"/>
            <w:vAlign w:val="bottom"/>
            <w:gridSpan w:val="4"/>
          </w:tcPr>
          <w:p>
            <w:pPr>
              <w:jc w:val="center"/>
              <w:ind w:right="1160"/>
              <w:spacing w:after="0"/>
              <w:rPr>
                <w:sz w:val="20"/>
                <w:szCs w:val="20"/>
                <w:color w:val="auto"/>
              </w:rPr>
            </w:pPr>
            <w:r>
              <w:rPr>
                <w:rFonts w:ascii="Arial" w:cs="Arial" w:eastAsia="Arial" w:hAnsi="Arial"/>
                <w:sz w:val="14"/>
                <w:szCs w:val="14"/>
                <w:b w:val="1"/>
                <w:bCs w:val="1"/>
                <w:color w:val="auto"/>
                <w:w w:val="83"/>
              </w:rPr>
              <w:t>Page</w:t>
            </w:r>
          </w:p>
        </w:tc>
        <w:tc>
          <w:tcPr>
            <w:tcW w:w="0" w:type="dxa"/>
            <w:vAlign w:val="bottom"/>
          </w:tcPr>
          <w:p>
            <w:pPr>
              <w:spacing w:after="0"/>
              <w:rPr>
                <w:sz w:val="1"/>
                <w:szCs w:val="1"/>
                <w:color w:val="auto"/>
              </w:rPr>
            </w:pPr>
          </w:p>
        </w:tc>
      </w:tr>
      <w:tr>
        <w:trPr>
          <w:trHeight w:val="161"/>
        </w:trPr>
        <w:tc>
          <w:tcPr>
            <w:tcW w:w="1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900" w:type="dxa"/>
            <w:vAlign w:val="bottom"/>
            <w:gridSpan w:val="8"/>
            <w:vMerge w:val="restart"/>
          </w:tcPr>
          <w:p>
            <w:pPr>
              <w:jc w:val="center"/>
              <w:ind w:right="2140"/>
              <w:spacing w:after="0"/>
              <w:rPr>
                <w:rFonts w:ascii="Arial" w:cs="Arial" w:eastAsia="Arial" w:hAnsi="Arial"/>
                <w:sz w:val="18"/>
                <w:szCs w:val="18"/>
                <w:b w:val="1"/>
                <w:bCs w:val="1"/>
                <w:color w:val="0000EE"/>
              </w:rPr>
            </w:pPr>
            <w:hyperlink w:anchor="page4">
              <w:r>
                <w:rPr>
                  <w:rFonts w:ascii="Arial" w:cs="Arial" w:eastAsia="Arial" w:hAnsi="Arial"/>
                  <w:sz w:val="18"/>
                  <w:szCs w:val="18"/>
                  <w:b w:val="1"/>
                  <w:bCs w:val="1"/>
                  <w:color w:val="0000EE"/>
                </w:rPr>
                <w:t>PART I—FINANCIAL INFORMATION</w:t>
              </w:r>
            </w:hyperlink>
          </w:p>
        </w:tc>
        <w:tc>
          <w:tcPr>
            <w:tcW w:w="1680" w:type="dxa"/>
            <w:vAlign w:val="bottom"/>
            <w:gridSpan w:val="4"/>
          </w:tcPr>
          <w:p>
            <w:pPr>
              <w:jc w:val="center"/>
              <w:ind w:right="1160"/>
              <w:spacing w:after="0"/>
              <w:rPr>
                <w:sz w:val="20"/>
                <w:szCs w:val="20"/>
                <w:color w:val="auto"/>
              </w:rPr>
            </w:pPr>
            <w:r>
              <w:rPr>
                <w:rFonts w:ascii="Arial" w:cs="Arial" w:eastAsia="Arial" w:hAnsi="Arial"/>
                <w:sz w:val="14"/>
                <w:szCs w:val="14"/>
                <w:b w:val="1"/>
                <w:bCs w:val="1"/>
                <w:color w:val="auto"/>
                <w:w w:val="90"/>
              </w:rPr>
              <w:t>Number</w:t>
            </w:r>
          </w:p>
        </w:tc>
        <w:tc>
          <w:tcPr>
            <w:tcW w:w="0" w:type="dxa"/>
            <w:vAlign w:val="bottom"/>
          </w:tcPr>
          <w:p>
            <w:pPr>
              <w:spacing w:after="0"/>
              <w:rPr>
                <w:sz w:val="1"/>
                <w:szCs w:val="1"/>
                <w:color w:val="auto"/>
              </w:rPr>
            </w:pPr>
          </w:p>
        </w:tc>
      </w:tr>
      <w:tr>
        <w:trPr>
          <w:trHeight w:val="169"/>
        </w:trPr>
        <w:tc>
          <w:tcPr>
            <w:tcW w:w="1140" w:type="dxa"/>
            <w:vAlign w:val="bottom"/>
          </w:tcPr>
          <w:p>
            <w:pPr>
              <w:spacing w:after="0"/>
              <w:rPr>
                <w:sz w:val="14"/>
                <w:szCs w:val="14"/>
                <w:color w:val="auto"/>
              </w:rPr>
            </w:pPr>
          </w:p>
        </w:tc>
        <w:tc>
          <w:tcPr>
            <w:tcW w:w="540" w:type="dxa"/>
            <w:vAlign w:val="bottom"/>
            <w:vMerge w:val="restart"/>
          </w:tcPr>
          <w:p>
            <w:pPr>
              <w:spacing w:after="0"/>
              <w:rPr>
                <w:rFonts w:ascii="Arial" w:cs="Arial" w:eastAsia="Arial" w:hAnsi="Arial"/>
                <w:sz w:val="18"/>
                <w:szCs w:val="18"/>
                <w:b w:val="1"/>
                <w:bCs w:val="1"/>
                <w:color w:val="0000EE"/>
                <w:w w:val="91"/>
              </w:rPr>
            </w:pPr>
            <w:hyperlink w:anchor="page4">
              <w:r>
                <w:rPr>
                  <w:rFonts w:ascii="Arial" w:cs="Arial" w:eastAsia="Arial" w:hAnsi="Arial"/>
                  <w:sz w:val="18"/>
                  <w:szCs w:val="18"/>
                  <w:b w:val="1"/>
                  <w:bCs w:val="1"/>
                  <w:color w:val="0000EE"/>
                  <w:w w:val="91"/>
                </w:rPr>
                <w:t>Item 1.</w:t>
              </w:r>
            </w:hyperlink>
          </w:p>
        </w:tc>
        <w:tc>
          <w:tcPr>
            <w:tcW w:w="240" w:type="dxa"/>
            <w:vAlign w:val="bottom"/>
            <w:gridSpan w:val="3"/>
            <w:vMerge w:val="restart"/>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900" w:type="dxa"/>
            <w:vAlign w:val="bottom"/>
            <w:gridSpan w:val="8"/>
            <w:vMerge w:val="continue"/>
          </w:tcPr>
          <w:p>
            <w:pPr>
              <w:spacing w:after="0"/>
              <w:rPr>
                <w:sz w:val="14"/>
                <w:szCs w:val="14"/>
                <w:color w:val="auto"/>
              </w:rPr>
            </w:pPr>
          </w:p>
        </w:tc>
        <w:tc>
          <w:tcPr>
            <w:tcW w:w="540" w:type="dxa"/>
            <w:vAlign w:val="bottom"/>
            <w:tcBorders>
              <w:top w:val="single" w:sz="8" w:color="auto"/>
            </w:tcBorders>
            <w:gridSpan w:val="3"/>
            <w:vMerge w:val="restart"/>
          </w:tcPr>
          <w:p>
            <w:pPr>
              <w:jc w:val="right"/>
              <w:spacing w:after="0"/>
              <w:rPr>
                <w:rFonts w:ascii="Arial" w:cs="Arial" w:eastAsia="Arial" w:hAnsi="Arial"/>
                <w:sz w:val="18"/>
                <w:szCs w:val="18"/>
                <w:b w:val="1"/>
                <w:bCs w:val="1"/>
                <w:color w:val="0000EE"/>
              </w:rPr>
            </w:pPr>
            <w:hyperlink w:anchor="page4">
              <w:r>
                <w:rPr>
                  <w:rFonts w:ascii="Arial" w:cs="Arial" w:eastAsia="Arial" w:hAnsi="Arial"/>
                  <w:sz w:val="18"/>
                  <w:szCs w:val="18"/>
                  <w:b w:val="1"/>
                  <w:bCs w:val="1"/>
                  <w:color w:val="0000EE"/>
                </w:rPr>
                <w:t>3</w:t>
              </w:r>
            </w:hyperlink>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540" w:type="dxa"/>
            <w:vAlign w:val="bottom"/>
            <w:vMerge w:val="continue"/>
          </w:tcPr>
          <w:p>
            <w:pPr>
              <w:spacing w:after="0"/>
              <w:rPr>
                <w:sz w:val="17"/>
                <w:szCs w:val="17"/>
                <w:color w:val="auto"/>
              </w:rPr>
            </w:pPr>
          </w:p>
        </w:tc>
        <w:tc>
          <w:tcPr>
            <w:tcW w:w="240" w:type="dxa"/>
            <w:vAlign w:val="bottom"/>
            <w:gridSpan w:val="3"/>
            <w:vMerge w:val="continue"/>
          </w:tcPr>
          <w:p>
            <w:pPr>
              <w:spacing w:after="0"/>
              <w:rPr>
                <w:sz w:val="17"/>
                <w:szCs w:val="17"/>
                <w:color w:val="auto"/>
              </w:rPr>
            </w:pPr>
          </w:p>
        </w:tc>
        <w:tc>
          <w:tcPr>
            <w:tcW w:w="100" w:type="dxa"/>
            <w:vAlign w:val="bottom"/>
          </w:tcPr>
          <w:p>
            <w:pPr>
              <w:spacing w:after="0"/>
              <w:rPr>
                <w:sz w:val="17"/>
                <w:szCs w:val="17"/>
                <w:color w:val="auto"/>
              </w:rPr>
            </w:pPr>
          </w:p>
        </w:tc>
        <w:tc>
          <w:tcPr>
            <w:tcW w:w="1560" w:type="dxa"/>
            <w:vAlign w:val="bottom"/>
            <w:gridSpan w:val="4"/>
          </w:tcPr>
          <w:p>
            <w:pPr>
              <w:spacing w:after="0" w:line="196" w:lineRule="exact"/>
              <w:rPr>
                <w:rFonts w:ascii="Arial" w:cs="Arial" w:eastAsia="Arial" w:hAnsi="Arial"/>
                <w:sz w:val="18"/>
                <w:szCs w:val="18"/>
                <w:b w:val="1"/>
                <w:bCs w:val="1"/>
                <w:i w:val="1"/>
                <w:iCs w:val="1"/>
                <w:color w:val="0000EE"/>
                <w:w w:val="85"/>
              </w:rPr>
            </w:pPr>
            <w:hyperlink w:anchor="page4">
              <w:r>
                <w:rPr>
                  <w:rFonts w:ascii="Arial" w:cs="Arial" w:eastAsia="Arial" w:hAnsi="Arial"/>
                  <w:sz w:val="18"/>
                  <w:szCs w:val="18"/>
                  <w:b w:val="1"/>
                  <w:bCs w:val="1"/>
                  <w:i w:val="1"/>
                  <w:iCs w:val="1"/>
                  <w:color w:val="0000EE"/>
                  <w:w w:val="85"/>
                </w:rPr>
                <w:t>Financial Statements</w:t>
              </w:r>
            </w:hyperlink>
          </w:p>
        </w:tc>
        <w:tc>
          <w:tcPr>
            <w:tcW w:w="600" w:type="dxa"/>
            <w:vAlign w:val="bottom"/>
            <w:gridSpan w:val="2"/>
          </w:tcPr>
          <w:p>
            <w:pPr>
              <w:spacing w:after="0"/>
              <w:rPr>
                <w:sz w:val="17"/>
                <w:szCs w:val="17"/>
                <w:color w:val="auto"/>
              </w:rPr>
            </w:pPr>
          </w:p>
        </w:tc>
        <w:tc>
          <w:tcPr>
            <w:tcW w:w="3080" w:type="dxa"/>
            <w:vAlign w:val="bottom"/>
            <w:tcBorders>
              <w:top w:val="single" w:sz="8" w:color="0000EE"/>
            </w:tcBorders>
            <w:gridSpan w:val="5"/>
          </w:tcPr>
          <w:p>
            <w:pPr>
              <w:spacing w:after="0"/>
              <w:rPr>
                <w:sz w:val="17"/>
                <w:szCs w:val="17"/>
                <w:color w:val="auto"/>
              </w:rPr>
            </w:pPr>
          </w:p>
        </w:tc>
        <w:tc>
          <w:tcPr>
            <w:tcW w:w="2480" w:type="dxa"/>
            <w:vAlign w:val="bottom"/>
            <w:gridSpan w:val="2"/>
          </w:tcPr>
          <w:p>
            <w:pPr>
              <w:spacing w:after="0"/>
              <w:rPr>
                <w:sz w:val="17"/>
                <w:szCs w:val="17"/>
                <w:color w:val="auto"/>
              </w:rPr>
            </w:pPr>
          </w:p>
        </w:tc>
        <w:tc>
          <w:tcPr>
            <w:tcW w:w="540" w:type="dxa"/>
            <w:vAlign w:val="bottom"/>
            <w:tcBorders>
              <w:top w:val="single" w:sz="8" w:color="auto"/>
            </w:tcBorders>
            <w:gridSpan w:val="3"/>
            <w:vMerge w:val="continue"/>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540" w:type="dxa"/>
            <w:vAlign w:val="bottom"/>
          </w:tcPr>
          <w:p>
            <w:pPr>
              <w:spacing w:after="0" w:line="196" w:lineRule="exact"/>
              <w:rPr>
                <w:rFonts w:ascii="Arial" w:cs="Arial" w:eastAsia="Arial" w:hAnsi="Arial"/>
                <w:sz w:val="18"/>
                <w:szCs w:val="18"/>
                <w:b w:val="1"/>
                <w:bCs w:val="1"/>
                <w:color w:val="0000EE"/>
                <w:w w:val="91"/>
              </w:rPr>
            </w:pPr>
            <w:hyperlink w:anchor="page38">
              <w:r>
                <w:rPr>
                  <w:rFonts w:ascii="Arial" w:cs="Arial" w:eastAsia="Arial" w:hAnsi="Arial"/>
                  <w:sz w:val="18"/>
                  <w:szCs w:val="18"/>
                  <w:b w:val="1"/>
                  <w:bCs w:val="1"/>
                  <w:color w:val="0000EE"/>
                  <w:w w:val="91"/>
                </w:rPr>
                <w:t>Item 2.</w:t>
              </w:r>
            </w:hyperlink>
          </w:p>
        </w:tc>
        <w:tc>
          <w:tcPr>
            <w:tcW w:w="240" w:type="dxa"/>
            <w:vAlign w:val="bottom"/>
            <w:gridSpan w:val="3"/>
          </w:tcPr>
          <w:p>
            <w:pPr>
              <w:spacing w:after="0"/>
              <w:rPr>
                <w:sz w:val="17"/>
                <w:szCs w:val="17"/>
                <w:color w:val="auto"/>
              </w:rPr>
            </w:pPr>
          </w:p>
        </w:tc>
        <w:tc>
          <w:tcPr>
            <w:tcW w:w="100" w:type="dxa"/>
            <w:vAlign w:val="bottom"/>
          </w:tcPr>
          <w:p>
            <w:pPr>
              <w:spacing w:after="0"/>
              <w:rPr>
                <w:sz w:val="17"/>
                <w:szCs w:val="17"/>
                <w:color w:val="auto"/>
              </w:rPr>
            </w:pPr>
          </w:p>
        </w:tc>
        <w:tc>
          <w:tcPr>
            <w:tcW w:w="7720" w:type="dxa"/>
            <w:vAlign w:val="bottom"/>
            <w:gridSpan w:val="13"/>
          </w:tcPr>
          <w:p>
            <w:pPr>
              <w:spacing w:after="0" w:line="196" w:lineRule="exact"/>
              <w:rPr>
                <w:rFonts w:ascii="Arial" w:cs="Arial" w:eastAsia="Arial" w:hAnsi="Arial"/>
                <w:sz w:val="18"/>
                <w:szCs w:val="18"/>
                <w:b w:val="1"/>
                <w:bCs w:val="1"/>
                <w:i w:val="1"/>
                <w:iCs w:val="1"/>
                <w:color w:val="0000EE"/>
              </w:rPr>
            </w:pPr>
            <w:hyperlink w:anchor="page38">
              <w:r>
                <w:rPr>
                  <w:rFonts w:ascii="Arial" w:cs="Arial" w:eastAsia="Arial" w:hAnsi="Arial"/>
                  <w:sz w:val="18"/>
                  <w:szCs w:val="18"/>
                  <w:b w:val="1"/>
                  <w:bCs w:val="1"/>
                  <w:i w:val="1"/>
                  <w:iCs w:val="1"/>
                  <w:color w:val="0000EE"/>
                </w:rPr>
                <w:t>Management's Discussion and Analysis of Financial Condition and Results of Operations</w:t>
              </w:r>
            </w:hyperlink>
          </w:p>
        </w:tc>
        <w:tc>
          <w:tcPr>
            <w:tcW w:w="540" w:type="dxa"/>
            <w:vAlign w:val="bottom"/>
            <w:gridSpan w:val="3"/>
          </w:tcPr>
          <w:p>
            <w:pPr>
              <w:jc w:val="right"/>
              <w:spacing w:after="0" w:line="196" w:lineRule="exact"/>
              <w:rPr>
                <w:rFonts w:ascii="Arial" w:cs="Arial" w:eastAsia="Arial" w:hAnsi="Arial"/>
                <w:sz w:val="18"/>
                <w:szCs w:val="18"/>
                <w:b w:val="1"/>
                <w:bCs w:val="1"/>
                <w:color w:val="0000EE"/>
              </w:rPr>
            </w:pPr>
            <w:hyperlink w:anchor="page38">
              <w:r>
                <w:rPr>
                  <w:rFonts w:ascii="Arial" w:cs="Arial" w:eastAsia="Arial" w:hAnsi="Arial"/>
                  <w:sz w:val="18"/>
                  <w:szCs w:val="18"/>
                  <w:b w:val="1"/>
                  <w:bCs w:val="1"/>
                  <w:color w:val="0000EE"/>
                </w:rPr>
                <w:t>37</w:t>
              </w:r>
            </w:hyperlink>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540" w:type="dxa"/>
            <w:vAlign w:val="bottom"/>
            <w:tcBorders>
              <w:top w:val="single" w:sz="8" w:color="0000EE"/>
              <w:bottom w:val="single" w:sz="8" w:color="0000EE"/>
            </w:tcBorders>
          </w:tcPr>
          <w:p>
            <w:pPr>
              <w:spacing w:after="0" w:line="196" w:lineRule="exact"/>
              <w:rPr>
                <w:rFonts w:ascii="Arial" w:cs="Arial" w:eastAsia="Arial" w:hAnsi="Arial"/>
                <w:sz w:val="18"/>
                <w:szCs w:val="18"/>
                <w:b w:val="1"/>
                <w:bCs w:val="1"/>
                <w:color w:val="0000EE"/>
                <w:w w:val="91"/>
              </w:rPr>
            </w:pPr>
            <w:hyperlink w:anchor="page54">
              <w:r>
                <w:rPr>
                  <w:rFonts w:ascii="Arial" w:cs="Arial" w:eastAsia="Arial" w:hAnsi="Arial"/>
                  <w:sz w:val="18"/>
                  <w:szCs w:val="18"/>
                  <w:b w:val="1"/>
                  <w:bCs w:val="1"/>
                  <w:color w:val="0000EE"/>
                  <w:w w:val="91"/>
                </w:rPr>
                <w:t>Item 3.</w:t>
              </w:r>
            </w:hyperlink>
          </w:p>
        </w:tc>
        <w:tc>
          <w:tcPr>
            <w:tcW w:w="240" w:type="dxa"/>
            <w:vAlign w:val="bottom"/>
            <w:gridSpan w:val="3"/>
          </w:tcPr>
          <w:p>
            <w:pPr>
              <w:spacing w:after="0"/>
              <w:rPr>
                <w:sz w:val="17"/>
                <w:szCs w:val="17"/>
                <w:color w:val="auto"/>
              </w:rPr>
            </w:pPr>
          </w:p>
        </w:tc>
        <w:tc>
          <w:tcPr>
            <w:tcW w:w="100" w:type="dxa"/>
            <w:vAlign w:val="bottom"/>
          </w:tcPr>
          <w:p>
            <w:pPr>
              <w:spacing w:after="0"/>
              <w:rPr>
                <w:sz w:val="17"/>
                <w:szCs w:val="17"/>
                <w:color w:val="auto"/>
              </w:rPr>
            </w:pPr>
          </w:p>
        </w:tc>
        <w:tc>
          <w:tcPr>
            <w:tcW w:w="4380" w:type="dxa"/>
            <w:vAlign w:val="bottom"/>
            <w:tcBorders>
              <w:top w:val="single" w:sz="8" w:color="0000EE"/>
              <w:bottom w:val="single" w:sz="8" w:color="0000EE"/>
            </w:tcBorders>
            <w:gridSpan w:val="9"/>
          </w:tcPr>
          <w:p>
            <w:pPr>
              <w:spacing w:after="0" w:line="196" w:lineRule="exact"/>
              <w:rPr>
                <w:rFonts w:ascii="Arial" w:cs="Arial" w:eastAsia="Arial" w:hAnsi="Arial"/>
                <w:sz w:val="18"/>
                <w:szCs w:val="18"/>
                <w:b w:val="1"/>
                <w:bCs w:val="1"/>
                <w:i w:val="1"/>
                <w:iCs w:val="1"/>
                <w:color w:val="0000EE"/>
                <w:w w:val="85"/>
              </w:rPr>
            </w:pPr>
            <w:hyperlink w:anchor="page54">
              <w:r>
                <w:rPr>
                  <w:rFonts w:ascii="Arial" w:cs="Arial" w:eastAsia="Arial" w:hAnsi="Arial"/>
                  <w:sz w:val="18"/>
                  <w:szCs w:val="18"/>
                  <w:b w:val="1"/>
                  <w:bCs w:val="1"/>
                  <w:i w:val="1"/>
                  <w:iCs w:val="1"/>
                  <w:color w:val="0000EE"/>
                  <w:w w:val="85"/>
                </w:rPr>
                <w:t>Quantitative and Qualitative Disclosures About Market Risk</w:t>
              </w:r>
            </w:hyperlink>
          </w:p>
        </w:tc>
        <w:tc>
          <w:tcPr>
            <w:tcW w:w="2140" w:type="dxa"/>
            <w:vAlign w:val="bottom"/>
            <w:tcBorders>
              <w:top w:val="single" w:sz="8" w:color="0000EE"/>
            </w:tcBorders>
            <w:gridSpan w:val="3"/>
          </w:tcPr>
          <w:p>
            <w:pPr>
              <w:spacing w:after="0"/>
              <w:rPr>
                <w:sz w:val="17"/>
                <w:szCs w:val="17"/>
                <w:color w:val="auto"/>
              </w:rPr>
            </w:pPr>
          </w:p>
        </w:tc>
        <w:tc>
          <w:tcPr>
            <w:tcW w:w="12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80" w:type="dxa"/>
            <w:vAlign w:val="bottom"/>
            <w:tcBorders>
              <w:top w:val="single" w:sz="8" w:color="0000EE"/>
              <w:bottom w:val="single" w:sz="8" w:color="0000EE"/>
            </w:tcBorders>
            <w:gridSpan w:val="2"/>
          </w:tcPr>
          <w:p>
            <w:pPr>
              <w:jc w:val="right"/>
              <w:spacing w:after="0" w:line="196" w:lineRule="exact"/>
              <w:rPr>
                <w:rFonts w:ascii="Arial" w:cs="Arial" w:eastAsia="Arial" w:hAnsi="Arial"/>
                <w:sz w:val="18"/>
                <w:szCs w:val="18"/>
                <w:b w:val="1"/>
                <w:bCs w:val="1"/>
                <w:color w:val="0000EE"/>
                <w:w w:val="79"/>
              </w:rPr>
            </w:pPr>
            <w:hyperlink w:anchor="page54">
              <w:r>
                <w:rPr>
                  <w:rFonts w:ascii="Arial" w:cs="Arial" w:eastAsia="Arial" w:hAnsi="Arial"/>
                  <w:sz w:val="18"/>
                  <w:szCs w:val="18"/>
                  <w:b w:val="1"/>
                  <w:bCs w:val="1"/>
                  <w:color w:val="0000EE"/>
                  <w:w w:val="79"/>
                </w:rPr>
                <w:t>53</w:t>
              </w:r>
            </w:hyperlink>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640" w:type="dxa"/>
            <w:vAlign w:val="bottom"/>
            <w:tcBorders>
              <w:bottom w:val="single" w:sz="8" w:color="0000EE"/>
            </w:tcBorders>
            <w:gridSpan w:val="2"/>
          </w:tcPr>
          <w:p>
            <w:pPr>
              <w:spacing w:after="0" w:line="196" w:lineRule="exact"/>
              <w:rPr>
                <w:rFonts w:ascii="Arial" w:cs="Arial" w:eastAsia="Arial" w:hAnsi="Arial"/>
                <w:sz w:val="18"/>
                <w:szCs w:val="18"/>
                <w:b w:val="1"/>
                <w:bCs w:val="1"/>
                <w:color w:val="0000EE"/>
                <w:w w:val="91"/>
              </w:rPr>
            </w:pPr>
            <w:hyperlink w:anchor="page55">
              <w:r>
                <w:rPr>
                  <w:rFonts w:ascii="Arial" w:cs="Arial" w:eastAsia="Arial" w:hAnsi="Arial"/>
                  <w:sz w:val="18"/>
                  <w:szCs w:val="18"/>
                  <w:b w:val="1"/>
                  <w:bCs w:val="1"/>
                  <w:color w:val="0000EE"/>
                  <w:w w:val="91"/>
                </w:rPr>
                <w:t>Item 4T.</w:t>
              </w:r>
            </w:hyperlink>
          </w:p>
        </w:tc>
        <w:tc>
          <w:tcPr>
            <w:tcW w:w="140" w:type="dxa"/>
            <w:vAlign w:val="bottom"/>
            <w:gridSpan w:val="2"/>
          </w:tcPr>
          <w:p>
            <w:pPr>
              <w:spacing w:after="0"/>
              <w:rPr>
                <w:sz w:val="17"/>
                <w:szCs w:val="17"/>
                <w:color w:val="auto"/>
              </w:rPr>
            </w:pPr>
          </w:p>
        </w:tc>
        <w:tc>
          <w:tcPr>
            <w:tcW w:w="100" w:type="dxa"/>
            <w:vAlign w:val="bottom"/>
          </w:tcPr>
          <w:p>
            <w:pPr>
              <w:spacing w:after="0"/>
              <w:rPr>
                <w:sz w:val="17"/>
                <w:szCs w:val="17"/>
                <w:color w:val="auto"/>
              </w:rPr>
            </w:pPr>
          </w:p>
        </w:tc>
        <w:tc>
          <w:tcPr>
            <w:tcW w:w="1820" w:type="dxa"/>
            <w:vAlign w:val="bottom"/>
            <w:tcBorders>
              <w:bottom w:val="single" w:sz="8" w:color="0000EE"/>
            </w:tcBorders>
            <w:gridSpan w:val="5"/>
          </w:tcPr>
          <w:p>
            <w:pPr>
              <w:spacing w:after="0" w:line="196" w:lineRule="exact"/>
              <w:rPr>
                <w:rFonts w:ascii="Arial" w:cs="Arial" w:eastAsia="Arial" w:hAnsi="Arial"/>
                <w:sz w:val="18"/>
                <w:szCs w:val="18"/>
                <w:b w:val="1"/>
                <w:bCs w:val="1"/>
                <w:i w:val="1"/>
                <w:iCs w:val="1"/>
                <w:color w:val="0000EE"/>
                <w:w w:val="83"/>
              </w:rPr>
            </w:pPr>
            <w:hyperlink w:anchor="page55">
              <w:r>
                <w:rPr>
                  <w:rFonts w:ascii="Arial" w:cs="Arial" w:eastAsia="Arial" w:hAnsi="Arial"/>
                  <w:sz w:val="18"/>
                  <w:szCs w:val="18"/>
                  <w:b w:val="1"/>
                  <w:bCs w:val="1"/>
                  <w:i w:val="1"/>
                  <w:iCs w:val="1"/>
                  <w:color w:val="0000EE"/>
                  <w:w w:val="83"/>
                </w:rPr>
                <w:t>Controls and Procedures</w:t>
              </w:r>
            </w:hyperlink>
          </w:p>
        </w:tc>
        <w:tc>
          <w:tcPr>
            <w:tcW w:w="5900" w:type="dxa"/>
            <w:vAlign w:val="bottom"/>
            <w:gridSpan w:val="8"/>
          </w:tcPr>
          <w:p>
            <w:pPr>
              <w:spacing w:after="0"/>
              <w:rPr>
                <w:sz w:val="17"/>
                <w:szCs w:val="17"/>
                <w:color w:val="auto"/>
              </w:rPr>
            </w:pPr>
          </w:p>
        </w:tc>
        <w:tc>
          <w:tcPr>
            <w:tcW w:w="360" w:type="dxa"/>
            <w:vAlign w:val="bottom"/>
          </w:tcPr>
          <w:p>
            <w:pPr>
              <w:spacing w:after="0"/>
              <w:rPr>
                <w:sz w:val="17"/>
                <w:szCs w:val="17"/>
                <w:color w:val="auto"/>
              </w:rPr>
            </w:pPr>
          </w:p>
        </w:tc>
        <w:tc>
          <w:tcPr>
            <w:tcW w:w="180" w:type="dxa"/>
            <w:vAlign w:val="bottom"/>
            <w:tcBorders>
              <w:bottom w:val="single" w:sz="8" w:color="0000EE"/>
            </w:tcBorders>
            <w:gridSpan w:val="2"/>
          </w:tcPr>
          <w:p>
            <w:pPr>
              <w:jc w:val="right"/>
              <w:spacing w:after="0" w:line="196" w:lineRule="exact"/>
              <w:rPr>
                <w:rFonts w:ascii="Arial" w:cs="Arial" w:eastAsia="Arial" w:hAnsi="Arial"/>
                <w:sz w:val="18"/>
                <w:szCs w:val="18"/>
                <w:b w:val="1"/>
                <w:bCs w:val="1"/>
                <w:color w:val="0000EE"/>
                <w:w w:val="79"/>
              </w:rPr>
            </w:pPr>
            <w:hyperlink w:anchor="page55">
              <w:r>
                <w:rPr>
                  <w:rFonts w:ascii="Arial" w:cs="Arial" w:eastAsia="Arial" w:hAnsi="Arial"/>
                  <w:sz w:val="18"/>
                  <w:szCs w:val="18"/>
                  <w:b w:val="1"/>
                  <w:bCs w:val="1"/>
                  <w:color w:val="0000EE"/>
                  <w:w w:val="79"/>
                </w:rPr>
                <w:t>54</w:t>
              </w:r>
            </w:hyperlink>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1140" w:type="dxa"/>
            <w:vAlign w:val="bottom"/>
          </w:tcPr>
          <w:p>
            <w:pPr>
              <w:spacing w:after="0"/>
              <w:rPr>
                <w:sz w:val="24"/>
                <w:szCs w:val="24"/>
                <w:color w:val="auto"/>
              </w:rPr>
            </w:pPr>
          </w:p>
        </w:tc>
        <w:tc>
          <w:tcPr>
            <w:tcW w:w="540" w:type="dxa"/>
            <w:vAlign w:val="bottom"/>
            <w:vMerge w:val="restart"/>
          </w:tcPr>
          <w:p>
            <w:pPr>
              <w:spacing w:after="0"/>
              <w:rPr>
                <w:rFonts w:ascii="Arial" w:cs="Arial" w:eastAsia="Arial" w:hAnsi="Arial"/>
                <w:sz w:val="18"/>
                <w:szCs w:val="18"/>
                <w:b w:val="1"/>
                <w:bCs w:val="1"/>
                <w:color w:val="0000EE"/>
                <w:w w:val="91"/>
              </w:rPr>
            </w:pPr>
            <w:hyperlink w:anchor="page56">
              <w:r>
                <w:rPr>
                  <w:rFonts w:ascii="Arial" w:cs="Arial" w:eastAsia="Arial" w:hAnsi="Arial"/>
                  <w:sz w:val="18"/>
                  <w:szCs w:val="18"/>
                  <w:b w:val="1"/>
                  <w:bCs w:val="1"/>
                  <w:color w:val="0000EE"/>
                  <w:w w:val="91"/>
                </w:rPr>
                <w:t>Item 1.</w:t>
              </w:r>
            </w:hyperlink>
          </w:p>
        </w:tc>
        <w:tc>
          <w:tcPr>
            <w:tcW w:w="240" w:type="dxa"/>
            <w:vAlign w:val="bottom"/>
            <w:gridSpan w:val="3"/>
            <w:vMerge w:val="restart"/>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780" w:type="dxa"/>
            <w:vAlign w:val="bottom"/>
            <w:tcBorders>
              <w:bottom w:val="single" w:sz="8" w:color="0000EE"/>
            </w:tcBorders>
            <w:gridSpan w:val="3"/>
          </w:tcPr>
          <w:p>
            <w:pPr>
              <w:spacing w:after="0"/>
              <w:rPr>
                <w:rFonts w:ascii="Arial" w:cs="Arial" w:eastAsia="Arial" w:hAnsi="Arial"/>
                <w:sz w:val="18"/>
                <w:szCs w:val="18"/>
                <w:b w:val="1"/>
                <w:bCs w:val="1"/>
                <w:color w:val="0000EE"/>
                <w:w w:val="99"/>
              </w:rPr>
            </w:pPr>
            <w:hyperlink w:anchor="page56">
              <w:r>
                <w:rPr>
                  <w:rFonts w:ascii="Arial" w:cs="Arial" w:eastAsia="Arial" w:hAnsi="Arial"/>
                  <w:sz w:val="18"/>
                  <w:szCs w:val="18"/>
                  <w:b w:val="1"/>
                  <w:bCs w:val="1"/>
                  <w:color w:val="0000EE"/>
                  <w:w w:val="99"/>
                </w:rPr>
                <w:t>PART II—OTHER INFORMATION</w:t>
              </w:r>
            </w:hyperlink>
          </w:p>
        </w:tc>
        <w:tc>
          <w:tcPr>
            <w:tcW w:w="2540" w:type="dxa"/>
            <w:vAlign w:val="bottom"/>
            <w:gridSpan w:val="3"/>
          </w:tcPr>
          <w:p>
            <w:pPr>
              <w:spacing w:after="0"/>
              <w:rPr>
                <w:sz w:val="24"/>
                <w:szCs w:val="24"/>
                <w:color w:val="auto"/>
              </w:rPr>
            </w:pPr>
          </w:p>
        </w:tc>
        <w:tc>
          <w:tcPr>
            <w:tcW w:w="540" w:type="dxa"/>
            <w:vAlign w:val="bottom"/>
            <w:gridSpan w:val="3"/>
            <w:vMerge w:val="restart"/>
          </w:tcPr>
          <w:p>
            <w:pPr>
              <w:jc w:val="right"/>
              <w:spacing w:after="0"/>
              <w:rPr>
                <w:rFonts w:ascii="Arial" w:cs="Arial" w:eastAsia="Arial" w:hAnsi="Arial"/>
                <w:sz w:val="18"/>
                <w:szCs w:val="18"/>
                <w:b w:val="1"/>
                <w:bCs w:val="1"/>
                <w:color w:val="0000EE"/>
              </w:rPr>
            </w:pPr>
            <w:hyperlink w:anchor="page56">
              <w:r>
                <w:rPr>
                  <w:rFonts w:ascii="Arial" w:cs="Arial" w:eastAsia="Arial" w:hAnsi="Arial"/>
                  <w:sz w:val="18"/>
                  <w:szCs w:val="18"/>
                  <w:b w:val="1"/>
                  <w:bCs w:val="1"/>
                  <w:color w:val="0000EE"/>
                </w:rPr>
                <w:t>55</w:t>
              </w:r>
            </w:hyperlink>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540" w:type="dxa"/>
            <w:vAlign w:val="bottom"/>
            <w:vMerge w:val="continue"/>
          </w:tcPr>
          <w:p>
            <w:pPr>
              <w:spacing w:after="0"/>
              <w:rPr>
                <w:sz w:val="17"/>
                <w:szCs w:val="17"/>
                <w:color w:val="auto"/>
              </w:rPr>
            </w:pPr>
          </w:p>
        </w:tc>
        <w:tc>
          <w:tcPr>
            <w:tcW w:w="240" w:type="dxa"/>
            <w:vAlign w:val="bottom"/>
            <w:gridSpan w:val="3"/>
            <w:vMerge w:val="continue"/>
          </w:tcPr>
          <w:p>
            <w:pPr>
              <w:spacing w:after="0"/>
              <w:rPr>
                <w:sz w:val="17"/>
                <w:szCs w:val="17"/>
                <w:color w:val="auto"/>
              </w:rPr>
            </w:pPr>
          </w:p>
        </w:tc>
        <w:tc>
          <w:tcPr>
            <w:tcW w:w="100" w:type="dxa"/>
            <w:vAlign w:val="bottom"/>
          </w:tcPr>
          <w:p>
            <w:pPr>
              <w:spacing w:after="0"/>
              <w:rPr>
                <w:sz w:val="17"/>
                <w:szCs w:val="17"/>
                <w:color w:val="auto"/>
              </w:rPr>
            </w:pPr>
          </w:p>
        </w:tc>
        <w:tc>
          <w:tcPr>
            <w:tcW w:w="7720" w:type="dxa"/>
            <w:vAlign w:val="bottom"/>
            <w:gridSpan w:val="13"/>
          </w:tcPr>
          <w:p>
            <w:pPr>
              <w:spacing w:after="0" w:line="196" w:lineRule="exact"/>
              <w:rPr>
                <w:rFonts w:ascii="Arial" w:cs="Arial" w:eastAsia="Arial" w:hAnsi="Arial"/>
                <w:sz w:val="18"/>
                <w:szCs w:val="18"/>
                <w:b w:val="1"/>
                <w:bCs w:val="1"/>
                <w:i w:val="1"/>
                <w:iCs w:val="1"/>
                <w:color w:val="0000EE"/>
              </w:rPr>
            </w:pPr>
            <w:hyperlink w:anchor="page56">
              <w:r>
                <w:rPr>
                  <w:rFonts w:ascii="Arial" w:cs="Arial" w:eastAsia="Arial" w:hAnsi="Arial"/>
                  <w:sz w:val="18"/>
                  <w:szCs w:val="18"/>
                  <w:b w:val="1"/>
                  <w:bCs w:val="1"/>
                  <w:i w:val="1"/>
                  <w:iCs w:val="1"/>
                  <w:color w:val="0000EE"/>
                </w:rPr>
                <w:t>Legal Proceedings</w:t>
              </w:r>
            </w:hyperlink>
          </w:p>
        </w:tc>
        <w:tc>
          <w:tcPr>
            <w:tcW w:w="540" w:type="dxa"/>
            <w:vAlign w:val="bottom"/>
            <w:gridSpan w:val="3"/>
            <w:vMerge w:val="continue"/>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3020" w:type="dxa"/>
            <w:vAlign w:val="bottom"/>
            <w:gridSpan w:val="5"/>
          </w:tcPr>
          <w:p>
            <w:pPr>
              <w:spacing w:after="0" w:line="20" w:lineRule="exact"/>
              <w:rPr>
                <w:sz w:val="1"/>
                <w:szCs w:val="1"/>
                <w:color w:val="auto"/>
              </w:rPr>
            </w:pPr>
          </w:p>
        </w:tc>
        <w:tc>
          <w:tcPr>
            <w:tcW w:w="3360" w:type="dxa"/>
            <w:vAlign w:val="bottom"/>
            <w:gridSpan w:val="5"/>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780" w:type="dxa"/>
            <w:vAlign w:val="bottom"/>
            <w:gridSpan w:val="4"/>
          </w:tcPr>
          <w:p>
            <w:pPr>
              <w:spacing w:after="0" w:line="196" w:lineRule="exact"/>
              <w:rPr>
                <w:rFonts w:ascii="Arial" w:cs="Arial" w:eastAsia="Arial" w:hAnsi="Arial"/>
                <w:sz w:val="18"/>
                <w:szCs w:val="18"/>
                <w:b w:val="1"/>
                <w:bCs w:val="1"/>
                <w:color w:val="0000EE"/>
              </w:rPr>
            </w:pPr>
            <w:hyperlink w:anchor="page56">
              <w:r>
                <w:rPr>
                  <w:rFonts w:ascii="Arial" w:cs="Arial" w:eastAsia="Arial" w:hAnsi="Arial"/>
                  <w:sz w:val="18"/>
                  <w:szCs w:val="18"/>
                  <w:b w:val="1"/>
                  <w:bCs w:val="1"/>
                  <w:color w:val="0000EE"/>
                </w:rPr>
                <w:t>Item 1A.</w:t>
              </w:r>
            </w:hyperlink>
          </w:p>
        </w:tc>
        <w:tc>
          <w:tcPr>
            <w:tcW w:w="7820" w:type="dxa"/>
            <w:vAlign w:val="bottom"/>
            <w:gridSpan w:val="14"/>
          </w:tcPr>
          <w:p>
            <w:pPr>
              <w:ind w:left="100"/>
              <w:spacing w:after="0" w:line="196" w:lineRule="exact"/>
              <w:rPr>
                <w:rFonts w:ascii="Arial" w:cs="Arial" w:eastAsia="Arial" w:hAnsi="Arial"/>
                <w:sz w:val="18"/>
                <w:szCs w:val="18"/>
                <w:b w:val="1"/>
                <w:bCs w:val="1"/>
                <w:i w:val="1"/>
                <w:iCs w:val="1"/>
                <w:color w:val="0000EE"/>
              </w:rPr>
            </w:pPr>
            <w:hyperlink w:anchor="page56">
              <w:r>
                <w:rPr>
                  <w:rFonts w:ascii="Arial" w:cs="Arial" w:eastAsia="Arial" w:hAnsi="Arial"/>
                  <w:sz w:val="18"/>
                  <w:szCs w:val="18"/>
                  <w:b w:val="1"/>
                  <w:bCs w:val="1"/>
                  <w:i w:val="1"/>
                  <w:iCs w:val="1"/>
                  <w:color w:val="0000EE"/>
                </w:rPr>
                <w:t>Risk Factors</w:t>
              </w:r>
            </w:hyperlink>
          </w:p>
        </w:tc>
        <w:tc>
          <w:tcPr>
            <w:tcW w:w="540" w:type="dxa"/>
            <w:vAlign w:val="bottom"/>
            <w:gridSpan w:val="3"/>
          </w:tcPr>
          <w:p>
            <w:pPr>
              <w:jc w:val="right"/>
              <w:spacing w:after="0" w:line="196" w:lineRule="exact"/>
              <w:rPr>
                <w:rFonts w:ascii="Arial" w:cs="Arial" w:eastAsia="Arial" w:hAnsi="Arial"/>
                <w:sz w:val="18"/>
                <w:szCs w:val="18"/>
                <w:b w:val="1"/>
                <w:bCs w:val="1"/>
                <w:color w:val="0000EE"/>
              </w:rPr>
            </w:pPr>
            <w:hyperlink w:anchor="page56">
              <w:r>
                <w:rPr>
                  <w:rFonts w:ascii="Arial" w:cs="Arial" w:eastAsia="Arial" w:hAnsi="Arial"/>
                  <w:sz w:val="18"/>
                  <w:szCs w:val="18"/>
                  <w:b w:val="1"/>
                  <w:bCs w:val="1"/>
                  <w:color w:val="0000EE"/>
                </w:rPr>
                <w:t>55</w:t>
              </w:r>
            </w:hyperlink>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3440" w:type="dxa"/>
            <w:vAlign w:val="bottom"/>
            <w:gridSpan w:val="6"/>
          </w:tcPr>
          <w:p>
            <w:pPr>
              <w:spacing w:after="0" w:line="20" w:lineRule="exact"/>
              <w:rPr>
                <w:sz w:val="1"/>
                <w:szCs w:val="1"/>
                <w:color w:val="auto"/>
              </w:rPr>
            </w:pPr>
          </w:p>
        </w:tc>
        <w:tc>
          <w:tcPr>
            <w:tcW w:w="3360" w:type="dxa"/>
            <w:vAlign w:val="bottom"/>
            <w:gridSpan w:val="5"/>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540" w:type="dxa"/>
            <w:vAlign w:val="bottom"/>
            <w:tcBorders>
              <w:bottom w:val="single" w:sz="8" w:color="0000EE"/>
            </w:tcBorders>
          </w:tcPr>
          <w:p>
            <w:pPr>
              <w:spacing w:after="0" w:line="196" w:lineRule="exact"/>
              <w:rPr>
                <w:rFonts w:ascii="Arial" w:cs="Arial" w:eastAsia="Arial" w:hAnsi="Arial"/>
                <w:sz w:val="18"/>
                <w:szCs w:val="18"/>
                <w:b w:val="1"/>
                <w:bCs w:val="1"/>
                <w:color w:val="0000EE"/>
                <w:w w:val="91"/>
              </w:rPr>
            </w:pPr>
            <w:hyperlink w:anchor="page59">
              <w:r>
                <w:rPr>
                  <w:rFonts w:ascii="Arial" w:cs="Arial" w:eastAsia="Arial" w:hAnsi="Arial"/>
                  <w:sz w:val="18"/>
                  <w:szCs w:val="18"/>
                  <w:b w:val="1"/>
                  <w:bCs w:val="1"/>
                  <w:color w:val="0000EE"/>
                  <w:w w:val="91"/>
                </w:rPr>
                <w:t>Item 2.</w:t>
              </w:r>
            </w:hyperlink>
          </w:p>
        </w:tc>
        <w:tc>
          <w:tcPr>
            <w:tcW w:w="120" w:type="dxa"/>
            <w:vAlign w:val="bottom"/>
            <w:gridSpan w:val="2"/>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360" w:type="dxa"/>
            <w:vAlign w:val="bottom"/>
            <w:tcBorders>
              <w:bottom w:val="single" w:sz="8" w:color="0000EE"/>
            </w:tcBorders>
            <w:gridSpan w:val="8"/>
          </w:tcPr>
          <w:p>
            <w:pPr>
              <w:spacing w:after="0" w:line="196" w:lineRule="exact"/>
              <w:rPr>
                <w:rFonts w:ascii="Arial" w:cs="Arial" w:eastAsia="Arial" w:hAnsi="Arial"/>
                <w:sz w:val="18"/>
                <w:szCs w:val="18"/>
                <w:b w:val="1"/>
                <w:bCs w:val="1"/>
                <w:i w:val="1"/>
                <w:iCs w:val="1"/>
                <w:color w:val="0000EE"/>
                <w:w w:val="83"/>
              </w:rPr>
            </w:pPr>
            <w:hyperlink w:anchor="page59">
              <w:r>
                <w:rPr>
                  <w:rFonts w:ascii="Arial" w:cs="Arial" w:eastAsia="Arial" w:hAnsi="Arial"/>
                  <w:sz w:val="18"/>
                  <w:szCs w:val="18"/>
                  <w:b w:val="1"/>
                  <w:bCs w:val="1"/>
                  <w:i w:val="1"/>
                  <w:iCs w:val="1"/>
                  <w:color w:val="0000EE"/>
                  <w:w w:val="83"/>
                </w:rPr>
                <w:t>Unregistered Sales of Equity Securities and Use of Proceeds</w:t>
              </w:r>
            </w:hyperlink>
          </w:p>
        </w:tc>
        <w:tc>
          <w:tcPr>
            <w:tcW w:w="3360" w:type="dxa"/>
            <w:vAlign w:val="bottom"/>
            <w:gridSpan w:val="5"/>
          </w:tcPr>
          <w:p>
            <w:pPr>
              <w:spacing w:after="0"/>
              <w:rPr>
                <w:sz w:val="17"/>
                <w:szCs w:val="17"/>
                <w:color w:val="auto"/>
              </w:rPr>
            </w:pPr>
          </w:p>
        </w:tc>
        <w:tc>
          <w:tcPr>
            <w:tcW w:w="360" w:type="dxa"/>
            <w:vAlign w:val="bottom"/>
          </w:tcPr>
          <w:p>
            <w:pPr>
              <w:spacing w:after="0"/>
              <w:rPr>
                <w:sz w:val="17"/>
                <w:szCs w:val="17"/>
                <w:color w:val="auto"/>
              </w:rPr>
            </w:pPr>
          </w:p>
        </w:tc>
        <w:tc>
          <w:tcPr>
            <w:tcW w:w="180" w:type="dxa"/>
            <w:vAlign w:val="bottom"/>
            <w:tcBorders>
              <w:bottom w:val="single" w:sz="8" w:color="0000EE"/>
            </w:tcBorders>
            <w:gridSpan w:val="2"/>
          </w:tcPr>
          <w:p>
            <w:pPr>
              <w:jc w:val="right"/>
              <w:spacing w:after="0" w:line="196" w:lineRule="exact"/>
              <w:rPr>
                <w:rFonts w:ascii="Arial" w:cs="Arial" w:eastAsia="Arial" w:hAnsi="Arial"/>
                <w:sz w:val="18"/>
                <w:szCs w:val="18"/>
                <w:b w:val="1"/>
                <w:bCs w:val="1"/>
                <w:color w:val="0000EE"/>
                <w:w w:val="79"/>
              </w:rPr>
            </w:pPr>
            <w:hyperlink w:anchor="page59">
              <w:r>
                <w:rPr>
                  <w:rFonts w:ascii="Arial" w:cs="Arial" w:eastAsia="Arial" w:hAnsi="Arial"/>
                  <w:sz w:val="18"/>
                  <w:szCs w:val="18"/>
                  <w:b w:val="1"/>
                  <w:bCs w:val="1"/>
                  <w:color w:val="0000EE"/>
                  <w:w w:val="79"/>
                </w:rPr>
                <w:t>58</w:t>
              </w:r>
            </w:hyperlink>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540" w:type="dxa"/>
            <w:vAlign w:val="bottom"/>
            <w:tcBorders>
              <w:bottom w:val="single" w:sz="8" w:color="0000EE"/>
            </w:tcBorders>
          </w:tcPr>
          <w:p>
            <w:pPr>
              <w:spacing w:after="0" w:line="196" w:lineRule="exact"/>
              <w:rPr>
                <w:rFonts w:ascii="Arial" w:cs="Arial" w:eastAsia="Arial" w:hAnsi="Arial"/>
                <w:sz w:val="18"/>
                <w:szCs w:val="18"/>
                <w:b w:val="1"/>
                <w:bCs w:val="1"/>
                <w:color w:val="0000EE"/>
                <w:w w:val="91"/>
              </w:rPr>
            </w:pPr>
            <w:hyperlink w:anchor="page60">
              <w:r>
                <w:rPr>
                  <w:rFonts w:ascii="Arial" w:cs="Arial" w:eastAsia="Arial" w:hAnsi="Arial"/>
                  <w:sz w:val="18"/>
                  <w:szCs w:val="18"/>
                  <w:b w:val="1"/>
                  <w:bCs w:val="1"/>
                  <w:color w:val="0000EE"/>
                  <w:w w:val="91"/>
                </w:rPr>
                <w:t>Item 6.</w:t>
              </w:r>
            </w:hyperlink>
          </w:p>
        </w:tc>
        <w:tc>
          <w:tcPr>
            <w:tcW w:w="240" w:type="dxa"/>
            <w:vAlign w:val="bottom"/>
            <w:gridSpan w:val="3"/>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Borders>
              <w:bottom w:val="single" w:sz="8" w:color="0000EE"/>
            </w:tcBorders>
          </w:tcPr>
          <w:p>
            <w:pPr>
              <w:spacing w:after="0" w:line="196" w:lineRule="exact"/>
              <w:rPr>
                <w:rFonts w:ascii="Arial" w:cs="Arial" w:eastAsia="Arial" w:hAnsi="Arial"/>
                <w:sz w:val="18"/>
                <w:szCs w:val="18"/>
                <w:b w:val="1"/>
                <w:bCs w:val="1"/>
                <w:i w:val="1"/>
                <w:iCs w:val="1"/>
                <w:color w:val="0000EE"/>
                <w:w w:val="85"/>
              </w:rPr>
            </w:pPr>
            <w:hyperlink w:anchor="page60">
              <w:r>
                <w:rPr>
                  <w:rFonts w:ascii="Arial" w:cs="Arial" w:eastAsia="Arial" w:hAnsi="Arial"/>
                  <w:sz w:val="18"/>
                  <w:szCs w:val="18"/>
                  <w:b w:val="1"/>
                  <w:bCs w:val="1"/>
                  <w:i w:val="1"/>
                  <w:iCs w:val="1"/>
                  <w:color w:val="0000EE"/>
                  <w:w w:val="85"/>
                </w:rPr>
                <w:t>Exhibits</w:t>
              </w:r>
            </w:hyperlink>
          </w:p>
        </w:tc>
        <w:tc>
          <w:tcPr>
            <w:tcW w:w="7100" w:type="dxa"/>
            <w:vAlign w:val="bottom"/>
            <w:gridSpan w:val="12"/>
          </w:tcPr>
          <w:p>
            <w:pPr>
              <w:spacing w:after="0"/>
              <w:rPr>
                <w:sz w:val="17"/>
                <w:szCs w:val="17"/>
                <w:color w:val="auto"/>
              </w:rPr>
            </w:pPr>
          </w:p>
        </w:tc>
        <w:tc>
          <w:tcPr>
            <w:tcW w:w="360" w:type="dxa"/>
            <w:vAlign w:val="bottom"/>
          </w:tcPr>
          <w:p>
            <w:pPr>
              <w:spacing w:after="0"/>
              <w:rPr>
                <w:sz w:val="17"/>
                <w:szCs w:val="17"/>
                <w:color w:val="auto"/>
              </w:rPr>
            </w:pPr>
          </w:p>
        </w:tc>
        <w:tc>
          <w:tcPr>
            <w:tcW w:w="180" w:type="dxa"/>
            <w:vAlign w:val="bottom"/>
            <w:tcBorders>
              <w:bottom w:val="single" w:sz="8" w:color="0000EE"/>
            </w:tcBorders>
            <w:gridSpan w:val="2"/>
          </w:tcPr>
          <w:p>
            <w:pPr>
              <w:jc w:val="right"/>
              <w:spacing w:after="0" w:line="196" w:lineRule="exact"/>
              <w:rPr>
                <w:rFonts w:ascii="Arial" w:cs="Arial" w:eastAsia="Arial" w:hAnsi="Arial"/>
                <w:sz w:val="18"/>
                <w:szCs w:val="18"/>
                <w:b w:val="1"/>
                <w:bCs w:val="1"/>
                <w:color w:val="0000EE"/>
                <w:w w:val="79"/>
              </w:rPr>
            </w:pPr>
            <w:hyperlink w:anchor="page60">
              <w:r>
                <w:rPr>
                  <w:rFonts w:ascii="Arial" w:cs="Arial" w:eastAsia="Arial" w:hAnsi="Arial"/>
                  <w:sz w:val="18"/>
                  <w:szCs w:val="18"/>
                  <w:b w:val="1"/>
                  <w:bCs w:val="1"/>
                  <w:color w:val="0000EE"/>
                  <w:w w:val="79"/>
                </w:rPr>
                <w:t>59</w:t>
              </w:r>
            </w:hyperlink>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51"/>
        </w:trPr>
        <w:tc>
          <w:tcPr>
            <w:tcW w:w="1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60" w:type="dxa"/>
            <w:vAlign w:val="bottom"/>
            <w:gridSpan w:val="9"/>
          </w:tcPr>
          <w:p>
            <w:pPr>
              <w:jc w:val="right"/>
              <w:ind w:right="532"/>
              <w:spacing w:after="0"/>
              <w:rPr>
                <w:sz w:val="20"/>
                <w:szCs w:val="20"/>
                <w:color w:val="auto"/>
              </w:rPr>
            </w:pPr>
            <w:r>
              <w:rPr>
                <w:rFonts w:ascii="Arial" w:cs="Arial" w:eastAsia="Arial" w:hAnsi="Arial"/>
                <w:sz w:val="18"/>
                <w:szCs w:val="18"/>
                <w:color w:val="auto"/>
              </w:rPr>
              <w:t>2</w:t>
            </w: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1140" w:type="dxa"/>
            <w:vAlign w:val="bottom"/>
            <w:tcBorders>
              <w:bottom w:val="single" w:sz="8" w:color="808080"/>
            </w:tcBorders>
          </w:tcPr>
          <w:p>
            <w:pPr>
              <w:spacing w:after="0"/>
              <w:rPr>
                <w:sz w:val="19"/>
                <w:szCs w:val="19"/>
                <w:color w:val="auto"/>
              </w:rPr>
            </w:pPr>
          </w:p>
        </w:tc>
        <w:tc>
          <w:tcPr>
            <w:tcW w:w="54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620" w:type="dxa"/>
            <w:vAlign w:val="bottom"/>
            <w:tcBorders>
              <w:bottom w:val="single" w:sz="8" w:color="808080"/>
            </w:tcBorders>
          </w:tcPr>
          <w:p>
            <w:pPr>
              <w:spacing w:after="0"/>
              <w:rPr>
                <w:sz w:val="19"/>
                <w:szCs w:val="19"/>
                <w:color w:val="auto"/>
              </w:rPr>
            </w:pPr>
          </w:p>
        </w:tc>
        <w:tc>
          <w:tcPr>
            <w:tcW w:w="300" w:type="dxa"/>
            <w:vAlign w:val="bottom"/>
            <w:tcBorders>
              <w:bottom w:val="single" w:sz="8" w:color="808080"/>
            </w:tcBorders>
          </w:tcPr>
          <w:p>
            <w:pPr>
              <w:spacing w:after="0"/>
              <w:rPr>
                <w:sz w:val="19"/>
                <w:szCs w:val="19"/>
                <w:color w:val="auto"/>
              </w:rPr>
            </w:pPr>
          </w:p>
        </w:tc>
        <w:tc>
          <w:tcPr>
            <w:tcW w:w="42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260" w:type="dxa"/>
            <w:vAlign w:val="bottom"/>
            <w:tcBorders>
              <w:bottom w:val="single" w:sz="8" w:color="808080"/>
            </w:tcBorders>
          </w:tcPr>
          <w:p>
            <w:pPr>
              <w:spacing w:after="0"/>
              <w:rPr>
                <w:sz w:val="19"/>
                <w:szCs w:val="19"/>
                <w:color w:val="auto"/>
              </w:rPr>
            </w:pPr>
          </w:p>
        </w:tc>
        <w:tc>
          <w:tcPr>
            <w:tcW w:w="340" w:type="dxa"/>
            <w:vAlign w:val="bottom"/>
            <w:tcBorders>
              <w:bottom w:val="single" w:sz="8" w:color="808080"/>
            </w:tcBorders>
          </w:tcPr>
          <w:p>
            <w:pPr>
              <w:spacing w:after="0"/>
              <w:rPr>
                <w:sz w:val="19"/>
                <w:szCs w:val="19"/>
                <w:color w:val="auto"/>
              </w:rPr>
            </w:pPr>
          </w:p>
        </w:tc>
        <w:tc>
          <w:tcPr>
            <w:tcW w:w="240" w:type="dxa"/>
            <w:vAlign w:val="bottom"/>
            <w:tcBorders>
              <w:bottom w:val="single" w:sz="8" w:color="808080"/>
            </w:tcBorders>
          </w:tcPr>
          <w:p>
            <w:pPr>
              <w:spacing w:after="0"/>
              <w:rPr>
                <w:sz w:val="19"/>
                <w:szCs w:val="19"/>
                <w:color w:val="auto"/>
              </w:rPr>
            </w:pPr>
          </w:p>
        </w:tc>
        <w:tc>
          <w:tcPr>
            <w:tcW w:w="196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c>
          <w:tcPr>
            <w:tcW w:w="800" w:type="dxa"/>
            <w:vAlign w:val="bottom"/>
            <w:tcBorders>
              <w:bottom w:val="single" w:sz="8" w:color="808080"/>
            </w:tcBorders>
          </w:tcPr>
          <w:p>
            <w:pPr>
              <w:spacing w:after="0"/>
              <w:rPr>
                <w:sz w:val="19"/>
                <w:szCs w:val="19"/>
                <w:color w:val="auto"/>
              </w:rPr>
            </w:pPr>
          </w:p>
        </w:tc>
        <w:tc>
          <w:tcPr>
            <w:tcW w:w="60" w:type="dxa"/>
            <w:vAlign w:val="bottom"/>
            <w:tcBorders>
              <w:bottom w:val="single" w:sz="8" w:color="808080"/>
            </w:tcBorders>
          </w:tcPr>
          <w:p>
            <w:pPr>
              <w:spacing w:after="0"/>
              <w:rPr>
                <w:sz w:val="19"/>
                <w:szCs w:val="19"/>
                <w:color w:val="auto"/>
              </w:rPr>
            </w:pPr>
          </w:p>
        </w:tc>
        <w:tc>
          <w:tcPr>
            <w:tcW w:w="1280" w:type="dxa"/>
            <w:vAlign w:val="bottom"/>
            <w:tcBorders>
              <w:bottom w:val="single" w:sz="8" w:color="808080"/>
            </w:tcBorders>
          </w:tcPr>
          <w:p>
            <w:pPr>
              <w:spacing w:after="0"/>
              <w:rPr>
                <w:sz w:val="19"/>
                <w:szCs w:val="19"/>
                <w:color w:val="auto"/>
              </w:rPr>
            </w:pPr>
          </w:p>
        </w:tc>
        <w:tc>
          <w:tcPr>
            <w:tcW w:w="1200" w:type="dxa"/>
            <w:vAlign w:val="bottom"/>
            <w:tcBorders>
              <w:bottom w:val="single" w:sz="8" w:color="808080"/>
            </w:tcBorders>
          </w:tcPr>
          <w:p>
            <w:pPr>
              <w:spacing w:after="0"/>
              <w:rPr>
                <w:sz w:val="19"/>
                <w:szCs w:val="19"/>
                <w:color w:val="auto"/>
              </w:rPr>
            </w:pPr>
          </w:p>
        </w:tc>
        <w:tc>
          <w:tcPr>
            <w:tcW w:w="36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114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 w:name="page4"/>
    <w:bookmarkEnd w:id="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ind w:left="4160"/>
        <w:spacing w:after="0"/>
        <w:rPr>
          <w:sz w:val="20"/>
          <w:szCs w:val="20"/>
          <w:color w:val="auto"/>
        </w:rPr>
      </w:pPr>
      <w:r>
        <w:rPr>
          <w:rFonts w:ascii="Arial" w:cs="Arial" w:eastAsia="Arial" w:hAnsi="Arial"/>
          <w:sz w:val="18"/>
          <w:szCs w:val="18"/>
          <w:b w:val="1"/>
          <w:bCs w:val="1"/>
          <w:color w:val="auto"/>
        </w:rPr>
        <w:t>PART 1—FINANCIAL INFORMATION</w:t>
      </w:r>
    </w:p>
    <w:p>
      <w:pPr>
        <w:spacing w:after="0" w:line="225"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i w:val="1"/>
          <w:iCs w:val="1"/>
          <w:color w:val="auto"/>
        </w:rPr>
        <w:t>Financial Statements</w:t>
      </w:r>
    </w:p>
    <w:p>
      <w:pPr>
        <w:spacing w:after="0" w:line="200" w:lineRule="exact"/>
        <w:rPr>
          <w:sz w:val="20"/>
          <w:szCs w:val="20"/>
          <w:color w:val="auto"/>
        </w:rPr>
      </w:pPr>
    </w:p>
    <w:p>
      <w:pPr>
        <w:spacing w:after="0" w:line="241" w:lineRule="exact"/>
        <w:rPr>
          <w:sz w:val="20"/>
          <w:szCs w:val="20"/>
          <w:color w:val="auto"/>
        </w:rPr>
      </w:pPr>
    </w:p>
    <w:p>
      <w:pPr>
        <w:jc w:val="center"/>
        <w:ind w:right="-1099"/>
        <w:spacing w:after="0"/>
        <w:rPr>
          <w:sz w:val="20"/>
          <w:szCs w:val="20"/>
          <w:color w:val="auto"/>
        </w:rPr>
      </w:pPr>
      <w:r>
        <w:rPr>
          <w:rFonts w:ascii="Arial" w:cs="Arial" w:eastAsia="Arial" w:hAnsi="Arial"/>
          <w:sz w:val="18"/>
          <w:szCs w:val="18"/>
          <w:b w:val="1"/>
          <w:bCs w:val="1"/>
          <w:color w:val="auto"/>
        </w:rPr>
        <w:t>TREE.COM, INC. AND SUBSIDIARIES</w:t>
      </w:r>
    </w:p>
    <w:p>
      <w:pPr>
        <w:spacing w:after="0" w:line="225" w:lineRule="exact"/>
        <w:rPr>
          <w:sz w:val="20"/>
          <w:szCs w:val="20"/>
          <w:color w:val="auto"/>
        </w:rPr>
      </w:pPr>
    </w:p>
    <w:p>
      <w:pPr>
        <w:jc w:val="center"/>
        <w:ind w:right="-1099"/>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225" w:lineRule="exact"/>
        <w:rPr>
          <w:sz w:val="20"/>
          <w:szCs w:val="20"/>
          <w:color w:val="auto"/>
        </w:rPr>
      </w:pPr>
    </w:p>
    <w:p>
      <w:pPr>
        <w:ind w:left="5240"/>
        <w:spacing w:after="0"/>
        <w:rPr>
          <w:sz w:val="20"/>
          <w:szCs w:val="20"/>
          <w:color w:val="auto"/>
        </w:rPr>
      </w:pPr>
      <w:r>
        <w:rPr>
          <w:rFonts w:ascii="Arial" w:cs="Arial" w:eastAsia="Arial" w:hAnsi="Arial"/>
          <w:sz w:val="18"/>
          <w:szCs w:val="18"/>
          <w:b w:val="1"/>
          <w:bCs w:val="1"/>
          <w:color w:val="auto"/>
        </w:rPr>
        <w:t>(Unaudited)</w:t>
      </w:r>
    </w:p>
    <w:p>
      <w:pPr>
        <w:spacing w:after="0" w:line="214"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80" w:type="dxa"/>
            <w:vAlign w:val="bottom"/>
            <w:gridSpan w:val="5"/>
          </w:tcPr>
          <w:p>
            <w:pPr>
              <w:jc w:val="right"/>
              <w:ind w:right="540"/>
              <w:spacing w:after="0"/>
              <w:rPr>
                <w:sz w:val="20"/>
                <w:szCs w:val="20"/>
                <w:color w:val="auto"/>
              </w:rPr>
            </w:pPr>
            <w:r>
              <w:rPr>
                <w:rFonts w:ascii="Arial" w:cs="Arial" w:eastAsia="Arial" w:hAnsi="Arial"/>
                <w:sz w:val="14"/>
                <w:szCs w:val="14"/>
                <w:b w:val="1"/>
                <w:bCs w:val="1"/>
                <w:color w:val="auto"/>
              </w:rPr>
              <w:t>Three Months</w:t>
            </w:r>
          </w:p>
        </w:tc>
        <w:tc>
          <w:tcPr>
            <w:tcW w:w="140" w:type="dxa"/>
            <w:vAlign w:val="bottom"/>
          </w:tcPr>
          <w:p>
            <w:pPr>
              <w:spacing w:after="0"/>
              <w:rPr>
                <w:sz w:val="14"/>
                <w:szCs w:val="14"/>
                <w:color w:val="auto"/>
              </w:rPr>
            </w:pPr>
          </w:p>
        </w:tc>
        <w:tc>
          <w:tcPr>
            <w:tcW w:w="1740" w:type="dxa"/>
            <w:vAlign w:val="bottom"/>
            <w:gridSpan w:val="5"/>
          </w:tcPr>
          <w:p>
            <w:pPr>
              <w:jc w:val="right"/>
              <w:ind w:right="660"/>
              <w:spacing w:after="0"/>
              <w:rPr>
                <w:sz w:val="20"/>
                <w:szCs w:val="20"/>
                <w:color w:val="auto"/>
              </w:rPr>
            </w:pPr>
            <w:r>
              <w:rPr>
                <w:rFonts w:ascii="Arial" w:cs="Arial" w:eastAsia="Arial" w:hAnsi="Arial"/>
                <w:sz w:val="14"/>
                <w:szCs w:val="14"/>
                <w:b w:val="1"/>
                <w:bCs w:val="1"/>
                <w:color w:val="auto"/>
              </w:rPr>
              <w:t>Nine Months</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5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80" w:type="dxa"/>
            <w:vAlign w:val="bottom"/>
            <w:gridSpan w:val="5"/>
          </w:tcPr>
          <w:p>
            <w:pPr>
              <w:jc w:val="right"/>
              <w:ind w:right="320"/>
              <w:spacing w:after="0"/>
              <w:rPr>
                <w:sz w:val="20"/>
                <w:szCs w:val="20"/>
                <w:color w:val="auto"/>
              </w:rPr>
            </w:pPr>
            <w:r>
              <w:rPr>
                <w:rFonts w:ascii="Arial" w:cs="Arial" w:eastAsia="Arial" w:hAnsi="Arial"/>
                <w:sz w:val="14"/>
                <w:szCs w:val="14"/>
                <w:b w:val="1"/>
                <w:bCs w:val="1"/>
                <w:color w:val="auto"/>
                <w:w w:val="87"/>
              </w:rPr>
              <w:t>Ended September 30,</w:t>
            </w:r>
          </w:p>
        </w:tc>
        <w:tc>
          <w:tcPr>
            <w:tcW w:w="140" w:type="dxa"/>
            <w:vAlign w:val="bottom"/>
          </w:tcPr>
          <w:p>
            <w:pPr>
              <w:spacing w:after="0"/>
              <w:rPr>
                <w:sz w:val="14"/>
                <w:szCs w:val="14"/>
                <w:color w:val="auto"/>
              </w:rPr>
            </w:pPr>
          </w:p>
        </w:tc>
        <w:tc>
          <w:tcPr>
            <w:tcW w:w="1740" w:type="dxa"/>
            <w:vAlign w:val="bottom"/>
            <w:gridSpan w:val="5"/>
          </w:tcPr>
          <w:p>
            <w:pPr>
              <w:jc w:val="right"/>
              <w:ind w:right="420"/>
              <w:spacing w:after="0"/>
              <w:rPr>
                <w:sz w:val="20"/>
                <w:szCs w:val="20"/>
                <w:color w:val="auto"/>
              </w:rPr>
            </w:pPr>
            <w:r>
              <w:rPr>
                <w:rFonts w:ascii="Arial" w:cs="Arial" w:eastAsia="Arial" w:hAnsi="Arial"/>
                <w:sz w:val="14"/>
                <w:szCs w:val="14"/>
                <w:b w:val="1"/>
                <w:bCs w:val="1"/>
                <w:color w:val="auto"/>
                <w:w w:val="91"/>
              </w:rPr>
              <w:t>Ended September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54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135"/>
              <w:spacing w:after="0" w:line="142" w:lineRule="exact"/>
              <w:rPr>
                <w:sz w:val="20"/>
                <w:szCs w:val="20"/>
                <w:color w:val="auto"/>
              </w:rPr>
            </w:pPr>
            <w:r>
              <w:rPr>
                <w:rFonts w:ascii="Arial" w:cs="Arial" w:eastAsia="Arial" w:hAnsi="Arial"/>
                <w:sz w:val="14"/>
                <w:szCs w:val="14"/>
                <w:b w:val="1"/>
                <w:bCs w:val="1"/>
                <w:color w:val="auto"/>
              </w:rPr>
              <w:t>2010</w:t>
            </w:r>
          </w:p>
        </w:tc>
        <w:tc>
          <w:tcPr>
            <w:tcW w:w="160" w:type="dxa"/>
            <w:vAlign w:val="bottom"/>
            <w:tcBorders>
              <w:top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133"/>
              <w:spacing w:after="0" w:line="142" w:lineRule="exact"/>
              <w:rPr>
                <w:sz w:val="20"/>
                <w:szCs w:val="20"/>
                <w:color w:val="auto"/>
              </w:rPr>
            </w:pPr>
            <w:r>
              <w:rPr>
                <w:rFonts w:ascii="Arial" w:cs="Arial" w:eastAsia="Arial" w:hAnsi="Arial"/>
                <w:sz w:val="14"/>
                <w:szCs w:val="14"/>
                <w:b w:val="1"/>
                <w:bCs w:val="1"/>
                <w:color w:val="auto"/>
              </w:rPr>
              <w:t>2009</w:t>
            </w:r>
          </w:p>
        </w:tc>
        <w:tc>
          <w:tcPr>
            <w:tcW w:w="16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174"/>
              <w:spacing w:after="0" w:line="142" w:lineRule="exact"/>
              <w:rPr>
                <w:sz w:val="20"/>
                <w:szCs w:val="20"/>
                <w:color w:val="auto"/>
              </w:rPr>
            </w:pPr>
            <w:r>
              <w:rPr>
                <w:rFonts w:ascii="Arial" w:cs="Arial" w:eastAsia="Arial" w:hAnsi="Arial"/>
                <w:sz w:val="14"/>
                <w:szCs w:val="14"/>
                <w:b w:val="1"/>
                <w:bCs w:val="1"/>
                <w:color w:val="auto"/>
              </w:rPr>
              <w:t>2010</w:t>
            </w:r>
          </w:p>
        </w:tc>
        <w:tc>
          <w:tcPr>
            <w:tcW w:w="160" w:type="dxa"/>
            <w:vAlign w:val="bottom"/>
            <w:tcBorders>
              <w:top w:val="single" w:sz="8" w:color="auto"/>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jc w:val="right"/>
              <w:ind w:right="173"/>
              <w:spacing w:after="0" w:line="142" w:lineRule="exact"/>
              <w:rPr>
                <w:sz w:val="20"/>
                <w:szCs w:val="20"/>
                <w:color w:val="auto"/>
              </w:rPr>
            </w:pPr>
            <w:r>
              <w:rPr>
                <w:rFonts w:ascii="Arial" w:cs="Arial" w:eastAsia="Arial" w:hAnsi="Arial"/>
                <w:sz w:val="14"/>
                <w:szCs w:val="14"/>
                <w:b w:val="1"/>
                <w:bCs w:val="1"/>
                <w:color w:val="auto"/>
              </w:rPr>
              <w:t>2009</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(In</w:t>
            </w:r>
          </w:p>
        </w:tc>
        <w:tc>
          <w:tcPr>
            <w:tcW w:w="160" w:type="dxa"/>
            <w:vAlign w:val="bottom"/>
          </w:tcPr>
          <w:p>
            <w:pPr>
              <w:spacing w:after="0"/>
              <w:rPr>
                <w:sz w:val="12"/>
                <w:szCs w:val="12"/>
                <w:color w:val="auto"/>
              </w:rPr>
            </w:pPr>
          </w:p>
        </w:tc>
        <w:tc>
          <w:tcPr>
            <w:tcW w:w="2740" w:type="dxa"/>
            <w:vAlign w:val="bottom"/>
            <w:gridSpan w:val="9"/>
          </w:tcPr>
          <w:p>
            <w:pPr>
              <w:spacing w:after="0" w:line="142" w:lineRule="exact"/>
              <w:rPr>
                <w:sz w:val="20"/>
                <w:szCs w:val="20"/>
                <w:color w:val="auto"/>
              </w:rPr>
            </w:pPr>
            <w:r>
              <w:rPr>
                <w:rFonts w:ascii="Arial" w:cs="Arial" w:eastAsia="Arial" w:hAnsi="Arial"/>
                <w:sz w:val="14"/>
                <w:szCs w:val="14"/>
                <w:b w:val="1"/>
                <w:bCs w:val="1"/>
                <w:color w:val="auto"/>
              </w:rPr>
              <w:t>thousands, except per share amounts)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tcPr>
          <w:p>
            <w:pPr>
              <w:ind w:left="260"/>
              <w:spacing w:after="0"/>
              <w:rPr>
                <w:sz w:val="20"/>
                <w:szCs w:val="20"/>
                <w:color w:val="auto"/>
              </w:rPr>
            </w:pPr>
            <w:r>
              <w:rPr>
                <w:rFonts w:ascii="Arial" w:cs="Arial" w:eastAsia="Arial" w:hAnsi="Arial"/>
                <w:sz w:val="18"/>
                <w:szCs w:val="18"/>
                <w:color w:val="auto"/>
              </w:rPr>
              <w:t>LendingTree Loans</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Pr>
          <w:p>
            <w:pPr>
              <w:jc w:val="right"/>
              <w:spacing w:after="0"/>
              <w:rPr>
                <w:sz w:val="20"/>
                <w:szCs w:val="20"/>
                <w:color w:val="auto"/>
              </w:rPr>
            </w:pPr>
            <w:r>
              <w:rPr>
                <w:rFonts w:ascii="Arial" w:cs="Arial" w:eastAsia="Arial" w:hAnsi="Arial"/>
                <w:sz w:val="18"/>
                <w:szCs w:val="18"/>
                <w:color w:val="auto"/>
                <w:w w:val="98"/>
              </w:rPr>
              <w:t>34,760</w:t>
            </w:r>
          </w:p>
        </w:tc>
        <w:tc>
          <w:tcPr>
            <w:tcW w:w="160" w:type="dxa"/>
            <w:vAlign w:val="bottom"/>
          </w:tcPr>
          <w:p>
            <w:pPr>
              <w:spacing w:after="0"/>
              <w:rPr>
                <w:sz w:val="18"/>
                <w:szCs w:val="18"/>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w w:val="94"/>
              </w:rPr>
              <w:t>24,109</w:t>
            </w:r>
          </w:p>
        </w:tc>
        <w:tc>
          <w:tcPr>
            <w:tcW w:w="16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87,147</w:t>
            </w:r>
          </w:p>
        </w:tc>
        <w:tc>
          <w:tcPr>
            <w:tcW w:w="16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94,738</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shd w:val="clear" w:color="auto" w:fill="CCEEFF"/>
          </w:tcPr>
          <w:p>
            <w:pPr>
              <w:ind w:left="260"/>
              <w:spacing w:after="0"/>
              <w:rPr>
                <w:sz w:val="20"/>
                <w:szCs w:val="20"/>
                <w:color w:val="auto"/>
              </w:rPr>
            </w:pPr>
            <w:r>
              <w:rPr>
                <w:rFonts w:ascii="Arial" w:cs="Arial" w:eastAsia="Arial" w:hAnsi="Arial"/>
                <w:sz w:val="18"/>
                <w:szCs w:val="18"/>
                <w:color w:val="auto"/>
              </w:rPr>
              <w:t>Exchanges and other</w:t>
            </w: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15,204</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18,610</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48,013</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52,662</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540" w:type="dxa"/>
            <w:vAlign w:val="bottom"/>
          </w:tcPr>
          <w:p>
            <w:pPr>
              <w:ind w:left="260"/>
              <w:spacing w:after="0"/>
              <w:rPr>
                <w:sz w:val="20"/>
                <w:szCs w:val="20"/>
                <w:color w:val="auto"/>
              </w:rPr>
            </w:pPr>
            <w:r>
              <w:rPr>
                <w:rFonts w:ascii="Arial" w:cs="Arial" w:eastAsia="Arial" w:hAnsi="Arial"/>
                <w:sz w:val="18"/>
                <w:szCs w:val="18"/>
                <w:color w:val="auto"/>
              </w:rPr>
              <w:t>Real Estate</w:t>
            </w:r>
          </w:p>
        </w:tc>
        <w:tc>
          <w:tcPr>
            <w:tcW w:w="12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3,213</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7,997</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11,825</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21,549</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5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5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Total revenue</w:t>
            </w: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53,177</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50,716</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146,985</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168,949</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tcPr>
          <w:p>
            <w:pPr>
              <w:spacing w:after="0"/>
              <w:rPr>
                <w:sz w:val="20"/>
                <w:szCs w:val="20"/>
                <w:color w:val="auto"/>
              </w:rPr>
            </w:pPr>
            <w:r>
              <w:rPr>
                <w:rFonts w:ascii="Arial" w:cs="Arial" w:eastAsia="Arial" w:hAnsi="Arial"/>
                <w:sz w:val="18"/>
                <w:szCs w:val="18"/>
                <w:color w:val="auto"/>
              </w:rPr>
              <w:t>Cost of revenue</w:t>
            </w: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shd w:val="clear" w:color="auto" w:fill="CCEEFF"/>
          </w:tcPr>
          <w:p>
            <w:pPr>
              <w:ind w:left="260"/>
              <w:spacing w:after="0"/>
              <w:rPr>
                <w:sz w:val="20"/>
                <w:szCs w:val="20"/>
                <w:color w:val="auto"/>
              </w:rPr>
            </w:pPr>
            <w:r>
              <w:rPr>
                <w:rFonts w:ascii="Arial" w:cs="Arial" w:eastAsia="Arial" w:hAnsi="Arial"/>
                <w:sz w:val="18"/>
                <w:szCs w:val="18"/>
                <w:color w:val="auto"/>
              </w:rPr>
              <w:t>LendingTree Loans</w:t>
            </w: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11,049</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11,685</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30,752</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38,437</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tcPr>
          <w:p>
            <w:pPr>
              <w:ind w:left="260"/>
              <w:spacing w:after="0"/>
              <w:rPr>
                <w:sz w:val="20"/>
                <w:szCs w:val="20"/>
                <w:color w:val="auto"/>
              </w:rPr>
            </w:pPr>
            <w:r>
              <w:rPr>
                <w:rFonts w:ascii="Arial" w:cs="Arial" w:eastAsia="Arial" w:hAnsi="Arial"/>
                <w:sz w:val="18"/>
                <w:szCs w:val="18"/>
                <w:color w:val="auto"/>
              </w:rPr>
              <w:t>Exchanges and other</w:t>
            </w: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1,346</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1,949</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3,654</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6,054</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shd w:val="clear" w:color="auto" w:fill="CCEEFF"/>
          </w:tcPr>
          <w:p>
            <w:pPr>
              <w:ind w:left="260"/>
              <w:spacing w:after="0"/>
              <w:rPr>
                <w:sz w:val="20"/>
                <w:szCs w:val="20"/>
                <w:color w:val="auto"/>
              </w:rPr>
            </w:pPr>
            <w:r>
              <w:rPr>
                <w:rFonts w:ascii="Arial" w:cs="Arial" w:eastAsia="Arial" w:hAnsi="Arial"/>
                <w:sz w:val="18"/>
                <w:szCs w:val="18"/>
                <w:color w:val="auto"/>
              </w:rPr>
              <w:t>Real Estate</w:t>
            </w: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2,074</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5,056</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7,312</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13,712</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540" w:type="dxa"/>
            <w:vAlign w:val="bottom"/>
            <w:vMerge w:val="restart"/>
          </w:tcPr>
          <w:p>
            <w:pPr>
              <w:ind w:left="120"/>
              <w:spacing w:after="0"/>
              <w:rPr>
                <w:sz w:val="20"/>
                <w:szCs w:val="20"/>
                <w:color w:val="auto"/>
              </w:rPr>
            </w:pPr>
            <w:r>
              <w:rPr>
                <w:rFonts w:ascii="Arial" w:cs="Arial" w:eastAsia="Arial" w:hAnsi="Arial"/>
                <w:sz w:val="18"/>
                <w:szCs w:val="18"/>
                <w:color w:val="auto"/>
                <w:w w:val="93"/>
              </w:rPr>
              <w:t>Total cost of revenue (exclusive of depreciation shown separately below)</w:t>
            </w:r>
          </w:p>
        </w:tc>
        <w:tc>
          <w:tcPr>
            <w:tcW w:w="1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14,469</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4"/>
              </w:rPr>
              <w:t>18,690</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41,718</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58,203</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5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5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Gross margin</w:t>
            </w: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38,708</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32,026</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105,267</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110,746</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tcPr>
          <w:p>
            <w:pPr>
              <w:spacing w:after="0"/>
              <w:rPr>
                <w:sz w:val="20"/>
                <w:szCs w:val="20"/>
                <w:color w:val="auto"/>
              </w:rPr>
            </w:pPr>
            <w:r>
              <w:rPr>
                <w:rFonts w:ascii="Arial" w:cs="Arial" w:eastAsia="Arial" w:hAnsi="Arial"/>
                <w:sz w:val="18"/>
                <w:szCs w:val="18"/>
                <w:color w:val="auto"/>
              </w:rPr>
              <w:t>Operating expenses</w:t>
            </w: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Selling and marketing expense</w:t>
            </w: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17,830</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17,435</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55,035</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45,149</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tcPr>
          <w:p>
            <w:pPr>
              <w:ind w:left="120"/>
              <w:spacing w:after="0"/>
              <w:rPr>
                <w:sz w:val="20"/>
                <w:szCs w:val="20"/>
                <w:color w:val="auto"/>
              </w:rPr>
            </w:pPr>
            <w:r>
              <w:rPr>
                <w:rFonts w:ascii="Arial" w:cs="Arial" w:eastAsia="Arial" w:hAnsi="Arial"/>
                <w:sz w:val="18"/>
                <w:szCs w:val="18"/>
                <w:color w:val="auto"/>
              </w:rPr>
              <w:t>General and administrative expense</w:t>
            </w: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14,035</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4"/>
              </w:rPr>
              <w:t>17,515</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39,263</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50,929</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Product development</w:t>
            </w: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1,013</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1,673</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2,964</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4,842</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tcPr>
          <w:p>
            <w:pPr>
              <w:ind w:left="120"/>
              <w:spacing w:after="0"/>
              <w:rPr>
                <w:sz w:val="20"/>
                <w:szCs w:val="20"/>
                <w:color w:val="auto"/>
              </w:rPr>
            </w:pPr>
            <w:r>
              <w:rPr>
                <w:rFonts w:ascii="Arial" w:cs="Arial" w:eastAsia="Arial" w:hAnsi="Arial"/>
                <w:sz w:val="18"/>
                <w:szCs w:val="18"/>
                <w:color w:val="auto"/>
              </w:rPr>
              <w:t>Litigation settlements and contingencies</w:t>
            </w: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1,546</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14</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1,588</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406</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Restructuring expense</w:t>
            </w: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321</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3,363</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tcPr>
          <w:p>
            <w:pPr>
              <w:ind w:left="120"/>
              <w:spacing w:after="0"/>
              <w:rPr>
                <w:sz w:val="20"/>
                <w:szCs w:val="20"/>
                <w:color w:val="auto"/>
              </w:rPr>
            </w:pPr>
            <w:r>
              <w:rPr>
                <w:rFonts w:ascii="Arial" w:cs="Arial" w:eastAsia="Arial" w:hAnsi="Arial"/>
                <w:sz w:val="18"/>
                <w:szCs w:val="18"/>
                <w:color w:val="auto"/>
              </w:rPr>
              <w:t>Amortization of intangibles</w:t>
            </w: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519</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1,055</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2,405</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3,636</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Depreciation</w:t>
            </w: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1,523</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1,698</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4,539</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5,049</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540" w:type="dxa"/>
            <w:vAlign w:val="bottom"/>
          </w:tcPr>
          <w:p>
            <w:pPr>
              <w:ind w:left="120"/>
              <w:spacing w:after="0"/>
              <w:rPr>
                <w:sz w:val="20"/>
                <w:szCs w:val="20"/>
                <w:color w:val="auto"/>
              </w:rPr>
            </w:pPr>
            <w:r>
              <w:rPr>
                <w:rFonts w:ascii="Arial" w:cs="Arial" w:eastAsia="Arial" w:hAnsi="Arial"/>
                <w:sz w:val="18"/>
                <w:szCs w:val="18"/>
                <w:color w:val="auto"/>
              </w:rPr>
              <w:t>Asset impairments</w:t>
            </w:r>
          </w:p>
        </w:tc>
        <w:tc>
          <w:tcPr>
            <w:tcW w:w="120" w:type="dxa"/>
            <w:vAlign w:val="bottom"/>
          </w:tcPr>
          <w:p>
            <w:pPr>
              <w:spacing w:after="0"/>
              <w:rPr>
                <w:sz w:val="19"/>
                <w:szCs w:val="19"/>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3,903</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5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540" w:type="dxa"/>
            <w:vAlign w:val="bottom"/>
            <w:shd w:val="clear" w:color="auto" w:fill="CCEEFF"/>
          </w:tcPr>
          <w:p>
            <w:pPr>
              <w:ind w:left="260"/>
              <w:spacing w:after="0"/>
              <w:rPr>
                <w:sz w:val="20"/>
                <w:szCs w:val="20"/>
                <w:color w:val="auto"/>
              </w:rPr>
            </w:pPr>
            <w:r>
              <w:rPr>
                <w:rFonts w:ascii="Arial" w:cs="Arial" w:eastAsia="Arial" w:hAnsi="Arial"/>
                <w:sz w:val="18"/>
                <w:szCs w:val="18"/>
                <w:color w:val="auto"/>
              </w:rPr>
              <w:t>Total operating expenses</w:t>
            </w: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36,787</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39,468</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109,157</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113,756</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540" w:type="dxa"/>
            <w:vAlign w:val="bottom"/>
            <w:vMerge w:val="restart"/>
          </w:tcPr>
          <w:p>
            <w:pPr>
              <w:ind w:left="260"/>
              <w:spacing w:after="0"/>
              <w:rPr>
                <w:sz w:val="20"/>
                <w:szCs w:val="20"/>
                <w:color w:val="auto"/>
              </w:rPr>
            </w:pPr>
            <w:r>
              <w:rPr>
                <w:rFonts w:ascii="Arial" w:cs="Arial" w:eastAsia="Arial" w:hAnsi="Arial"/>
                <w:sz w:val="18"/>
                <w:szCs w:val="18"/>
                <w:color w:val="auto"/>
              </w:rPr>
              <w:t>Operating income/(loss)</w:t>
            </w: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72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540" w:type="dxa"/>
            <w:vAlign w:val="bottom"/>
            <w:vMerge w:val="continue"/>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1,921</w:t>
            </w:r>
          </w:p>
        </w:tc>
        <w:tc>
          <w:tcPr>
            <w:tcW w:w="1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4"/>
              </w:rPr>
              <w:t>(7,442)</w:t>
            </w:r>
          </w:p>
        </w:tc>
        <w:tc>
          <w:tcPr>
            <w:tcW w:w="1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(3,890)</w:t>
            </w:r>
          </w:p>
        </w:tc>
        <w:tc>
          <w:tcPr>
            <w:tcW w:w="16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(3,010)</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w:t>
            </w: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tcPr>
          <w:p>
            <w:pPr>
              <w:ind w:left="120"/>
              <w:spacing w:after="0"/>
              <w:rPr>
                <w:sz w:val="20"/>
                <w:szCs w:val="20"/>
                <w:color w:val="auto"/>
              </w:rPr>
            </w:pPr>
            <w:r>
              <w:rPr>
                <w:rFonts w:ascii="Arial" w:cs="Arial" w:eastAsia="Arial" w:hAnsi="Arial"/>
                <w:sz w:val="18"/>
                <w:szCs w:val="18"/>
                <w:color w:val="auto"/>
              </w:rPr>
              <w:t>Interest income</w:t>
            </w:r>
          </w:p>
        </w:tc>
        <w:tc>
          <w:tcPr>
            <w:tcW w:w="12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9</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7</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84</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Interest expense</w:t>
            </w: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(60)</w:t>
            </w: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(149)</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(393)</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(451)</w:t>
            </w:r>
          </w:p>
        </w:tc>
        <w:tc>
          <w:tcPr>
            <w:tcW w:w="0" w:type="dxa"/>
            <w:vAlign w:val="bottom"/>
          </w:tcPr>
          <w:p>
            <w:pPr>
              <w:spacing w:after="0"/>
              <w:rPr>
                <w:sz w:val="1"/>
                <w:szCs w:val="1"/>
                <w:color w:val="auto"/>
              </w:rPr>
            </w:pPr>
          </w:p>
        </w:tc>
      </w:tr>
      <w:tr>
        <w:trPr>
          <w:trHeight w:val="27"/>
        </w:trPr>
        <w:tc>
          <w:tcPr>
            <w:tcW w:w="5560" w:type="dxa"/>
            <w:vAlign w:val="bottom"/>
            <w:gridSpan w:val="2"/>
            <w:vMerge w:val="restart"/>
          </w:tcPr>
          <w:p>
            <w:pPr>
              <w:spacing w:after="0"/>
              <w:rPr>
                <w:sz w:val="20"/>
                <w:szCs w:val="20"/>
                <w:color w:val="auto"/>
              </w:rPr>
            </w:pPr>
            <w:r>
              <w:rPr>
                <w:rFonts w:ascii="Arial" w:cs="Arial" w:eastAsia="Arial" w:hAnsi="Arial"/>
                <w:sz w:val="18"/>
                <w:szCs w:val="18"/>
                <w:color w:val="auto"/>
              </w:rPr>
              <w:t>Total other (expense), net</w:t>
            </w:r>
          </w:p>
        </w:tc>
        <w:tc>
          <w:tcPr>
            <w:tcW w:w="120" w:type="dxa"/>
            <w:vAlign w:val="bottom"/>
          </w:tcPr>
          <w:p>
            <w:pPr>
              <w:spacing w:after="0"/>
              <w:rPr>
                <w:sz w:val="2"/>
                <w:szCs w:val="2"/>
                <w:color w:val="auto"/>
              </w:rPr>
            </w:pPr>
          </w:p>
        </w:tc>
        <w:tc>
          <w:tcPr>
            <w:tcW w:w="72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72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5560" w:type="dxa"/>
            <w:vAlign w:val="bottom"/>
            <w:gridSpan w:val="2"/>
            <w:vMerge w:val="continue"/>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(60)</w:t>
            </w:r>
          </w:p>
        </w:tc>
        <w:tc>
          <w:tcPr>
            <w:tcW w:w="1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(140)</w:t>
            </w:r>
          </w:p>
        </w:tc>
        <w:tc>
          <w:tcPr>
            <w:tcW w:w="1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(386)</w:t>
            </w:r>
          </w:p>
        </w:tc>
        <w:tc>
          <w:tcPr>
            <w:tcW w:w="16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(367)</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5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540" w:type="dxa"/>
            <w:vAlign w:val="bottom"/>
            <w:shd w:val="clear" w:color="auto" w:fill="CCEEFF"/>
          </w:tcPr>
          <w:p>
            <w:pPr>
              <w:spacing w:after="0"/>
              <w:rPr>
                <w:sz w:val="20"/>
                <w:szCs w:val="20"/>
                <w:color w:val="auto"/>
              </w:rPr>
            </w:pPr>
            <w:r>
              <w:rPr>
                <w:rFonts w:ascii="Arial" w:cs="Arial" w:eastAsia="Arial" w:hAnsi="Arial"/>
                <w:sz w:val="18"/>
                <w:szCs w:val="18"/>
                <w:color w:val="auto"/>
              </w:rPr>
              <w:t>Income/(loss) before income taxes</w:t>
            </w: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1,861</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(7,582)</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(4,276)</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(3,377)</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540" w:type="dxa"/>
            <w:vAlign w:val="bottom"/>
          </w:tcPr>
          <w:p>
            <w:pPr>
              <w:spacing w:after="0"/>
              <w:rPr>
                <w:sz w:val="20"/>
                <w:szCs w:val="20"/>
                <w:color w:val="auto"/>
              </w:rPr>
            </w:pPr>
            <w:r>
              <w:rPr>
                <w:rFonts w:ascii="Arial" w:cs="Arial" w:eastAsia="Arial" w:hAnsi="Arial"/>
                <w:sz w:val="18"/>
                <w:szCs w:val="18"/>
                <w:color w:val="auto"/>
              </w:rPr>
              <w:t>Income tax (provision) benefit</w:t>
            </w:r>
          </w:p>
        </w:tc>
        <w:tc>
          <w:tcPr>
            <w:tcW w:w="120" w:type="dxa"/>
            <w:vAlign w:val="bottom"/>
          </w:tcPr>
          <w:p>
            <w:pPr>
              <w:spacing w:after="0"/>
              <w:rPr>
                <w:sz w:val="19"/>
                <w:szCs w:val="19"/>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(42)</w:t>
            </w:r>
          </w:p>
        </w:tc>
        <w:tc>
          <w:tcPr>
            <w:tcW w:w="14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182</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(850)</w:t>
            </w:r>
          </w:p>
        </w:tc>
        <w:tc>
          <w:tcPr>
            <w:tcW w:w="160" w:type="dxa"/>
            <w:vAlign w:val="bottom"/>
          </w:tcPr>
          <w:p>
            <w:pPr>
              <w:spacing w:after="0"/>
              <w:rPr>
                <w:sz w:val="19"/>
                <w:szCs w:val="19"/>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(121)</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5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540" w:type="dxa"/>
            <w:vAlign w:val="bottom"/>
            <w:shd w:val="clear" w:color="auto" w:fill="CCEEFF"/>
          </w:tcPr>
          <w:p>
            <w:pPr>
              <w:spacing w:after="0"/>
              <w:rPr>
                <w:sz w:val="20"/>
                <w:szCs w:val="20"/>
                <w:color w:val="auto"/>
              </w:rPr>
            </w:pPr>
            <w:r>
              <w:rPr>
                <w:rFonts w:ascii="Arial" w:cs="Arial" w:eastAsia="Arial" w:hAnsi="Arial"/>
                <w:sz w:val="18"/>
                <w:szCs w:val="18"/>
                <w:color w:val="auto"/>
              </w:rPr>
              <w:t>Net income/(loss)</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1,819</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(7,400)</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(5,126)</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(3,498)</w:t>
            </w:r>
          </w:p>
        </w:tc>
        <w:tc>
          <w:tcPr>
            <w:tcW w:w="0" w:type="dxa"/>
            <w:vAlign w:val="bottom"/>
          </w:tcPr>
          <w:p>
            <w:pPr>
              <w:spacing w:after="0"/>
              <w:rPr>
                <w:sz w:val="1"/>
                <w:szCs w:val="1"/>
                <w:color w:val="auto"/>
              </w:rPr>
            </w:pPr>
          </w:p>
        </w:tc>
      </w:tr>
      <w:tr>
        <w:trPr>
          <w:trHeight w:val="27"/>
        </w:trPr>
        <w:tc>
          <w:tcPr>
            <w:tcW w:w="5560" w:type="dxa"/>
            <w:vAlign w:val="bottom"/>
            <w:gridSpan w:val="2"/>
            <w:vMerge w:val="restart"/>
          </w:tcPr>
          <w:p>
            <w:pPr>
              <w:spacing w:after="0"/>
              <w:rPr>
                <w:sz w:val="20"/>
                <w:szCs w:val="20"/>
                <w:color w:val="auto"/>
              </w:rPr>
            </w:pPr>
            <w:r>
              <w:rPr>
                <w:rFonts w:ascii="Arial" w:cs="Arial" w:eastAsia="Arial" w:hAnsi="Arial"/>
                <w:sz w:val="18"/>
                <w:szCs w:val="18"/>
                <w:color w:val="auto"/>
              </w:rPr>
              <w:t>Weighted average common shares outstanding</w:t>
            </w:r>
          </w:p>
        </w:tc>
        <w:tc>
          <w:tcPr>
            <w:tcW w:w="1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560" w:type="dxa"/>
            <w:vAlign w:val="bottom"/>
            <w:gridSpan w:val="2"/>
            <w:vMerge w:val="continue"/>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56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jc w:val="right"/>
              <w:spacing w:after="0" w:line="203" w:lineRule="exact"/>
              <w:rPr>
                <w:sz w:val="20"/>
                <w:szCs w:val="20"/>
                <w:color w:val="auto"/>
              </w:rPr>
            </w:pPr>
            <w:r>
              <w:rPr>
                <w:rFonts w:ascii="Arial" w:cs="Arial" w:eastAsia="Arial" w:hAnsi="Arial"/>
                <w:sz w:val="18"/>
                <w:szCs w:val="18"/>
                <w:color w:val="auto"/>
                <w:w w:val="98"/>
              </w:rPr>
              <w:t>11,023</w:t>
            </w: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jc w:val="right"/>
              <w:spacing w:after="0" w:line="203" w:lineRule="exact"/>
              <w:rPr>
                <w:sz w:val="20"/>
                <w:szCs w:val="20"/>
                <w:color w:val="auto"/>
              </w:rPr>
            </w:pPr>
            <w:r>
              <w:rPr>
                <w:rFonts w:ascii="Arial" w:cs="Arial" w:eastAsia="Arial" w:hAnsi="Arial"/>
                <w:sz w:val="18"/>
                <w:szCs w:val="18"/>
                <w:color w:val="auto"/>
                <w:w w:val="94"/>
              </w:rPr>
              <w:t>10,844</w:t>
            </w: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jc w:val="right"/>
              <w:spacing w:after="0" w:line="203" w:lineRule="exact"/>
              <w:rPr>
                <w:sz w:val="20"/>
                <w:szCs w:val="20"/>
                <w:color w:val="auto"/>
              </w:rPr>
            </w:pPr>
            <w:r>
              <w:rPr>
                <w:rFonts w:ascii="Arial" w:cs="Arial" w:eastAsia="Arial" w:hAnsi="Arial"/>
                <w:sz w:val="18"/>
                <w:szCs w:val="18"/>
                <w:color w:val="auto"/>
              </w:rPr>
              <w:t>10,993</w:t>
            </w: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jc w:val="right"/>
              <w:spacing w:after="0" w:line="203" w:lineRule="exact"/>
              <w:rPr>
                <w:sz w:val="20"/>
                <w:szCs w:val="20"/>
                <w:color w:val="auto"/>
              </w:rPr>
            </w:pPr>
            <w:r>
              <w:rPr>
                <w:rFonts w:ascii="Arial" w:cs="Arial" w:eastAsia="Arial" w:hAnsi="Arial"/>
                <w:sz w:val="18"/>
                <w:szCs w:val="18"/>
                <w:color w:val="auto"/>
              </w:rPr>
              <w:t>10,413</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5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5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55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Weighted average diluted shares outstanding</w:t>
            </w: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98"/>
              </w:rPr>
              <w:t>11,163</w:t>
            </w: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94"/>
              </w:rPr>
              <w:t>10,844</w:t>
            </w: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10,993</w:t>
            </w: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10,413</w:t>
            </w: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7"/>
        </w:trPr>
        <w:tc>
          <w:tcPr>
            <w:tcW w:w="5560" w:type="dxa"/>
            <w:vAlign w:val="bottom"/>
            <w:gridSpan w:val="2"/>
            <w:vMerge w:val="restart"/>
          </w:tcPr>
          <w:p>
            <w:pPr>
              <w:spacing w:after="0"/>
              <w:rPr>
                <w:sz w:val="20"/>
                <w:szCs w:val="20"/>
                <w:color w:val="auto"/>
              </w:rPr>
            </w:pPr>
            <w:r>
              <w:rPr>
                <w:rFonts w:ascii="Arial" w:cs="Arial" w:eastAsia="Arial" w:hAnsi="Arial"/>
                <w:sz w:val="18"/>
                <w:szCs w:val="18"/>
                <w:color w:val="auto"/>
              </w:rPr>
              <w:t>Net income/(loss) per share available to common shareholders</w:t>
            </w:r>
          </w:p>
        </w:tc>
        <w:tc>
          <w:tcPr>
            <w:tcW w:w="1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560" w:type="dxa"/>
            <w:vAlign w:val="bottom"/>
            <w:gridSpan w:val="2"/>
            <w:vMerge w:val="continue"/>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56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5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Basic</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0.16</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(0.68)</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(0.47)</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(0.34)</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540" w:type="dxa"/>
            <w:vAlign w:val="bottom"/>
            <w:vMerge w:val="restart"/>
          </w:tcPr>
          <w:p>
            <w:pPr>
              <w:ind w:left="120"/>
              <w:spacing w:after="0"/>
              <w:rPr>
                <w:sz w:val="20"/>
                <w:szCs w:val="20"/>
                <w:color w:val="auto"/>
              </w:rPr>
            </w:pPr>
            <w:r>
              <w:rPr>
                <w:rFonts w:ascii="Arial" w:cs="Arial" w:eastAsia="Arial" w:hAnsi="Arial"/>
                <w:sz w:val="18"/>
                <w:szCs w:val="18"/>
                <w:color w:val="auto"/>
              </w:rPr>
              <w:t>Diluted</w:t>
            </w:r>
          </w:p>
        </w:tc>
        <w:tc>
          <w:tcPr>
            <w:tcW w:w="1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540" w:type="dxa"/>
            <w:vAlign w:val="bottom"/>
            <w:vMerge w:val="continu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5540" w:type="dxa"/>
            <w:vAlign w:val="bottom"/>
            <w:vMerge w:val="continue"/>
          </w:tcPr>
          <w:p>
            <w:pPr>
              <w:spacing w:after="0"/>
              <w:rPr>
                <w:sz w:val="17"/>
                <w:szCs w:val="17"/>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0.16</w:t>
            </w:r>
          </w:p>
        </w:tc>
        <w:tc>
          <w:tcPr>
            <w:tcW w:w="160" w:type="dxa"/>
            <w:vAlign w:val="bottom"/>
          </w:tcPr>
          <w:p>
            <w:pPr>
              <w:spacing w:after="0"/>
              <w:rPr>
                <w:sz w:val="17"/>
                <w:szCs w:val="17"/>
                <w:color w:val="auto"/>
              </w:rPr>
            </w:pPr>
          </w:p>
        </w:tc>
        <w:tc>
          <w:tcPr>
            <w:tcW w:w="140" w:type="dxa"/>
            <w:vAlign w:val="bottom"/>
            <w:tcBorders>
              <w:top w:val="single" w:sz="8" w:color="auto"/>
            </w:tcBorders>
          </w:tcPr>
          <w:p>
            <w:pPr>
              <w:spacing w:after="0" w:line="203" w:lineRule="exact"/>
              <w:rPr>
                <w:sz w:val="20"/>
                <w:szCs w:val="20"/>
                <w:color w:val="auto"/>
              </w:rPr>
            </w:pPr>
            <w:r>
              <w:rPr>
                <w:rFonts w:ascii="Arial" w:cs="Arial" w:eastAsia="Arial" w:hAnsi="Arial"/>
                <w:sz w:val="18"/>
                <w:szCs w:val="18"/>
                <w:color w:val="auto"/>
              </w:rPr>
              <w:t>$</w:t>
            </w:r>
          </w:p>
        </w:tc>
        <w:tc>
          <w:tcPr>
            <w:tcW w:w="56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(0.68)</w:t>
            </w:r>
          </w:p>
        </w:tc>
        <w:tc>
          <w:tcPr>
            <w:tcW w:w="160" w:type="dxa"/>
            <w:vAlign w:val="bottom"/>
          </w:tcPr>
          <w:p>
            <w:pPr>
              <w:spacing w:after="0"/>
              <w:rPr>
                <w:sz w:val="17"/>
                <w:szCs w:val="17"/>
                <w:color w:val="auto"/>
              </w:rPr>
            </w:pPr>
          </w:p>
        </w:tc>
        <w:tc>
          <w:tcPr>
            <w:tcW w:w="14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(0.47)</w:t>
            </w:r>
          </w:p>
        </w:tc>
        <w:tc>
          <w:tcPr>
            <w:tcW w:w="160" w:type="dxa"/>
            <w:vAlign w:val="bottom"/>
          </w:tcPr>
          <w:p>
            <w:pPr>
              <w:spacing w:after="0"/>
              <w:rPr>
                <w:sz w:val="17"/>
                <w:szCs w:val="17"/>
                <w:color w:val="auto"/>
              </w:rPr>
            </w:pPr>
          </w:p>
        </w:tc>
        <w:tc>
          <w:tcPr>
            <w:tcW w:w="16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(0.34)</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5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5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jc w:val="center"/>
        <w:ind w:right="-1139"/>
        <w:spacing w:after="0"/>
        <w:rPr>
          <w:sz w:val="20"/>
          <w:szCs w:val="20"/>
          <w:color w:val="auto"/>
        </w:rPr>
      </w:pPr>
      <w:r>
        <w:rPr>
          <w:rFonts w:ascii="Arial" w:cs="Arial" w:eastAsia="Arial" w:hAnsi="Arial"/>
          <w:sz w:val="18"/>
          <w:szCs w:val="18"/>
          <w:color w:val="auto"/>
        </w:rPr>
        <w:t>The accompanying Notes to Consolidated Financial Statements are an integral part of these statements.</w:t>
      </w:r>
    </w:p>
    <w:p>
      <w:pPr>
        <w:spacing w:after="0" w:line="225"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80"/>
          </w:cols>
          <w:pgMar w:left="240" w:top="131" w:right="1379" w:bottom="1440" w:gutter="0" w:footer="0" w:header="0"/>
        </w:sectPr>
      </w:pPr>
    </w:p>
    <w:bookmarkStart w:id="4" w:name="page5"/>
    <w:bookmarkEnd w:id="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ind w:left="4140"/>
        <w:spacing w:after="0"/>
        <w:rPr>
          <w:sz w:val="20"/>
          <w:szCs w:val="20"/>
          <w:color w:val="auto"/>
        </w:rPr>
      </w:pPr>
      <w:r>
        <w:rPr>
          <w:rFonts w:ascii="Arial" w:cs="Arial" w:eastAsia="Arial" w:hAnsi="Arial"/>
          <w:sz w:val="18"/>
          <w:szCs w:val="18"/>
          <w:b w:val="1"/>
          <w:bCs w:val="1"/>
          <w:color w:val="auto"/>
        </w:rPr>
        <w:t>TREE.COM, INC. AND SUBSIDIARIES</w:t>
      </w:r>
    </w:p>
    <w:p>
      <w:pPr>
        <w:spacing w:after="0" w:line="225" w:lineRule="exact"/>
        <w:rPr>
          <w:sz w:val="20"/>
          <w:szCs w:val="20"/>
          <w:color w:val="auto"/>
        </w:rPr>
      </w:pPr>
    </w:p>
    <w:p>
      <w:pPr>
        <w:ind w:left="4180"/>
        <w:spacing w:after="0"/>
        <w:rPr>
          <w:sz w:val="20"/>
          <w:szCs w:val="20"/>
          <w:color w:val="auto"/>
        </w:rPr>
      </w:pPr>
      <w:r>
        <w:rPr>
          <w:rFonts w:ascii="Arial" w:cs="Arial" w:eastAsia="Arial" w:hAnsi="Arial"/>
          <w:sz w:val="18"/>
          <w:szCs w:val="18"/>
          <w:b w:val="1"/>
          <w:bCs w:val="1"/>
          <w:color w:val="auto"/>
        </w:rPr>
        <w:t>CONSOLIDATED BALANCE SHEETS</w:t>
      </w:r>
    </w:p>
    <w:p>
      <w:pPr>
        <w:spacing w:after="0" w:line="281"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85"/>
              </w:rPr>
              <w:t>September 30, 2010</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6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85"/>
              </w:rPr>
              <w:t>December 31, 2009</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1240" w:type="dxa"/>
            <w:vAlign w:val="bottom"/>
            <w:tcBorders>
              <w:top w:val="single" w:sz="8" w:color="auto"/>
            </w:tcBorders>
          </w:tcPr>
          <w:p>
            <w:pPr>
              <w:jc w:val="right"/>
              <w:ind w:right="255"/>
              <w:spacing w:after="0" w:line="129" w:lineRule="exact"/>
              <w:rPr>
                <w:sz w:val="20"/>
                <w:szCs w:val="20"/>
                <w:color w:val="auto"/>
              </w:rPr>
            </w:pPr>
            <w:r>
              <w:rPr>
                <w:rFonts w:ascii="Arial" w:cs="Arial" w:eastAsia="Arial" w:hAnsi="Arial"/>
                <w:sz w:val="14"/>
                <w:szCs w:val="14"/>
                <w:b w:val="1"/>
                <w:bCs w:val="1"/>
                <w:color w:val="auto"/>
              </w:rPr>
              <w:t>(unaudited)</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120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840" w:type="dxa"/>
            <w:vAlign w:val="bottom"/>
            <w:gridSpan w:val="6"/>
          </w:tcPr>
          <w:p>
            <w:pPr>
              <w:jc w:val="right"/>
              <w:ind w:right="520"/>
              <w:spacing w:after="0" w:line="149" w:lineRule="exact"/>
              <w:rPr>
                <w:sz w:val="20"/>
                <w:szCs w:val="20"/>
                <w:color w:val="auto"/>
              </w:rPr>
            </w:pPr>
            <w:r>
              <w:rPr>
                <w:rFonts w:ascii="Arial" w:cs="Arial" w:eastAsia="Arial" w:hAnsi="Arial"/>
                <w:sz w:val="14"/>
                <w:szCs w:val="14"/>
                <w:b w:val="1"/>
                <w:bCs w:val="1"/>
                <w:color w:val="auto"/>
                <w:w w:val="96"/>
              </w:rPr>
              <w:t>(In thousands, except par value and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6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840" w:type="dxa"/>
            <w:vAlign w:val="bottom"/>
            <w:gridSpan w:val="6"/>
          </w:tcPr>
          <w:p>
            <w:pPr>
              <w:jc w:val="right"/>
              <w:ind w:right="1100"/>
              <w:spacing w:after="0"/>
              <w:rPr>
                <w:sz w:val="20"/>
                <w:szCs w:val="20"/>
                <w:color w:val="auto"/>
              </w:rPr>
            </w:pPr>
            <w:r>
              <w:rPr>
                <w:rFonts w:ascii="Arial" w:cs="Arial" w:eastAsia="Arial" w:hAnsi="Arial"/>
                <w:sz w:val="14"/>
                <w:szCs w:val="14"/>
                <w:b w:val="1"/>
                <w:bCs w:val="1"/>
                <w:color w:val="auto"/>
              </w:rPr>
              <w:t>share amounts)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80" w:type="dxa"/>
            <w:vAlign w:val="bottom"/>
            <w:gridSpan w:val="2"/>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57,294</w:t>
            </w:r>
          </w:p>
        </w:tc>
        <w:tc>
          <w:tcPr>
            <w:tcW w:w="100" w:type="dxa"/>
            <w:vAlign w:val="bottom"/>
          </w:tcPr>
          <w:p>
            <w:pPr>
              <w:spacing w:after="0"/>
              <w:rPr>
                <w:sz w:val="18"/>
                <w:szCs w:val="18"/>
                <w:color w:val="auto"/>
              </w:rPr>
            </w:pPr>
          </w:p>
        </w:tc>
        <w:tc>
          <w:tcPr>
            <w:tcW w:w="1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86,093</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0" w:type="dxa"/>
            <w:vAlign w:val="bottom"/>
            <w:shd w:val="clear" w:color="auto" w:fill="CCEEFF"/>
          </w:tcPr>
          <w:p>
            <w:pPr>
              <w:spacing w:after="0"/>
              <w:rPr>
                <w:sz w:val="20"/>
                <w:szCs w:val="20"/>
                <w:color w:val="auto"/>
              </w:rPr>
            </w:pPr>
            <w:r>
              <w:rPr>
                <w:rFonts w:ascii="Arial" w:cs="Arial" w:eastAsia="Arial" w:hAnsi="Arial"/>
                <w:sz w:val="18"/>
                <w:szCs w:val="18"/>
                <w:color w:val="auto"/>
              </w:rPr>
              <w:t>Restricted cash and cash equivalents</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11,104</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12,019</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0" w:type="dxa"/>
            <w:vAlign w:val="bottom"/>
          </w:tcPr>
          <w:p>
            <w:pPr>
              <w:spacing w:after="0"/>
              <w:rPr>
                <w:sz w:val="20"/>
                <w:szCs w:val="20"/>
                <w:color w:val="auto"/>
              </w:rPr>
            </w:pPr>
            <w:r>
              <w:rPr>
                <w:rFonts w:ascii="Arial" w:cs="Arial" w:eastAsia="Arial" w:hAnsi="Arial"/>
                <w:sz w:val="18"/>
                <w:szCs w:val="18"/>
                <w:color w:val="auto"/>
              </w:rPr>
              <w:t>Accounts receivable, net of allowance of $511 and $518, respectively</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7,799</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6,835</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0" w:type="dxa"/>
            <w:vAlign w:val="bottom"/>
            <w:shd w:val="clear" w:color="auto" w:fill="CCEEFF"/>
          </w:tcPr>
          <w:p>
            <w:pPr>
              <w:spacing w:after="0"/>
              <w:rPr>
                <w:sz w:val="20"/>
                <w:szCs w:val="20"/>
                <w:color w:val="auto"/>
              </w:rPr>
            </w:pPr>
            <w:r>
              <w:rPr>
                <w:rFonts w:ascii="Arial" w:cs="Arial" w:eastAsia="Arial" w:hAnsi="Arial"/>
                <w:sz w:val="18"/>
                <w:szCs w:val="18"/>
                <w:color w:val="auto"/>
                <w:w w:val="96"/>
              </w:rPr>
              <w:t>Loans held for sale ($163,319 and $92,236 measured at fair value, respectively)</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164,460</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93,596</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200" w:type="dxa"/>
            <w:vAlign w:val="bottom"/>
          </w:tcPr>
          <w:p>
            <w:pPr>
              <w:spacing w:after="0"/>
              <w:rPr>
                <w:sz w:val="20"/>
                <w:szCs w:val="20"/>
                <w:color w:val="auto"/>
              </w:rPr>
            </w:pPr>
            <w:r>
              <w:rPr>
                <w:rFonts w:ascii="Arial" w:cs="Arial" w:eastAsia="Arial" w:hAnsi="Arial"/>
                <w:sz w:val="18"/>
                <w:szCs w:val="18"/>
                <w:color w:val="auto"/>
              </w:rPr>
              <w:t>Prepaid and other current assets</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14,663</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10,758</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6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2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Total current assets</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255,320</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209,301</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0" w:type="dxa"/>
            <w:vAlign w:val="bottom"/>
          </w:tcPr>
          <w:p>
            <w:pPr>
              <w:spacing w:after="0"/>
              <w:rPr>
                <w:sz w:val="20"/>
                <w:szCs w:val="20"/>
                <w:color w:val="auto"/>
              </w:rPr>
            </w:pPr>
            <w:r>
              <w:rPr>
                <w:rFonts w:ascii="Arial" w:cs="Arial" w:eastAsia="Arial" w:hAnsi="Arial"/>
                <w:sz w:val="18"/>
                <w:szCs w:val="18"/>
                <w:color w:val="auto"/>
              </w:rPr>
              <w:t>Property and equipment, net</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12,543</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12,257</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12,917</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12,152</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0" w:type="dxa"/>
            <w:vAlign w:val="bottom"/>
          </w:tcPr>
          <w:p>
            <w:pPr>
              <w:spacing w:after="0"/>
              <w:rPr>
                <w:sz w:val="20"/>
                <w:szCs w:val="20"/>
                <w:color w:val="auto"/>
              </w:rPr>
            </w:pPr>
            <w:r>
              <w:rPr>
                <w:rFonts w:ascii="Arial" w:cs="Arial" w:eastAsia="Arial" w:hAnsi="Arial"/>
                <w:sz w:val="18"/>
                <w:szCs w:val="18"/>
                <w:color w:val="auto"/>
              </w:rPr>
              <w:t>Intangible assets, net</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55,221</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57,626</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0" w:type="dxa"/>
            <w:vAlign w:val="bottom"/>
            <w:shd w:val="clear" w:color="auto" w:fill="CCEEFF"/>
          </w:tcPr>
          <w:p>
            <w:pPr>
              <w:spacing w:after="0"/>
              <w:rPr>
                <w:sz w:val="20"/>
                <w:szCs w:val="20"/>
                <w:color w:val="auto"/>
              </w:rPr>
            </w:pPr>
            <w:r>
              <w:rPr>
                <w:rFonts w:ascii="Arial" w:cs="Arial" w:eastAsia="Arial" w:hAnsi="Arial"/>
                <w:sz w:val="18"/>
                <w:szCs w:val="18"/>
                <w:color w:val="auto"/>
              </w:rPr>
              <w:t>Other non-current assets</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706</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496</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200" w:type="dxa"/>
            <w:vAlign w:val="bottom"/>
            <w:vMerge w:val="restart"/>
          </w:tcPr>
          <w:p>
            <w:pPr>
              <w:ind w:left="120"/>
              <w:spacing w:after="0"/>
              <w:rPr>
                <w:sz w:val="20"/>
                <w:szCs w:val="20"/>
                <w:color w:val="auto"/>
              </w:rPr>
            </w:pPr>
            <w:r>
              <w:rPr>
                <w:rFonts w:ascii="Arial" w:cs="Arial" w:eastAsia="Arial" w:hAnsi="Arial"/>
                <w:sz w:val="18"/>
                <w:szCs w:val="18"/>
                <w:color w:val="auto"/>
              </w:rPr>
              <w:t>Total assets</w:t>
            </w:r>
          </w:p>
        </w:tc>
        <w:tc>
          <w:tcPr>
            <w:tcW w:w="80" w:type="dxa"/>
            <w:vAlign w:val="bottom"/>
            <w:gridSpan w:val="2"/>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gridSpan w:val="2"/>
          </w:tcPr>
          <w:p>
            <w:pPr>
              <w:spacing w:after="0"/>
              <w:rPr>
                <w:sz w:val="2"/>
                <w:szCs w:val="2"/>
                <w:color w:val="auto"/>
              </w:rPr>
            </w:pPr>
          </w:p>
        </w:tc>
        <w:tc>
          <w:tcPr>
            <w:tcW w:w="1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0" w:type="dxa"/>
            <w:vAlign w:val="bottom"/>
            <w:vMerge w:val="continue"/>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Borders>
              <w:top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336,707</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291,832</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6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620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LIABILITIES:</w:t>
            </w: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0" w:type="dxa"/>
            <w:vAlign w:val="bottom"/>
          </w:tcPr>
          <w:p>
            <w:pPr>
              <w:spacing w:after="0"/>
              <w:rPr>
                <w:sz w:val="20"/>
                <w:szCs w:val="20"/>
                <w:color w:val="auto"/>
              </w:rPr>
            </w:pPr>
            <w:r>
              <w:rPr>
                <w:rFonts w:ascii="Arial" w:cs="Arial" w:eastAsia="Arial" w:hAnsi="Arial"/>
                <w:sz w:val="18"/>
                <w:szCs w:val="18"/>
                <w:color w:val="auto"/>
              </w:rPr>
              <w:t>Warehouse lines of credit</w:t>
            </w:r>
          </w:p>
        </w:tc>
        <w:tc>
          <w:tcPr>
            <w:tcW w:w="80" w:type="dxa"/>
            <w:vAlign w:val="bottom"/>
            <w:gridSpan w:val="2"/>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140,112</w:t>
            </w:r>
          </w:p>
        </w:tc>
        <w:tc>
          <w:tcPr>
            <w:tcW w:w="100" w:type="dxa"/>
            <w:vAlign w:val="bottom"/>
          </w:tcPr>
          <w:p>
            <w:pPr>
              <w:spacing w:after="0"/>
              <w:rPr>
                <w:sz w:val="18"/>
                <w:szCs w:val="18"/>
                <w:color w:val="auto"/>
              </w:rPr>
            </w:pPr>
          </w:p>
        </w:tc>
        <w:tc>
          <w:tcPr>
            <w:tcW w:w="1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78,481</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0" w:type="dxa"/>
            <w:vAlign w:val="bottom"/>
            <w:shd w:val="clear" w:color="auto" w:fill="CCEEFF"/>
          </w:tcPr>
          <w:p>
            <w:pPr>
              <w:spacing w:after="0"/>
              <w:rPr>
                <w:sz w:val="20"/>
                <w:szCs w:val="20"/>
                <w:color w:val="auto"/>
              </w:rPr>
            </w:pPr>
            <w:r>
              <w:rPr>
                <w:rFonts w:ascii="Arial" w:cs="Arial" w:eastAsia="Arial" w:hAnsi="Arial"/>
                <w:sz w:val="18"/>
                <w:szCs w:val="18"/>
                <w:color w:val="auto"/>
              </w:rPr>
              <w:t>Accounts payable, trade</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5,810</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5,905</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0" w:type="dxa"/>
            <w:vAlign w:val="bottom"/>
          </w:tcPr>
          <w:p>
            <w:pPr>
              <w:spacing w:after="0"/>
              <w:rPr>
                <w:sz w:val="20"/>
                <w:szCs w:val="20"/>
                <w:color w:val="auto"/>
              </w:rPr>
            </w:pPr>
            <w:r>
              <w:rPr>
                <w:rFonts w:ascii="Arial" w:cs="Arial" w:eastAsia="Arial" w:hAnsi="Arial"/>
                <w:sz w:val="18"/>
                <w:szCs w:val="18"/>
                <w:color w:val="auto"/>
              </w:rPr>
              <w:t>Deferred revenue</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1,982</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1,731</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0" w:type="dxa"/>
            <w:vAlign w:val="bottom"/>
            <w:shd w:val="clear" w:color="auto" w:fill="CCEEFF"/>
          </w:tcPr>
          <w:p>
            <w:pPr>
              <w:spacing w:after="0"/>
              <w:rPr>
                <w:sz w:val="20"/>
                <w:szCs w:val="20"/>
                <w:color w:val="auto"/>
              </w:rPr>
            </w:pPr>
            <w:r>
              <w:rPr>
                <w:rFonts w:ascii="Arial" w:cs="Arial" w:eastAsia="Arial" w:hAnsi="Arial"/>
                <w:sz w:val="18"/>
                <w:szCs w:val="18"/>
                <w:color w:val="auto"/>
              </w:rPr>
              <w:t>Deferred income taxes</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2,033</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2,211</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200" w:type="dxa"/>
            <w:vAlign w:val="bottom"/>
          </w:tcPr>
          <w:p>
            <w:pPr>
              <w:spacing w:after="0"/>
              <w:rPr>
                <w:sz w:val="20"/>
                <w:szCs w:val="20"/>
                <w:color w:val="auto"/>
              </w:rPr>
            </w:pPr>
            <w:r>
              <w:rPr>
                <w:rFonts w:ascii="Arial" w:cs="Arial" w:eastAsia="Arial" w:hAnsi="Arial"/>
                <w:sz w:val="18"/>
                <w:szCs w:val="18"/>
                <w:color w:val="auto"/>
              </w:rPr>
              <w:t>Accrued expenses and other current liabilities</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39,806</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54,694</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6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2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Total current liabilities</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189,743</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143,022</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0" w:type="dxa"/>
            <w:vAlign w:val="bottom"/>
          </w:tcPr>
          <w:p>
            <w:pPr>
              <w:spacing w:after="0"/>
              <w:rPr>
                <w:sz w:val="20"/>
                <w:szCs w:val="20"/>
                <w:color w:val="auto"/>
              </w:rPr>
            </w:pPr>
            <w:r>
              <w:rPr>
                <w:rFonts w:ascii="Arial" w:cs="Arial" w:eastAsia="Arial" w:hAnsi="Arial"/>
                <w:sz w:val="18"/>
                <w:szCs w:val="18"/>
                <w:color w:val="auto"/>
              </w:rPr>
              <w:t>Income taxes payable</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94</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510</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0" w:type="dxa"/>
            <w:vAlign w:val="bottom"/>
            <w:shd w:val="clear" w:color="auto" w:fill="CCEEFF"/>
          </w:tcPr>
          <w:p>
            <w:pPr>
              <w:spacing w:after="0"/>
              <w:rPr>
                <w:sz w:val="20"/>
                <w:szCs w:val="20"/>
                <w:color w:val="auto"/>
              </w:rPr>
            </w:pPr>
            <w:r>
              <w:rPr>
                <w:rFonts w:ascii="Arial" w:cs="Arial" w:eastAsia="Arial" w:hAnsi="Arial"/>
                <w:sz w:val="18"/>
                <w:szCs w:val="18"/>
                <w:color w:val="auto"/>
              </w:rPr>
              <w:t>Other long-term liabilities</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12,987</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12,010</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200" w:type="dxa"/>
            <w:vAlign w:val="bottom"/>
          </w:tcPr>
          <w:p>
            <w:pPr>
              <w:spacing w:after="0"/>
              <w:rPr>
                <w:sz w:val="20"/>
                <w:szCs w:val="20"/>
                <w:color w:val="auto"/>
              </w:rPr>
            </w:pPr>
            <w:r>
              <w:rPr>
                <w:rFonts w:ascii="Arial" w:cs="Arial" w:eastAsia="Arial" w:hAnsi="Arial"/>
                <w:sz w:val="18"/>
                <w:szCs w:val="18"/>
                <w:color w:val="auto"/>
              </w:rPr>
              <w:t>Deferred income taxes</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16,581</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15,380</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6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2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Total liabilities</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219,405</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170,922</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1"/>
        </w:trPr>
        <w:tc>
          <w:tcPr>
            <w:tcW w:w="6220" w:type="dxa"/>
            <w:vAlign w:val="bottom"/>
            <w:gridSpan w:val="2"/>
          </w:tcPr>
          <w:p>
            <w:pPr>
              <w:spacing w:after="0"/>
              <w:rPr>
                <w:sz w:val="20"/>
                <w:szCs w:val="20"/>
                <w:color w:val="auto"/>
              </w:rPr>
            </w:pPr>
            <w:r>
              <w:rPr>
                <w:rFonts w:ascii="Arial" w:cs="Arial" w:eastAsia="Arial" w:hAnsi="Arial"/>
                <w:sz w:val="18"/>
                <w:szCs w:val="18"/>
                <w:color w:val="auto"/>
              </w:rPr>
              <w:t>Commitments and contingencies (Note 12)</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3"/>
        </w:trPr>
        <w:tc>
          <w:tcPr>
            <w:tcW w:w="20" w:type="dxa"/>
            <w:vAlign w:val="bottom"/>
          </w:tcPr>
          <w:p>
            <w:pPr>
              <w:spacing w:after="0"/>
              <w:rPr>
                <w:sz w:val="24"/>
                <w:szCs w:val="24"/>
                <w:color w:val="auto"/>
              </w:rPr>
            </w:pPr>
          </w:p>
        </w:tc>
        <w:tc>
          <w:tcPr>
            <w:tcW w:w="62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SHAREHOLDERS' EQUITY:</w:t>
            </w:r>
          </w:p>
        </w:tc>
        <w:tc>
          <w:tcPr>
            <w:tcW w:w="2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6200" w:type="dxa"/>
            <w:vAlign w:val="bottom"/>
          </w:tcPr>
          <w:p>
            <w:pPr>
              <w:spacing w:after="0"/>
              <w:rPr>
                <w:sz w:val="20"/>
                <w:szCs w:val="20"/>
                <w:color w:val="auto"/>
              </w:rPr>
            </w:pPr>
            <w:r>
              <w:rPr>
                <w:rFonts w:ascii="Arial" w:cs="Arial" w:eastAsia="Arial" w:hAnsi="Arial"/>
                <w:sz w:val="18"/>
                <w:szCs w:val="18"/>
                <w:color w:val="auto"/>
              </w:rPr>
              <w:t>Preferred stock $.01 par value; authorized 5,000,000 shares; none issued or</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200" w:type="dxa"/>
            <w:vAlign w:val="bottom"/>
          </w:tcPr>
          <w:p>
            <w:pPr>
              <w:ind w:left="160"/>
              <w:spacing w:after="0"/>
              <w:rPr>
                <w:sz w:val="20"/>
                <w:szCs w:val="20"/>
                <w:color w:val="auto"/>
              </w:rPr>
            </w:pPr>
            <w:r>
              <w:rPr>
                <w:rFonts w:ascii="Arial" w:cs="Arial" w:eastAsia="Arial" w:hAnsi="Arial"/>
                <w:sz w:val="18"/>
                <w:szCs w:val="18"/>
                <w:color w:val="auto"/>
              </w:rPr>
              <w:t>outstanding</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200" w:type="dxa"/>
            <w:vAlign w:val="bottom"/>
            <w:shd w:val="clear" w:color="auto" w:fill="CCEEFF"/>
          </w:tcPr>
          <w:p>
            <w:pPr>
              <w:spacing w:after="0"/>
              <w:rPr>
                <w:sz w:val="20"/>
                <w:szCs w:val="20"/>
                <w:color w:val="auto"/>
              </w:rPr>
            </w:pPr>
            <w:r>
              <w:rPr>
                <w:rFonts w:ascii="Arial" w:cs="Arial" w:eastAsia="Arial" w:hAnsi="Arial"/>
                <w:sz w:val="18"/>
                <w:szCs w:val="18"/>
                <w:color w:val="auto"/>
                <w:w w:val="90"/>
              </w:rPr>
              <w:t>Common stock $.01 par value; authorized 50,000,000 shares; issued 11,881,606 and</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0" w:type="dxa"/>
            <w:vAlign w:val="bottom"/>
            <w:shd w:val="clear" w:color="auto" w:fill="CCEEFF"/>
          </w:tcPr>
          <w:p>
            <w:pPr>
              <w:ind w:left="160"/>
              <w:spacing w:after="0"/>
              <w:rPr>
                <w:sz w:val="20"/>
                <w:szCs w:val="20"/>
                <w:color w:val="auto"/>
              </w:rPr>
            </w:pPr>
            <w:r>
              <w:rPr>
                <w:rFonts w:ascii="Arial" w:cs="Arial" w:eastAsia="Arial" w:hAnsi="Arial"/>
                <w:sz w:val="18"/>
                <w:szCs w:val="18"/>
                <w:color w:val="auto"/>
                <w:w w:val="97"/>
              </w:rPr>
              <w:t>10,904,330 shares, respectively, and outstanding 11,211,581 and 10,904,330</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62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shares, respectively</w:t>
            </w: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w:t>
            </w:r>
          </w:p>
        </w:tc>
        <w:tc>
          <w:tcPr>
            <w:tcW w:w="1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w:t>
            </w:r>
          </w:p>
        </w:tc>
        <w:tc>
          <w:tcPr>
            <w:tcW w:w="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0" w:type="dxa"/>
            <w:vAlign w:val="bottom"/>
          </w:tcPr>
          <w:p>
            <w:pPr>
              <w:spacing w:after="0"/>
              <w:rPr>
                <w:sz w:val="20"/>
                <w:szCs w:val="20"/>
                <w:color w:val="auto"/>
              </w:rPr>
            </w:pPr>
            <w:r>
              <w:rPr>
                <w:rFonts w:ascii="Arial" w:cs="Arial" w:eastAsia="Arial" w:hAnsi="Arial"/>
                <w:sz w:val="18"/>
                <w:szCs w:val="18"/>
                <w:color w:val="auto"/>
              </w:rPr>
              <w:t>Additional paid-in capital</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908,031</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901,818</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0" w:type="dxa"/>
            <w:vAlign w:val="bottom"/>
            <w:shd w:val="clear" w:color="auto" w:fill="CCEEFF"/>
          </w:tcPr>
          <w:p>
            <w:pPr>
              <w:spacing w:after="0"/>
              <w:rPr>
                <w:sz w:val="20"/>
                <w:szCs w:val="20"/>
                <w:color w:val="auto"/>
              </w:rPr>
            </w:pPr>
            <w:r>
              <w:rPr>
                <w:rFonts w:ascii="Arial" w:cs="Arial" w:eastAsia="Arial" w:hAnsi="Arial"/>
                <w:sz w:val="18"/>
                <w:szCs w:val="18"/>
                <w:color w:val="auto"/>
              </w:rPr>
              <w:t>Accumulated deficit</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(786,143)</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(781,017)</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200" w:type="dxa"/>
            <w:vAlign w:val="bottom"/>
          </w:tcPr>
          <w:p>
            <w:pPr>
              <w:spacing w:after="0"/>
              <w:rPr>
                <w:sz w:val="20"/>
                <w:szCs w:val="20"/>
                <w:color w:val="auto"/>
              </w:rPr>
            </w:pPr>
            <w:r>
              <w:rPr>
                <w:rFonts w:ascii="Arial" w:cs="Arial" w:eastAsia="Arial" w:hAnsi="Arial"/>
                <w:sz w:val="18"/>
                <w:szCs w:val="18"/>
                <w:color w:val="auto"/>
              </w:rPr>
              <w:t>Treasury stock 670,025 and -0- shares, respectively</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340" w:type="dxa"/>
            <w:vAlign w:val="bottom"/>
            <w:gridSpan w:val="2"/>
          </w:tcPr>
          <w:p>
            <w:pPr>
              <w:jc w:val="right"/>
              <w:ind w:right="40"/>
              <w:spacing w:after="0"/>
              <w:rPr>
                <w:sz w:val="20"/>
                <w:szCs w:val="20"/>
                <w:color w:val="auto"/>
              </w:rPr>
            </w:pPr>
            <w:r>
              <w:rPr>
                <w:rFonts w:ascii="Arial" w:cs="Arial" w:eastAsia="Arial" w:hAnsi="Arial"/>
                <w:sz w:val="18"/>
                <w:szCs w:val="18"/>
                <w:color w:val="auto"/>
              </w:rPr>
              <w:t>(4,705)</w:t>
            </w: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6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2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Total shareholders' equity</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117,302</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120,910</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200" w:type="dxa"/>
            <w:vAlign w:val="bottom"/>
            <w:vMerge w:val="restart"/>
          </w:tcPr>
          <w:p>
            <w:pPr>
              <w:ind w:left="120"/>
              <w:spacing w:after="0"/>
              <w:rPr>
                <w:sz w:val="20"/>
                <w:szCs w:val="20"/>
                <w:color w:val="auto"/>
              </w:rPr>
            </w:pPr>
            <w:r>
              <w:rPr>
                <w:rFonts w:ascii="Arial" w:cs="Arial" w:eastAsia="Arial" w:hAnsi="Arial"/>
                <w:sz w:val="18"/>
                <w:szCs w:val="18"/>
                <w:color w:val="auto"/>
              </w:rPr>
              <w:t>Total liabilities and shareholders' equity</w:t>
            </w:r>
          </w:p>
        </w:tc>
        <w:tc>
          <w:tcPr>
            <w:tcW w:w="80" w:type="dxa"/>
            <w:vAlign w:val="bottom"/>
            <w:gridSpan w:val="2"/>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gridSpan w:val="2"/>
          </w:tcPr>
          <w:p>
            <w:pPr>
              <w:spacing w:after="0"/>
              <w:rPr>
                <w:sz w:val="2"/>
                <w:szCs w:val="2"/>
                <w:color w:val="auto"/>
              </w:rPr>
            </w:pPr>
          </w:p>
        </w:tc>
        <w:tc>
          <w:tcPr>
            <w:tcW w:w="1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0" w:type="dxa"/>
            <w:vAlign w:val="bottom"/>
            <w:vMerge w:val="continue"/>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Borders>
              <w:top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336,707</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291,832</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62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jc w:val="center"/>
        <w:ind w:right="-1139"/>
        <w:spacing w:after="0"/>
        <w:rPr>
          <w:sz w:val="20"/>
          <w:szCs w:val="20"/>
          <w:color w:val="auto"/>
        </w:rPr>
      </w:pPr>
      <w:r>
        <w:rPr>
          <w:rFonts w:ascii="Arial" w:cs="Arial" w:eastAsia="Arial" w:hAnsi="Arial"/>
          <w:sz w:val="18"/>
          <w:szCs w:val="18"/>
          <w:color w:val="auto"/>
        </w:rPr>
        <w:t>The accompanying Notes to Consolidated Financial Statements are an integral part of these statements.</w:t>
      </w:r>
    </w:p>
    <w:p>
      <w:pPr>
        <w:spacing w:after="0" w:line="225"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80"/>
          </w:cols>
          <w:pgMar w:left="240" w:top="131" w:right="1379" w:bottom="1440" w:gutter="0" w:footer="0" w:header="0"/>
        </w:sectPr>
      </w:pPr>
    </w:p>
    <w:bookmarkStart w:id="5" w:name="page6"/>
    <w:bookmarkEnd w:id="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979"/>
        <w:spacing w:after="0"/>
        <w:rPr>
          <w:sz w:val="20"/>
          <w:szCs w:val="20"/>
          <w:color w:val="auto"/>
        </w:rPr>
      </w:pPr>
      <w:r>
        <w:rPr>
          <w:rFonts w:ascii="Arial" w:cs="Arial" w:eastAsia="Arial" w:hAnsi="Arial"/>
          <w:sz w:val="18"/>
          <w:szCs w:val="18"/>
          <w:b w:val="1"/>
          <w:bCs w:val="1"/>
          <w:color w:val="auto"/>
        </w:rPr>
        <w:t>TREE.COM, INC. AND SUBSIDIARIES</w:t>
      </w:r>
    </w:p>
    <w:p>
      <w:pPr>
        <w:spacing w:after="0" w:line="225" w:lineRule="exact"/>
        <w:rPr>
          <w:sz w:val="20"/>
          <w:szCs w:val="20"/>
          <w:color w:val="auto"/>
        </w:rPr>
      </w:pPr>
    </w:p>
    <w:p>
      <w:pPr>
        <w:jc w:val="center"/>
        <w:ind w:right="-979"/>
        <w:spacing w:after="0"/>
        <w:rPr>
          <w:sz w:val="20"/>
          <w:szCs w:val="20"/>
          <w:color w:val="auto"/>
        </w:rPr>
      </w:pPr>
      <w:r>
        <w:rPr>
          <w:rFonts w:ascii="Arial" w:cs="Arial" w:eastAsia="Arial" w:hAnsi="Arial"/>
          <w:sz w:val="18"/>
          <w:szCs w:val="18"/>
          <w:b w:val="1"/>
          <w:bCs w:val="1"/>
          <w:color w:val="auto"/>
        </w:rPr>
        <w:t>CONSOLIDATED STATEMENT OF SHAREHOLDERS' EQUITY</w:t>
      </w:r>
    </w:p>
    <w:p>
      <w:pPr>
        <w:spacing w:after="0" w:line="225" w:lineRule="exact"/>
        <w:rPr>
          <w:sz w:val="20"/>
          <w:szCs w:val="20"/>
          <w:color w:val="auto"/>
        </w:rPr>
      </w:pPr>
    </w:p>
    <w:p>
      <w:pPr>
        <w:ind w:left="5240"/>
        <w:spacing w:after="0"/>
        <w:rPr>
          <w:sz w:val="20"/>
          <w:szCs w:val="20"/>
          <w:color w:val="auto"/>
        </w:rPr>
      </w:pPr>
      <w:r>
        <w:rPr>
          <w:rFonts w:ascii="Arial" w:cs="Arial" w:eastAsia="Arial" w:hAnsi="Arial"/>
          <w:sz w:val="18"/>
          <w:szCs w:val="18"/>
          <w:b w:val="1"/>
          <w:bCs w:val="1"/>
          <w:color w:val="auto"/>
        </w:rPr>
        <w:t>(Unaudited)</w:t>
      </w:r>
    </w:p>
    <w:p>
      <w:pPr>
        <w:spacing w:after="0" w:line="281"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8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0" w:type="dxa"/>
            <w:vAlign w:val="bottom"/>
            <w:gridSpan w:val="3"/>
          </w:tcPr>
          <w:p>
            <w:pPr>
              <w:jc w:val="right"/>
              <w:spacing w:after="0"/>
              <w:rPr>
                <w:sz w:val="20"/>
                <w:szCs w:val="20"/>
                <w:color w:val="auto"/>
              </w:rPr>
            </w:pPr>
            <w:r>
              <w:rPr>
                <w:rFonts w:ascii="Arial" w:cs="Arial" w:eastAsia="Arial" w:hAnsi="Arial"/>
                <w:sz w:val="14"/>
                <w:szCs w:val="14"/>
                <w:b w:val="1"/>
                <w:bCs w:val="1"/>
                <w:color w:val="auto"/>
              </w:rPr>
              <w:t>Common Stock</w:t>
            </w:r>
          </w:p>
        </w:tc>
        <w:tc>
          <w:tcPr>
            <w:tcW w:w="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gridSpan w:val="3"/>
            <w:vMerge w:val="restart"/>
          </w:tcPr>
          <w:p>
            <w:pPr>
              <w:jc w:val="right"/>
              <w:ind w:right="260"/>
              <w:spacing w:after="0"/>
              <w:rPr>
                <w:sz w:val="20"/>
                <w:szCs w:val="20"/>
                <w:color w:val="auto"/>
              </w:rPr>
            </w:pPr>
            <w:r>
              <w:rPr>
                <w:rFonts w:ascii="Arial" w:cs="Arial" w:eastAsia="Arial" w:hAnsi="Arial"/>
                <w:sz w:val="14"/>
                <w:szCs w:val="14"/>
                <w:b w:val="1"/>
                <w:bCs w:val="1"/>
                <w:color w:val="auto"/>
                <w:w w:val="96"/>
              </w:rPr>
              <w:t>Additional</w:t>
            </w: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740" w:type="dxa"/>
            <w:vAlign w:val="bottom"/>
            <w:gridSpan w:val="5"/>
          </w:tcPr>
          <w:p>
            <w:pPr>
              <w:jc w:val="right"/>
              <w:ind w:right="520"/>
              <w:spacing w:after="0"/>
              <w:rPr>
                <w:sz w:val="20"/>
                <w:szCs w:val="20"/>
                <w:color w:val="auto"/>
              </w:rPr>
            </w:pPr>
            <w:r>
              <w:rPr>
                <w:rFonts w:ascii="Arial" w:cs="Arial" w:eastAsia="Arial" w:hAnsi="Arial"/>
                <w:sz w:val="14"/>
                <w:szCs w:val="14"/>
                <w:b w:val="1"/>
                <w:bCs w:val="1"/>
                <w:color w:val="auto"/>
              </w:rPr>
              <w:t>Treasury Stock</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28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0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340" w:type="dxa"/>
            <w:vAlign w:val="bottom"/>
            <w:tcBorders>
              <w:top w:val="single" w:sz="8" w:color="auto"/>
            </w:tcBorders>
          </w:tcPr>
          <w:p>
            <w:pPr>
              <w:spacing w:after="0"/>
              <w:rPr>
                <w:sz w:val="11"/>
                <w:szCs w:val="11"/>
                <w:color w:val="auto"/>
              </w:rPr>
            </w:pPr>
          </w:p>
        </w:tc>
        <w:tc>
          <w:tcPr>
            <w:tcW w:w="30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940" w:type="dxa"/>
            <w:vAlign w:val="bottom"/>
            <w:gridSpan w:val="3"/>
            <w:vMerge w:val="continue"/>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60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jc w:val="right"/>
              <w:ind w:right="37"/>
              <w:spacing w:after="0" w:line="149" w:lineRule="exact"/>
              <w:rPr>
                <w:sz w:val="20"/>
                <w:szCs w:val="20"/>
                <w:color w:val="auto"/>
              </w:rPr>
            </w:pPr>
            <w:r>
              <w:rPr>
                <w:rFonts w:ascii="Arial" w:cs="Arial" w:eastAsia="Arial" w:hAnsi="Arial"/>
                <w:sz w:val="14"/>
                <w:szCs w:val="14"/>
                <w:b w:val="1"/>
                <w:bCs w:val="1"/>
                <w:color w:val="auto"/>
              </w:rPr>
              <w:t>Number</w:t>
            </w:r>
          </w:p>
        </w:tc>
        <w:tc>
          <w:tcPr>
            <w:tcW w:w="1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gridSpan w:val="2"/>
          </w:tcPr>
          <w:p>
            <w:pPr>
              <w:jc w:val="right"/>
              <w:ind w:right="360"/>
              <w:spacing w:after="0" w:line="149" w:lineRule="exact"/>
              <w:rPr>
                <w:sz w:val="20"/>
                <w:szCs w:val="20"/>
                <w:color w:val="auto"/>
              </w:rPr>
            </w:pPr>
            <w:r>
              <w:rPr>
                <w:rFonts w:ascii="Arial" w:cs="Arial" w:eastAsia="Arial" w:hAnsi="Arial"/>
                <w:sz w:val="14"/>
                <w:szCs w:val="14"/>
                <w:b w:val="1"/>
                <w:bCs w:val="1"/>
                <w:color w:val="auto"/>
                <w:w w:val="94"/>
              </w:rPr>
              <w:t>Paid-in</w:t>
            </w:r>
          </w:p>
        </w:tc>
        <w:tc>
          <w:tcPr>
            <w:tcW w:w="1060" w:type="dxa"/>
            <w:vAlign w:val="bottom"/>
            <w:gridSpan w:val="3"/>
          </w:tcPr>
          <w:p>
            <w:pPr>
              <w:jc w:val="right"/>
              <w:ind w:right="240"/>
              <w:spacing w:after="0" w:line="149" w:lineRule="exact"/>
              <w:rPr>
                <w:sz w:val="20"/>
                <w:szCs w:val="20"/>
                <w:color w:val="auto"/>
              </w:rPr>
            </w:pPr>
            <w:r>
              <w:rPr>
                <w:rFonts w:ascii="Arial" w:cs="Arial" w:eastAsia="Arial" w:hAnsi="Arial"/>
                <w:sz w:val="14"/>
                <w:szCs w:val="14"/>
                <w:b w:val="1"/>
                <w:bCs w:val="1"/>
                <w:color w:val="auto"/>
                <w:w w:val="90"/>
              </w:rPr>
              <w:t>Accumulated</w:t>
            </w:r>
          </w:p>
        </w:tc>
        <w:tc>
          <w:tcPr>
            <w:tcW w:w="720" w:type="dxa"/>
            <w:vAlign w:val="bottom"/>
          </w:tcPr>
          <w:p>
            <w:pPr>
              <w:jc w:val="right"/>
              <w:ind w:right="37"/>
              <w:spacing w:after="0" w:line="149" w:lineRule="exact"/>
              <w:rPr>
                <w:sz w:val="20"/>
                <w:szCs w:val="20"/>
                <w:color w:val="auto"/>
              </w:rPr>
            </w:pPr>
            <w:r>
              <w:rPr>
                <w:rFonts w:ascii="Arial" w:cs="Arial" w:eastAsia="Arial" w:hAnsi="Arial"/>
                <w:sz w:val="14"/>
                <w:szCs w:val="14"/>
                <w:b w:val="1"/>
                <w:bCs w:val="1"/>
                <w:color w:val="auto"/>
              </w:rPr>
              <w:t>Number</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28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Total</w:t>
            </w:r>
          </w:p>
        </w:tc>
        <w:tc>
          <w:tcPr>
            <w:tcW w:w="700" w:type="dxa"/>
            <w:vAlign w:val="bottom"/>
          </w:tcPr>
          <w:p>
            <w:pPr>
              <w:jc w:val="right"/>
              <w:ind w:right="17"/>
              <w:spacing w:after="0"/>
              <w:rPr>
                <w:sz w:val="20"/>
                <w:szCs w:val="20"/>
                <w:color w:val="auto"/>
              </w:rPr>
            </w:pPr>
            <w:r>
              <w:rPr>
                <w:rFonts w:ascii="Arial" w:cs="Arial" w:eastAsia="Arial" w:hAnsi="Arial"/>
                <w:sz w:val="14"/>
                <w:szCs w:val="14"/>
                <w:b w:val="1"/>
                <w:bCs w:val="1"/>
                <w:color w:val="auto"/>
                <w:w w:val="90"/>
              </w:rPr>
              <w:t>of Shares</w:t>
            </w:r>
          </w:p>
        </w:tc>
        <w:tc>
          <w:tcPr>
            <w:tcW w:w="160" w:type="dxa"/>
            <w:vAlign w:val="bottom"/>
          </w:tcPr>
          <w:p>
            <w:pPr>
              <w:spacing w:after="0"/>
              <w:rPr>
                <w:sz w:val="14"/>
                <w:szCs w:val="14"/>
                <w:color w:val="auto"/>
              </w:rPr>
            </w:pPr>
          </w:p>
        </w:tc>
        <w:tc>
          <w:tcPr>
            <w:tcW w:w="640" w:type="dxa"/>
            <w:vAlign w:val="bottom"/>
            <w:gridSpan w:val="2"/>
          </w:tcPr>
          <w:p>
            <w:pPr>
              <w:jc w:val="right"/>
              <w:ind w:right="12"/>
              <w:spacing w:after="0"/>
              <w:rPr>
                <w:sz w:val="20"/>
                <w:szCs w:val="20"/>
                <w:color w:val="auto"/>
              </w:rPr>
            </w:pPr>
            <w:r>
              <w:rPr>
                <w:rFonts w:ascii="Arial" w:cs="Arial" w:eastAsia="Arial" w:hAnsi="Arial"/>
                <w:sz w:val="14"/>
                <w:szCs w:val="14"/>
                <w:b w:val="1"/>
                <w:bCs w:val="1"/>
                <w:color w:val="auto"/>
                <w:w w:val="98"/>
              </w:rPr>
              <w:t>Amount</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w w:val="98"/>
              </w:rPr>
              <w:t>Capital</w:t>
            </w:r>
          </w:p>
        </w:tc>
        <w:tc>
          <w:tcPr>
            <w:tcW w:w="160" w:type="dxa"/>
            <w:vAlign w:val="bottom"/>
          </w:tcPr>
          <w:p>
            <w:pPr>
              <w:spacing w:after="0"/>
              <w:rPr>
                <w:sz w:val="14"/>
                <w:szCs w:val="14"/>
                <w:color w:val="auto"/>
              </w:rPr>
            </w:pPr>
          </w:p>
        </w:tc>
        <w:tc>
          <w:tcPr>
            <w:tcW w:w="90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Deficit</w:t>
            </w:r>
          </w:p>
        </w:tc>
        <w:tc>
          <w:tcPr>
            <w:tcW w:w="720" w:type="dxa"/>
            <w:vAlign w:val="bottom"/>
          </w:tcPr>
          <w:p>
            <w:pPr>
              <w:jc w:val="right"/>
              <w:ind w:right="17"/>
              <w:spacing w:after="0"/>
              <w:rPr>
                <w:sz w:val="20"/>
                <w:szCs w:val="20"/>
                <w:color w:val="auto"/>
              </w:rPr>
            </w:pPr>
            <w:r>
              <w:rPr>
                <w:rFonts w:ascii="Arial" w:cs="Arial" w:eastAsia="Arial" w:hAnsi="Arial"/>
                <w:sz w:val="14"/>
                <w:szCs w:val="14"/>
                <w:b w:val="1"/>
                <w:bCs w:val="1"/>
                <w:color w:val="auto"/>
                <w:w w:val="93"/>
              </w:rPr>
              <w:t>of Shares</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w w:val="86"/>
              </w:rPr>
              <w:t>Amount</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w w:val="78"/>
              </w:rPr>
              <w:t>(In thousands)</w:t>
            </w:r>
          </w:p>
        </w:tc>
        <w:tc>
          <w:tcPr>
            <w:tcW w:w="16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as of December 31, 2009</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120,910</w:t>
            </w: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10,904</w:t>
            </w:r>
          </w:p>
        </w:tc>
        <w:tc>
          <w:tcPr>
            <w:tcW w:w="500" w:type="dxa"/>
            <w:vAlign w:val="bottom"/>
            <w:gridSpan w:val="2"/>
            <w:shd w:val="clear" w:color="auto" w:fill="CCEEFF"/>
          </w:tcPr>
          <w:p>
            <w:pPr>
              <w:jc w:val="right"/>
              <w:ind w:right="162"/>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109</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901,818</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6"/>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(781,017)</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80" w:type="dxa"/>
            <w:vAlign w:val="bottom"/>
          </w:tcPr>
          <w:p>
            <w:pPr>
              <w:spacing w:after="0"/>
              <w:rPr>
                <w:sz w:val="20"/>
                <w:szCs w:val="20"/>
                <w:color w:val="auto"/>
              </w:rPr>
            </w:pPr>
            <w:r>
              <w:rPr>
                <w:rFonts w:ascii="Arial" w:cs="Arial" w:eastAsia="Arial" w:hAnsi="Arial"/>
                <w:sz w:val="18"/>
                <w:szCs w:val="18"/>
                <w:color w:val="auto"/>
              </w:rPr>
              <w:t>Comprehensive loss:</w:t>
            </w: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880" w:type="dxa"/>
            <w:vAlign w:val="bottom"/>
            <w:shd w:val="clear" w:color="auto" w:fill="CCEEFF"/>
          </w:tcPr>
          <w:p>
            <w:pPr>
              <w:ind w:left="120"/>
              <w:spacing w:after="0"/>
              <w:rPr>
                <w:sz w:val="20"/>
                <w:szCs w:val="20"/>
                <w:color w:val="auto"/>
              </w:rPr>
            </w:pPr>
            <w:r>
              <w:rPr>
                <w:rFonts w:ascii="Arial" w:cs="Arial" w:eastAsia="Arial" w:hAnsi="Arial"/>
                <w:sz w:val="18"/>
                <w:szCs w:val="18"/>
                <w:color w:val="auto"/>
                <w:w w:val="98"/>
              </w:rPr>
              <w:t>Net loss for the nine months ended</w:t>
            </w: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880" w:type="dxa"/>
            <w:vAlign w:val="bottom"/>
            <w:shd w:val="clear" w:color="auto" w:fill="CCEEFF"/>
          </w:tcPr>
          <w:p>
            <w:pPr>
              <w:ind w:left="300"/>
              <w:spacing w:after="0"/>
              <w:rPr>
                <w:sz w:val="20"/>
                <w:szCs w:val="20"/>
                <w:color w:val="auto"/>
              </w:rPr>
            </w:pPr>
            <w:r>
              <w:rPr>
                <w:rFonts w:ascii="Arial" w:cs="Arial" w:eastAsia="Arial" w:hAnsi="Arial"/>
                <w:sz w:val="18"/>
                <w:szCs w:val="18"/>
                <w:color w:val="auto"/>
              </w:rPr>
              <w:t>September 30, 2010</w:t>
            </w:r>
          </w:p>
        </w:tc>
        <w:tc>
          <w:tcPr>
            <w:tcW w:w="16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(5,126)</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(5,126)</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900" w:type="dxa"/>
            <w:vAlign w:val="bottom"/>
            <w:gridSpan w:val="2"/>
            <w:vMerge w:val="restart"/>
          </w:tcPr>
          <w:p>
            <w:pPr>
              <w:spacing w:after="0"/>
              <w:rPr>
                <w:sz w:val="20"/>
                <w:szCs w:val="20"/>
                <w:color w:val="auto"/>
              </w:rPr>
            </w:pPr>
            <w:r>
              <w:rPr>
                <w:rFonts w:ascii="Arial" w:cs="Arial" w:eastAsia="Arial" w:hAnsi="Arial"/>
                <w:sz w:val="18"/>
                <w:szCs w:val="18"/>
                <w:color w:val="auto"/>
              </w:rPr>
              <w:t>Comprehensive loss</w:t>
            </w:r>
          </w:p>
        </w:tc>
        <w:tc>
          <w:tcPr>
            <w:tcW w:w="160" w:type="dxa"/>
            <w:vAlign w:val="bottom"/>
          </w:tcPr>
          <w:p>
            <w:pPr>
              <w:spacing w:after="0"/>
              <w:rPr>
                <w:sz w:val="2"/>
                <w:szCs w:val="2"/>
                <w:color w:val="auto"/>
              </w:rPr>
            </w:pPr>
          </w:p>
        </w:tc>
        <w:tc>
          <w:tcPr>
            <w:tcW w:w="800" w:type="dxa"/>
            <w:vAlign w:val="bottom"/>
            <w:gridSpan w:val="2"/>
          </w:tcPr>
          <w:p>
            <w:pPr>
              <w:spacing w:after="0"/>
              <w:rPr>
                <w:sz w:val="2"/>
                <w:szCs w:val="2"/>
                <w:color w:val="auto"/>
              </w:rPr>
            </w:pPr>
          </w:p>
        </w:tc>
        <w:tc>
          <w:tcPr>
            <w:tcW w:w="70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30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
                <w:szCs w:val="2"/>
                <w:color w:val="auto"/>
              </w:rPr>
            </w:pPr>
          </w:p>
        </w:tc>
        <w:tc>
          <w:tcPr>
            <w:tcW w:w="90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72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900" w:type="dxa"/>
            <w:vAlign w:val="bottom"/>
            <w:gridSpan w:val="2"/>
            <w:vMerge w:val="continue"/>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(5,126)</w:t>
            </w:r>
          </w:p>
        </w:tc>
        <w:tc>
          <w:tcPr>
            <w:tcW w:w="180" w:type="dxa"/>
            <w:vAlign w:val="bottom"/>
          </w:tcPr>
          <w:p>
            <w:pPr>
              <w:spacing w:after="0"/>
              <w:rPr>
                <w:sz w:val="18"/>
                <w:szCs w:val="18"/>
                <w:color w:val="auto"/>
              </w:rPr>
            </w:pPr>
          </w:p>
        </w:tc>
        <w:tc>
          <w:tcPr>
            <w:tcW w:w="70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0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gridSpan w:val="2"/>
            <w:vMerge w:val="continue"/>
          </w:tcPr>
          <w:p>
            <w:pPr>
              <w:spacing w:after="0"/>
              <w:rPr>
                <w:sz w:val="18"/>
                <w:szCs w:val="18"/>
                <w:color w:val="auto"/>
              </w:rPr>
            </w:pPr>
          </w:p>
        </w:tc>
        <w:tc>
          <w:tcPr>
            <w:tcW w:w="72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80" w:type="dxa"/>
            <w:vAlign w:val="bottom"/>
            <w:shd w:val="clear" w:color="auto" w:fill="CCEEFF"/>
          </w:tcPr>
          <w:p>
            <w:pPr>
              <w:spacing w:after="0"/>
              <w:rPr>
                <w:sz w:val="20"/>
                <w:szCs w:val="20"/>
                <w:color w:val="auto"/>
              </w:rPr>
            </w:pPr>
            <w:r>
              <w:rPr>
                <w:rFonts w:ascii="Arial" w:cs="Arial" w:eastAsia="Arial" w:hAnsi="Arial"/>
                <w:sz w:val="18"/>
                <w:szCs w:val="18"/>
                <w:color w:val="auto"/>
              </w:rPr>
              <w:t>Non-cash compensation</w:t>
            </w: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2,840</w:t>
            </w: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2,840</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880" w:type="dxa"/>
            <w:vAlign w:val="bottom"/>
          </w:tcPr>
          <w:p>
            <w:pPr>
              <w:spacing w:after="0"/>
              <w:rPr>
                <w:sz w:val="20"/>
                <w:szCs w:val="20"/>
                <w:color w:val="auto"/>
              </w:rPr>
            </w:pPr>
            <w:r>
              <w:rPr>
                <w:rFonts w:ascii="Arial" w:cs="Arial" w:eastAsia="Arial" w:hAnsi="Arial"/>
                <w:sz w:val="18"/>
                <w:szCs w:val="18"/>
                <w:color w:val="auto"/>
              </w:rPr>
              <w:t>Issuance of common stock upon</w:t>
            </w: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80" w:type="dxa"/>
            <w:vAlign w:val="bottom"/>
          </w:tcPr>
          <w:p>
            <w:pPr>
              <w:ind w:left="160"/>
              <w:spacing w:after="0"/>
              <w:rPr>
                <w:sz w:val="20"/>
                <w:szCs w:val="20"/>
                <w:color w:val="auto"/>
              </w:rPr>
            </w:pPr>
            <w:r>
              <w:rPr>
                <w:rFonts w:ascii="Arial" w:cs="Arial" w:eastAsia="Arial" w:hAnsi="Arial"/>
                <w:sz w:val="18"/>
                <w:szCs w:val="18"/>
                <w:color w:val="auto"/>
              </w:rPr>
              <w:t>exercise of stock options and</w:t>
            </w: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80" w:type="dxa"/>
            <w:vAlign w:val="bottom"/>
          </w:tcPr>
          <w:p>
            <w:pPr>
              <w:ind w:left="160"/>
              <w:spacing w:after="0"/>
              <w:rPr>
                <w:sz w:val="20"/>
                <w:szCs w:val="20"/>
                <w:color w:val="auto"/>
              </w:rPr>
            </w:pPr>
            <w:r>
              <w:rPr>
                <w:rFonts w:ascii="Arial" w:cs="Arial" w:eastAsia="Arial" w:hAnsi="Arial"/>
                <w:sz w:val="18"/>
                <w:szCs w:val="18"/>
                <w:color w:val="auto"/>
                <w:w w:val="96"/>
              </w:rPr>
              <w:t>vesting of restricted stock units, net</w:t>
            </w: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880" w:type="dxa"/>
            <w:vAlign w:val="bottom"/>
          </w:tcPr>
          <w:p>
            <w:pPr>
              <w:ind w:left="160"/>
              <w:spacing w:after="0"/>
              <w:rPr>
                <w:sz w:val="20"/>
                <w:szCs w:val="20"/>
                <w:color w:val="auto"/>
              </w:rPr>
            </w:pPr>
            <w:r>
              <w:rPr>
                <w:rFonts w:ascii="Arial" w:cs="Arial" w:eastAsia="Arial" w:hAnsi="Arial"/>
                <w:sz w:val="18"/>
                <w:szCs w:val="18"/>
                <w:color w:val="auto"/>
              </w:rPr>
              <w:t>of withholding taxes</w:t>
            </w:r>
          </w:p>
        </w:tc>
        <w:tc>
          <w:tcPr>
            <w:tcW w:w="160" w:type="dxa"/>
            <w:vAlign w:val="bottom"/>
          </w:tcPr>
          <w:p>
            <w:pPr>
              <w:spacing w:after="0"/>
              <w:rPr>
                <w:sz w:val="19"/>
                <w:szCs w:val="19"/>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(575)</w:t>
            </w:r>
          </w:p>
        </w:tc>
        <w:tc>
          <w:tcPr>
            <w:tcW w:w="700" w:type="dxa"/>
            <w:vAlign w:val="bottom"/>
          </w:tcPr>
          <w:p>
            <w:pPr>
              <w:jc w:val="right"/>
              <w:spacing w:after="0"/>
              <w:rPr>
                <w:sz w:val="20"/>
                <w:szCs w:val="20"/>
                <w:color w:val="auto"/>
              </w:rPr>
            </w:pPr>
            <w:r>
              <w:rPr>
                <w:rFonts w:ascii="Arial" w:cs="Arial" w:eastAsia="Arial" w:hAnsi="Arial"/>
                <w:sz w:val="18"/>
                <w:szCs w:val="18"/>
                <w:color w:val="auto"/>
              </w:rPr>
              <w:t>293</w:t>
            </w:r>
          </w:p>
        </w:tc>
        <w:tc>
          <w:tcPr>
            <w:tcW w:w="1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4</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(579)</w:t>
            </w:r>
          </w:p>
        </w:tc>
        <w:tc>
          <w:tcPr>
            <w:tcW w:w="160" w:type="dxa"/>
            <w:vAlign w:val="bottom"/>
          </w:tcPr>
          <w:p>
            <w:pPr>
              <w:spacing w:after="0"/>
              <w:rPr>
                <w:sz w:val="19"/>
                <w:szCs w:val="19"/>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2880" w:type="dxa"/>
            <w:vAlign w:val="bottom"/>
            <w:shd w:val="clear" w:color="auto" w:fill="CCEEFF"/>
          </w:tcPr>
          <w:p>
            <w:pPr>
              <w:spacing w:after="0"/>
              <w:rPr>
                <w:sz w:val="20"/>
                <w:szCs w:val="20"/>
                <w:color w:val="auto"/>
              </w:rPr>
            </w:pPr>
            <w:r>
              <w:rPr>
                <w:rFonts w:ascii="Arial" w:cs="Arial" w:eastAsia="Arial" w:hAnsi="Arial"/>
                <w:sz w:val="18"/>
                <w:szCs w:val="18"/>
                <w:color w:val="auto"/>
              </w:rPr>
              <w:t>Issuance of restricted stock</w:t>
            </w: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w:t>
            </w: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w:t>
            </w: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80" w:type="dxa"/>
            <w:vAlign w:val="bottom"/>
          </w:tcPr>
          <w:p>
            <w:pPr>
              <w:spacing w:after="0"/>
              <w:rPr>
                <w:sz w:val="20"/>
                <w:szCs w:val="20"/>
                <w:color w:val="auto"/>
              </w:rPr>
            </w:pPr>
            <w:r>
              <w:rPr>
                <w:rFonts w:ascii="Arial" w:cs="Arial" w:eastAsia="Arial" w:hAnsi="Arial"/>
                <w:sz w:val="18"/>
                <w:szCs w:val="18"/>
                <w:color w:val="auto"/>
              </w:rPr>
              <w:t>Purchase of treasury stock</w:t>
            </w:r>
          </w:p>
        </w:tc>
        <w:tc>
          <w:tcPr>
            <w:tcW w:w="160" w:type="dxa"/>
            <w:vAlign w:val="bottom"/>
          </w:tcPr>
          <w:p>
            <w:pPr>
              <w:spacing w:after="0"/>
              <w:rPr>
                <w:sz w:val="18"/>
                <w:szCs w:val="18"/>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(4,705)</w:t>
            </w: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670</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(4,705)</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880" w:type="dxa"/>
            <w:vAlign w:val="bottom"/>
            <w:shd w:val="clear" w:color="auto" w:fill="CCEEFF"/>
          </w:tcPr>
          <w:p>
            <w:pPr>
              <w:spacing w:after="0"/>
              <w:rPr>
                <w:sz w:val="20"/>
                <w:szCs w:val="20"/>
                <w:color w:val="auto"/>
              </w:rPr>
            </w:pPr>
            <w:r>
              <w:rPr>
                <w:rFonts w:ascii="Arial" w:cs="Arial" w:eastAsia="Arial" w:hAnsi="Arial"/>
                <w:sz w:val="18"/>
                <w:szCs w:val="18"/>
                <w:color w:val="auto"/>
                <w:w w:val="93"/>
              </w:rPr>
              <w:t>Exchange of preferred stock issued by</w:t>
            </w: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 subsidiary to common stock</w:t>
            </w: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8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issued by the parent</w:t>
            </w:r>
          </w:p>
        </w:tc>
        <w:tc>
          <w:tcPr>
            <w:tcW w:w="16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3,958</w:t>
            </w:r>
          </w:p>
        </w:tc>
        <w:tc>
          <w:tcPr>
            <w:tcW w:w="18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535</w:t>
            </w:r>
          </w:p>
        </w:tc>
        <w:tc>
          <w:tcPr>
            <w:tcW w:w="1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3,953</w:t>
            </w:r>
          </w:p>
        </w:tc>
        <w:tc>
          <w:tcPr>
            <w:tcW w:w="1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900" w:type="dxa"/>
            <w:vAlign w:val="bottom"/>
            <w:gridSpan w:val="2"/>
            <w:vMerge w:val="restart"/>
          </w:tcPr>
          <w:p>
            <w:pPr>
              <w:spacing w:after="0"/>
              <w:rPr>
                <w:sz w:val="20"/>
                <w:szCs w:val="20"/>
                <w:color w:val="auto"/>
              </w:rPr>
            </w:pPr>
            <w:r>
              <w:rPr>
                <w:rFonts w:ascii="Arial" w:cs="Arial" w:eastAsia="Arial" w:hAnsi="Arial"/>
                <w:sz w:val="18"/>
                <w:szCs w:val="18"/>
                <w:b w:val="1"/>
                <w:bCs w:val="1"/>
                <w:color w:val="auto"/>
                <w:w w:val="99"/>
              </w:rPr>
              <w:t>Balance as of September 30, 2010</w:t>
            </w:r>
          </w:p>
        </w:tc>
        <w:tc>
          <w:tcPr>
            <w:tcW w:w="1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500" w:type="dxa"/>
            <w:vAlign w:val="bottom"/>
            <w:gridSpan w:val="2"/>
          </w:tcPr>
          <w:p>
            <w:pPr>
              <w:spacing w:after="0"/>
              <w:rPr>
                <w:sz w:val="2"/>
                <w:szCs w:val="2"/>
                <w:color w:val="auto"/>
              </w:rPr>
            </w:pPr>
          </w:p>
        </w:tc>
        <w:tc>
          <w:tcPr>
            <w:tcW w:w="300" w:type="dxa"/>
            <w:vAlign w:val="bottom"/>
          </w:tcPr>
          <w:p>
            <w:pPr>
              <w:spacing w:after="0"/>
              <w:rPr>
                <w:sz w:val="2"/>
                <w:szCs w:val="2"/>
                <w:color w:val="auto"/>
              </w:rPr>
            </w:pPr>
          </w:p>
        </w:tc>
        <w:tc>
          <w:tcPr>
            <w:tcW w:w="280" w:type="dxa"/>
            <w:vAlign w:val="bottom"/>
            <w:gridSpan w:val="2"/>
          </w:tcPr>
          <w:p>
            <w:pPr>
              <w:spacing w:after="0"/>
              <w:rPr>
                <w:sz w:val="2"/>
                <w:szCs w:val="2"/>
                <w:color w:val="auto"/>
              </w:rPr>
            </w:pPr>
          </w:p>
        </w:tc>
        <w:tc>
          <w:tcPr>
            <w:tcW w:w="6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gridSpan w:val="2"/>
          </w:tcPr>
          <w:p>
            <w:pPr>
              <w:spacing w:after="0"/>
              <w:rPr>
                <w:sz w:val="2"/>
                <w:szCs w:val="2"/>
                <w:color w:val="auto"/>
              </w:rPr>
            </w:pPr>
          </w:p>
        </w:tc>
        <w:tc>
          <w:tcPr>
            <w:tcW w:w="720" w:type="dxa"/>
            <w:vAlign w:val="bottom"/>
          </w:tcPr>
          <w:p>
            <w:pPr>
              <w:spacing w:after="0"/>
              <w:rPr>
                <w:sz w:val="2"/>
                <w:szCs w:val="2"/>
                <w:color w:val="auto"/>
              </w:rPr>
            </w:pPr>
          </w:p>
        </w:tc>
        <w:tc>
          <w:tcPr>
            <w:tcW w:w="260" w:type="dxa"/>
            <w:vAlign w:val="bottom"/>
            <w:gridSpan w:val="2"/>
          </w:tcPr>
          <w:p>
            <w:pPr>
              <w:spacing w:after="0"/>
              <w:rPr>
                <w:sz w:val="2"/>
                <w:szCs w:val="2"/>
                <w:color w:val="auto"/>
              </w:rPr>
            </w:pPr>
          </w:p>
        </w:tc>
        <w:tc>
          <w:tcPr>
            <w:tcW w:w="76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2900" w:type="dxa"/>
            <w:vAlign w:val="bottom"/>
            <w:gridSpan w:val="2"/>
            <w:vMerge w:val="continue"/>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2"/>
              </w:rPr>
              <w:t>117,302</w:t>
            </w:r>
          </w:p>
        </w:tc>
        <w:tc>
          <w:tcPr>
            <w:tcW w:w="180" w:type="dxa"/>
            <w:vAlign w:val="bottom"/>
          </w:tcPr>
          <w:p>
            <w:pPr>
              <w:spacing w:after="0"/>
              <w:rPr>
                <w:sz w:val="18"/>
                <w:szCs w:val="18"/>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11,882</w:t>
            </w:r>
          </w:p>
        </w:tc>
        <w:tc>
          <w:tcPr>
            <w:tcW w:w="160" w:type="dxa"/>
            <w:vAlign w:val="bottom"/>
          </w:tcPr>
          <w:p>
            <w:pPr>
              <w:spacing w:after="0"/>
              <w:rPr>
                <w:sz w:val="18"/>
                <w:szCs w:val="18"/>
                <w:color w:val="auto"/>
              </w:rPr>
            </w:pPr>
          </w:p>
        </w:tc>
        <w:tc>
          <w:tcPr>
            <w:tcW w:w="340" w:type="dxa"/>
            <w:vAlign w:val="bottom"/>
            <w:tcBorders>
              <w:top w:val="single" w:sz="8" w:color="auto"/>
            </w:tcBorders>
          </w:tcPr>
          <w:p>
            <w:pPr>
              <w:jc w:val="right"/>
              <w:ind w:right="162"/>
              <w:spacing w:after="0"/>
              <w:rPr>
                <w:sz w:val="20"/>
                <w:szCs w:val="20"/>
                <w:color w:val="auto"/>
              </w:rPr>
            </w:pPr>
            <w:r>
              <w:rPr>
                <w:rFonts w:ascii="Arial" w:cs="Arial" w:eastAsia="Arial" w:hAnsi="Arial"/>
                <w:sz w:val="18"/>
                <w:szCs w:val="18"/>
                <w:color w:val="auto"/>
                <w:w w:val="79"/>
              </w:rPr>
              <w:t>$</w:t>
            </w:r>
          </w:p>
        </w:tc>
        <w:tc>
          <w:tcPr>
            <w:tcW w:w="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6"/>
              </w:rPr>
              <w:t>119</w:t>
            </w:r>
          </w:p>
        </w:tc>
        <w:tc>
          <w:tcPr>
            <w:tcW w:w="16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5"/>
              </w:rPr>
              <w:t>908,031</w:t>
            </w:r>
          </w:p>
        </w:tc>
        <w:tc>
          <w:tcPr>
            <w:tcW w:w="160" w:type="dxa"/>
            <w:vAlign w:val="bottom"/>
          </w:tcPr>
          <w:p>
            <w:pPr>
              <w:spacing w:after="0"/>
              <w:rPr>
                <w:sz w:val="18"/>
                <w:szCs w:val="18"/>
                <w:color w:val="auto"/>
              </w:rPr>
            </w:pPr>
          </w:p>
        </w:tc>
        <w:tc>
          <w:tcPr>
            <w:tcW w:w="160" w:type="dxa"/>
            <w:vAlign w:val="bottom"/>
            <w:tcBorders>
              <w:top w:val="single" w:sz="8" w:color="auto"/>
            </w:tcBorders>
          </w:tcPr>
          <w:p>
            <w:pPr>
              <w:jc w:val="right"/>
              <w:ind w:right="6"/>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3"/>
              </w:rPr>
              <w:t>(786,143)</w:t>
            </w:r>
          </w:p>
        </w:tc>
        <w:tc>
          <w:tcPr>
            <w:tcW w:w="160" w:type="dxa"/>
            <w:vAlign w:val="bottom"/>
          </w:tcPr>
          <w:p>
            <w:pPr>
              <w:spacing w:after="0"/>
              <w:rPr>
                <w:sz w:val="18"/>
                <w:szCs w:val="18"/>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670</w:t>
            </w:r>
          </w:p>
        </w:tc>
        <w:tc>
          <w:tcPr>
            <w:tcW w:w="16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(4,705)</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jc w:val="center"/>
        <w:ind w:right="-1019"/>
        <w:spacing w:after="0"/>
        <w:rPr>
          <w:sz w:val="20"/>
          <w:szCs w:val="20"/>
          <w:color w:val="auto"/>
        </w:rPr>
      </w:pPr>
      <w:r>
        <w:rPr>
          <w:rFonts w:ascii="Arial" w:cs="Arial" w:eastAsia="Arial" w:hAnsi="Arial"/>
          <w:sz w:val="18"/>
          <w:szCs w:val="18"/>
          <w:color w:val="auto"/>
        </w:rPr>
        <w:t>The accompanying Notes to Consolidated Financial Statements are an integral part of these statements.</w:t>
      </w:r>
    </w:p>
    <w:p>
      <w:pPr>
        <w:spacing w:after="0" w:line="225"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400"/>
          </w:cols>
          <w:pgMar w:left="240" w:top="131" w:right="1259" w:bottom="1440" w:gutter="0" w:footer="0" w:header="0"/>
        </w:sectPr>
      </w:pPr>
    </w:p>
    <w:bookmarkStart w:id="6" w:name="page7"/>
    <w:bookmarkEnd w:id="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099"/>
        <w:spacing w:after="0"/>
        <w:rPr>
          <w:sz w:val="20"/>
          <w:szCs w:val="20"/>
          <w:color w:val="auto"/>
        </w:rPr>
      </w:pPr>
      <w:r>
        <w:rPr>
          <w:rFonts w:ascii="Arial" w:cs="Arial" w:eastAsia="Arial" w:hAnsi="Arial"/>
          <w:sz w:val="18"/>
          <w:szCs w:val="18"/>
          <w:b w:val="1"/>
          <w:bCs w:val="1"/>
          <w:color w:val="auto"/>
        </w:rPr>
        <w:t>TREE.COM, INC. AND SUBSIDIARIES</w:t>
      </w:r>
    </w:p>
    <w:p>
      <w:pPr>
        <w:spacing w:after="0" w:line="225" w:lineRule="exact"/>
        <w:rPr>
          <w:sz w:val="20"/>
          <w:szCs w:val="20"/>
          <w:color w:val="auto"/>
        </w:rPr>
      </w:pPr>
    </w:p>
    <w:p>
      <w:pPr>
        <w:jc w:val="center"/>
        <w:ind w:right="-1099"/>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25" w:lineRule="exact"/>
        <w:rPr>
          <w:sz w:val="20"/>
          <w:szCs w:val="20"/>
          <w:color w:val="auto"/>
        </w:rPr>
      </w:pPr>
    </w:p>
    <w:p>
      <w:pPr>
        <w:ind w:left="5240"/>
        <w:spacing w:after="0"/>
        <w:rPr>
          <w:sz w:val="20"/>
          <w:szCs w:val="20"/>
          <w:color w:val="auto"/>
        </w:rPr>
      </w:pPr>
      <w:r>
        <w:rPr>
          <w:rFonts w:ascii="Arial" w:cs="Arial" w:eastAsia="Arial" w:hAnsi="Arial"/>
          <w:sz w:val="18"/>
          <w:szCs w:val="18"/>
          <w:b w:val="1"/>
          <w:bCs w:val="1"/>
          <w:color w:val="auto"/>
        </w:rPr>
        <w:t>(Unaudited)</w:t>
      </w:r>
    </w:p>
    <w:p>
      <w:pPr>
        <w:spacing w:after="0" w:line="214"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8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80" w:type="dxa"/>
            <w:vAlign w:val="bottom"/>
            <w:gridSpan w:val="5"/>
          </w:tcPr>
          <w:p>
            <w:pPr>
              <w:jc w:val="right"/>
              <w:ind w:right="62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68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80" w:type="dxa"/>
            <w:vAlign w:val="bottom"/>
            <w:gridSpan w:val="5"/>
          </w:tcPr>
          <w:p>
            <w:pPr>
              <w:jc w:val="right"/>
              <w:ind w:right="800"/>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80" w:type="dxa"/>
            <w:vAlign w:val="bottom"/>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ind w:right="254"/>
              <w:spacing w:after="0" w:line="142" w:lineRule="exact"/>
              <w:rPr>
                <w:sz w:val="20"/>
                <w:szCs w:val="20"/>
                <w:color w:val="auto"/>
              </w:rPr>
            </w:pPr>
            <w:r>
              <w:rPr>
                <w:rFonts w:ascii="Arial" w:cs="Arial" w:eastAsia="Arial" w:hAnsi="Arial"/>
                <w:sz w:val="14"/>
                <w:szCs w:val="14"/>
                <w:b w:val="1"/>
                <w:bCs w:val="1"/>
                <w:color w:val="auto"/>
              </w:rPr>
              <w:t>2010</w:t>
            </w:r>
          </w:p>
        </w:tc>
        <w:tc>
          <w:tcPr>
            <w:tcW w:w="160" w:type="dxa"/>
            <w:vAlign w:val="bottom"/>
            <w:tcBorders>
              <w:top w:val="single" w:sz="8" w:color="auto"/>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ind w:right="253"/>
              <w:spacing w:after="0" w:line="142" w:lineRule="exact"/>
              <w:rPr>
                <w:sz w:val="20"/>
                <w:szCs w:val="20"/>
                <w:color w:val="auto"/>
              </w:rPr>
            </w:pPr>
            <w:r>
              <w:rPr>
                <w:rFonts w:ascii="Arial" w:cs="Arial" w:eastAsia="Arial" w:hAnsi="Arial"/>
                <w:sz w:val="14"/>
                <w:szCs w:val="14"/>
                <w:b w:val="1"/>
                <w:bCs w:val="1"/>
                <w:color w:val="auto"/>
              </w:rPr>
              <w:t>2009</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jc w:val="right"/>
              <w:ind w:right="74"/>
              <w:spacing w:after="0" w:line="142" w:lineRule="exact"/>
              <w:rPr>
                <w:sz w:val="20"/>
                <w:szCs w:val="20"/>
                <w:color w:val="auto"/>
              </w:rPr>
            </w:pPr>
            <w:r>
              <w:rPr>
                <w:rFonts w:ascii="Arial" w:cs="Arial" w:eastAsia="Arial" w:hAnsi="Arial"/>
                <w:sz w:val="14"/>
                <w:szCs w:val="14"/>
                <w:b w:val="1"/>
                <w:bCs w:val="1"/>
                <w:color w:val="auto"/>
              </w:rPr>
              <w:t>(In</w:t>
            </w:r>
          </w:p>
        </w:tc>
        <w:tc>
          <w:tcPr>
            <w:tcW w:w="1120" w:type="dxa"/>
            <w:vAlign w:val="bottom"/>
            <w:gridSpan w:val="3"/>
          </w:tcPr>
          <w:p>
            <w:pPr>
              <w:jc w:val="right"/>
              <w:ind w:right="533"/>
              <w:spacing w:after="0"/>
              <w:rPr>
                <w:sz w:val="20"/>
                <w:szCs w:val="20"/>
                <w:color w:val="auto"/>
              </w:rPr>
            </w:pPr>
            <w:r>
              <w:rPr>
                <w:rFonts w:ascii="Arial" w:cs="Arial" w:eastAsia="Arial" w:hAnsi="Arial"/>
                <w:sz w:val="12"/>
                <w:szCs w:val="12"/>
                <w:b w:val="1"/>
                <w:bCs w:val="1"/>
                <w:color w:val="auto"/>
                <w:w w:val="74"/>
              </w:rPr>
              <w:t>thousands)</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tcPr>
          <w:p>
            <w:pPr>
              <w:spacing w:after="0"/>
              <w:rPr>
                <w:sz w:val="20"/>
                <w:szCs w:val="20"/>
                <w:color w:val="auto"/>
              </w:rPr>
            </w:pPr>
            <w:r>
              <w:rPr>
                <w:rFonts w:ascii="Arial" w:cs="Arial" w:eastAsia="Arial" w:hAnsi="Arial"/>
                <w:sz w:val="18"/>
                <w:szCs w:val="18"/>
                <w:color w:val="auto"/>
              </w:rPr>
              <w:t>Net loss</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tcPr>
          <w:p>
            <w:pPr>
              <w:jc w:val="right"/>
              <w:ind w:right="38"/>
              <w:spacing w:after="0"/>
              <w:rPr>
                <w:sz w:val="20"/>
                <w:szCs w:val="20"/>
                <w:color w:val="auto"/>
              </w:rPr>
            </w:pPr>
            <w:r>
              <w:rPr>
                <w:rFonts w:ascii="Arial" w:cs="Arial" w:eastAsia="Arial" w:hAnsi="Arial"/>
                <w:sz w:val="18"/>
                <w:szCs w:val="18"/>
                <w:color w:val="auto"/>
              </w:rPr>
              <w:t>(5,126)</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(3,498)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shd w:val="clear" w:color="auto" w:fill="CCEEFF"/>
          </w:tcPr>
          <w:p>
            <w:pPr>
              <w:spacing w:after="0"/>
              <w:rPr>
                <w:sz w:val="20"/>
                <w:szCs w:val="20"/>
                <w:color w:val="auto"/>
              </w:rPr>
            </w:pPr>
            <w:r>
              <w:rPr>
                <w:rFonts w:ascii="Arial" w:cs="Arial" w:eastAsia="Arial" w:hAnsi="Arial"/>
                <w:sz w:val="18"/>
                <w:szCs w:val="18"/>
                <w:color w:val="auto"/>
                <w:w w:val="99"/>
              </w:rPr>
              <w:t>Adjustments to reconcile net loss to net cash (used in) provided by operating activities:</w:t>
            </w: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tcPr>
          <w:p>
            <w:pPr>
              <w:ind w:left="120"/>
              <w:spacing w:after="0"/>
              <w:rPr>
                <w:sz w:val="20"/>
                <w:szCs w:val="20"/>
                <w:color w:val="auto"/>
              </w:rPr>
            </w:pPr>
            <w:r>
              <w:rPr>
                <w:rFonts w:ascii="Arial" w:cs="Arial" w:eastAsia="Arial" w:hAnsi="Arial"/>
                <w:sz w:val="18"/>
                <w:szCs w:val="18"/>
                <w:color w:val="auto"/>
              </w:rPr>
              <w:t>Loss on disposal of fixed assets</w:t>
            </w: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9</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949</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Amortization of intangibles</w:t>
            </w: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2,405</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3,636</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tcPr>
          <w:p>
            <w:pPr>
              <w:ind w:left="120"/>
              <w:spacing w:after="0"/>
              <w:rPr>
                <w:sz w:val="20"/>
                <w:szCs w:val="20"/>
                <w:color w:val="auto"/>
              </w:rPr>
            </w:pPr>
            <w:r>
              <w:rPr>
                <w:rFonts w:ascii="Arial" w:cs="Arial" w:eastAsia="Arial" w:hAnsi="Arial"/>
                <w:sz w:val="18"/>
                <w:szCs w:val="18"/>
                <w:color w:val="auto"/>
              </w:rPr>
              <w:t>Depreciation</w:t>
            </w: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4,539</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5,049</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Intangible impairment</w:t>
            </w: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98"/>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3,903</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tcPr>
          <w:p>
            <w:pPr>
              <w:ind w:left="120"/>
              <w:spacing w:after="0"/>
              <w:rPr>
                <w:sz w:val="20"/>
                <w:szCs w:val="20"/>
                <w:color w:val="auto"/>
              </w:rPr>
            </w:pPr>
            <w:r>
              <w:rPr>
                <w:rFonts w:ascii="Arial" w:cs="Arial" w:eastAsia="Arial" w:hAnsi="Arial"/>
                <w:sz w:val="18"/>
                <w:szCs w:val="18"/>
                <w:color w:val="auto"/>
              </w:rPr>
              <w:t>Non-cash compensation expense</w:t>
            </w: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2,840</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3,060</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Non-cash restructuring expense</w:t>
            </w: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301</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tcPr>
          <w:p>
            <w:pPr>
              <w:ind w:left="120"/>
              <w:spacing w:after="0"/>
              <w:rPr>
                <w:sz w:val="20"/>
                <w:szCs w:val="20"/>
                <w:color w:val="auto"/>
              </w:rPr>
            </w:pPr>
            <w:r>
              <w:rPr>
                <w:rFonts w:ascii="Arial" w:cs="Arial" w:eastAsia="Arial" w:hAnsi="Arial"/>
                <w:sz w:val="18"/>
                <w:szCs w:val="18"/>
                <w:color w:val="auto"/>
              </w:rPr>
              <w:t>Deferred income taxes</w:t>
            </w: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1,023</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393</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Gain on origination and sale of loans</w:t>
            </w: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8"/>
              <w:spacing w:after="0"/>
              <w:rPr>
                <w:sz w:val="20"/>
                <w:szCs w:val="20"/>
                <w:color w:val="auto"/>
              </w:rPr>
            </w:pPr>
            <w:r>
              <w:rPr>
                <w:rFonts w:ascii="Arial" w:cs="Arial" w:eastAsia="Arial" w:hAnsi="Arial"/>
                <w:sz w:val="18"/>
                <w:szCs w:val="18"/>
                <w:color w:val="auto"/>
              </w:rPr>
              <w:t>(79,301)</w:t>
            </w: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(89,701)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tcPr>
          <w:p>
            <w:pPr>
              <w:ind w:left="120"/>
              <w:spacing w:after="0"/>
              <w:rPr>
                <w:sz w:val="20"/>
                <w:szCs w:val="20"/>
                <w:color w:val="auto"/>
              </w:rPr>
            </w:pPr>
            <w:r>
              <w:rPr>
                <w:rFonts w:ascii="Arial" w:cs="Arial" w:eastAsia="Arial" w:hAnsi="Arial"/>
                <w:sz w:val="18"/>
                <w:szCs w:val="18"/>
                <w:color w:val="auto"/>
              </w:rPr>
              <w:t>Loss on impaired loans not sold</w:t>
            </w:r>
          </w:p>
        </w:tc>
        <w:tc>
          <w:tcPr>
            <w:tcW w:w="160" w:type="dxa"/>
            <w:vAlign w:val="bottom"/>
          </w:tcPr>
          <w:p>
            <w:pPr>
              <w:spacing w:after="0"/>
              <w:rPr>
                <w:sz w:val="18"/>
                <w:szCs w:val="18"/>
                <w:color w:val="auto"/>
              </w:rPr>
            </w:pPr>
          </w:p>
        </w:tc>
        <w:tc>
          <w:tcPr>
            <w:tcW w:w="960" w:type="dxa"/>
            <w:vAlign w:val="bottom"/>
            <w:gridSpan w:val="2"/>
          </w:tcPr>
          <w:p>
            <w:pPr>
              <w:jc w:val="right"/>
              <w:ind w:right="98"/>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564</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Loss on sale of real estate acquired in satisfaction of loans</w:t>
            </w: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377</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tcPr>
          <w:p>
            <w:pPr>
              <w:ind w:left="120"/>
              <w:spacing w:after="0"/>
              <w:rPr>
                <w:sz w:val="20"/>
                <w:szCs w:val="20"/>
                <w:color w:val="auto"/>
              </w:rPr>
            </w:pPr>
            <w:r>
              <w:rPr>
                <w:rFonts w:ascii="Arial" w:cs="Arial" w:eastAsia="Arial" w:hAnsi="Arial"/>
                <w:sz w:val="18"/>
                <w:szCs w:val="18"/>
                <w:color w:val="auto"/>
              </w:rPr>
              <w:t>Bad debt expense</w:t>
            </w: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45</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325</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shd w:val="clear" w:color="auto" w:fill="CCEEFF"/>
          </w:tcPr>
          <w:p>
            <w:pPr>
              <w:spacing w:after="0"/>
              <w:rPr>
                <w:sz w:val="20"/>
                <w:szCs w:val="20"/>
                <w:color w:val="auto"/>
              </w:rPr>
            </w:pPr>
            <w:r>
              <w:rPr>
                <w:rFonts w:ascii="Arial" w:cs="Arial" w:eastAsia="Arial" w:hAnsi="Arial"/>
                <w:sz w:val="18"/>
                <w:szCs w:val="18"/>
                <w:color w:val="auto"/>
              </w:rPr>
              <w:t>Changes in current assets and liabilities:</w:t>
            </w: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tcPr>
          <w:p>
            <w:pPr>
              <w:ind w:left="120"/>
              <w:spacing w:after="0"/>
              <w:rPr>
                <w:sz w:val="20"/>
                <w:szCs w:val="20"/>
                <w:color w:val="auto"/>
              </w:rPr>
            </w:pPr>
            <w:r>
              <w:rPr>
                <w:rFonts w:ascii="Arial" w:cs="Arial" w:eastAsia="Arial" w:hAnsi="Arial"/>
                <w:sz w:val="18"/>
                <w:szCs w:val="18"/>
                <w:color w:val="auto"/>
              </w:rPr>
              <w:t>Accounts receivable</w:t>
            </w:r>
          </w:p>
        </w:tc>
        <w:tc>
          <w:tcPr>
            <w:tcW w:w="160" w:type="dxa"/>
            <w:vAlign w:val="bottom"/>
          </w:tcPr>
          <w:p>
            <w:pPr>
              <w:spacing w:after="0"/>
              <w:rPr>
                <w:sz w:val="18"/>
                <w:szCs w:val="18"/>
                <w:color w:val="auto"/>
              </w:rPr>
            </w:pPr>
          </w:p>
        </w:tc>
        <w:tc>
          <w:tcPr>
            <w:tcW w:w="960" w:type="dxa"/>
            <w:vAlign w:val="bottom"/>
            <w:gridSpan w:val="2"/>
          </w:tcPr>
          <w:p>
            <w:pPr>
              <w:jc w:val="right"/>
              <w:ind w:right="38"/>
              <w:spacing w:after="0"/>
              <w:rPr>
                <w:sz w:val="20"/>
                <w:szCs w:val="20"/>
                <w:color w:val="auto"/>
              </w:rPr>
            </w:pPr>
            <w:r>
              <w:rPr>
                <w:rFonts w:ascii="Arial" w:cs="Arial" w:eastAsia="Arial" w:hAnsi="Arial"/>
                <w:sz w:val="18"/>
                <w:szCs w:val="18"/>
                <w:color w:val="auto"/>
              </w:rPr>
              <w:t>(1,010)</w:t>
            </w:r>
          </w:p>
        </w:tc>
        <w:tc>
          <w:tcPr>
            <w:tcW w:w="16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(1,208)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Origination of loans</w:t>
            </w: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8"/>
              <w:spacing w:after="0"/>
              <w:rPr>
                <w:sz w:val="20"/>
                <w:szCs w:val="20"/>
                <w:color w:val="auto"/>
              </w:rPr>
            </w:pPr>
            <w:r>
              <w:rPr>
                <w:rFonts w:ascii="Arial" w:cs="Arial" w:eastAsia="Arial" w:hAnsi="Arial"/>
                <w:sz w:val="18"/>
                <w:szCs w:val="18"/>
                <w:color w:val="auto"/>
                <w:w w:val="91"/>
              </w:rPr>
              <w:t>(1,940,925)</w:t>
            </w: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1"/>
              </w:rPr>
              <w:t>(2,232,380)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tcPr>
          <w:p>
            <w:pPr>
              <w:ind w:left="120"/>
              <w:spacing w:after="0"/>
              <w:rPr>
                <w:sz w:val="20"/>
                <w:szCs w:val="20"/>
                <w:color w:val="auto"/>
              </w:rPr>
            </w:pPr>
            <w:r>
              <w:rPr>
                <w:rFonts w:ascii="Arial" w:cs="Arial" w:eastAsia="Arial" w:hAnsi="Arial"/>
                <w:sz w:val="18"/>
                <w:szCs w:val="18"/>
                <w:color w:val="auto"/>
              </w:rPr>
              <w:t>Proceeds from sales of loans</w:t>
            </w: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97"/>
              </w:rPr>
              <w:t>1,953,564</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97"/>
              </w:rPr>
              <w:t>2,335,100</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Principal payments received on loans</w:t>
            </w: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1,200</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781</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tcPr>
          <w:p>
            <w:pPr>
              <w:ind w:left="120"/>
              <w:spacing w:after="0"/>
              <w:rPr>
                <w:sz w:val="20"/>
                <w:szCs w:val="20"/>
                <w:color w:val="auto"/>
              </w:rPr>
            </w:pPr>
            <w:r>
              <w:rPr>
                <w:rFonts w:ascii="Arial" w:cs="Arial" w:eastAsia="Arial" w:hAnsi="Arial"/>
                <w:sz w:val="18"/>
                <w:szCs w:val="18"/>
                <w:color w:val="auto"/>
              </w:rPr>
              <w:t>Payments to investors for loan repurchases and early payoff obligations</w:t>
            </w:r>
          </w:p>
        </w:tc>
        <w:tc>
          <w:tcPr>
            <w:tcW w:w="160" w:type="dxa"/>
            <w:vAlign w:val="bottom"/>
          </w:tcPr>
          <w:p>
            <w:pPr>
              <w:spacing w:after="0"/>
              <w:rPr>
                <w:sz w:val="18"/>
                <w:szCs w:val="18"/>
                <w:color w:val="auto"/>
              </w:rPr>
            </w:pPr>
          </w:p>
        </w:tc>
        <w:tc>
          <w:tcPr>
            <w:tcW w:w="960" w:type="dxa"/>
            <w:vAlign w:val="bottom"/>
            <w:gridSpan w:val="2"/>
          </w:tcPr>
          <w:p>
            <w:pPr>
              <w:jc w:val="right"/>
              <w:ind w:right="38"/>
              <w:spacing w:after="0"/>
              <w:rPr>
                <w:sz w:val="20"/>
                <w:szCs w:val="20"/>
                <w:color w:val="auto"/>
              </w:rPr>
            </w:pPr>
            <w:r>
              <w:rPr>
                <w:rFonts w:ascii="Arial" w:cs="Arial" w:eastAsia="Arial" w:hAnsi="Arial"/>
                <w:sz w:val="18"/>
                <w:szCs w:val="18"/>
                <w:color w:val="auto"/>
              </w:rPr>
              <w:t>(9,114)</w:t>
            </w:r>
          </w:p>
        </w:tc>
        <w:tc>
          <w:tcPr>
            <w:tcW w:w="16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(5,641)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Prepaid and other current assets</w:t>
            </w: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8"/>
              <w:spacing w:after="0"/>
              <w:rPr>
                <w:sz w:val="20"/>
                <w:szCs w:val="20"/>
                <w:color w:val="auto"/>
              </w:rPr>
            </w:pPr>
            <w:r>
              <w:rPr>
                <w:rFonts w:ascii="Arial" w:cs="Arial" w:eastAsia="Arial" w:hAnsi="Arial"/>
                <w:sz w:val="18"/>
                <w:szCs w:val="18"/>
                <w:color w:val="auto"/>
              </w:rPr>
              <w:t>(996)</w:t>
            </w: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tcPr>
          <w:p>
            <w:pPr>
              <w:ind w:left="120"/>
              <w:spacing w:after="0"/>
              <w:rPr>
                <w:sz w:val="20"/>
                <w:szCs w:val="20"/>
                <w:color w:val="auto"/>
              </w:rPr>
            </w:pPr>
            <w:r>
              <w:rPr>
                <w:rFonts w:ascii="Arial" w:cs="Arial" w:eastAsia="Arial" w:hAnsi="Arial"/>
                <w:sz w:val="18"/>
                <w:szCs w:val="18"/>
                <w:color w:val="auto"/>
              </w:rPr>
              <w:t>Accounts payable and other current liabilities</w:t>
            </w:r>
          </w:p>
        </w:tc>
        <w:tc>
          <w:tcPr>
            <w:tcW w:w="160" w:type="dxa"/>
            <w:vAlign w:val="bottom"/>
          </w:tcPr>
          <w:p>
            <w:pPr>
              <w:spacing w:after="0"/>
              <w:rPr>
                <w:sz w:val="18"/>
                <w:szCs w:val="18"/>
                <w:color w:val="auto"/>
              </w:rPr>
            </w:pPr>
          </w:p>
        </w:tc>
        <w:tc>
          <w:tcPr>
            <w:tcW w:w="960" w:type="dxa"/>
            <w:vAlign w:val="bottom"/>
            <w:gridSpan w:val="2"/>
          </w:tcPr>
          <w:p>
            <w:pPr>
              <w:jc w:val="right"/>
              <w:ind w:right="38"/>
              <w:spacing w:after="0"/>
              <w:rPr>
                <w:sz w:val="20"/>
                <w:szCs w:val="20"/>
                <w:color w:val="auto"/>
              </w:rPr>
            </w:pPr>
            <w:r>
              <w:rPr>
                <w:rFonts w:ascii="Arial" w:cs="Arial" w:eastAsia="Arial" w:hAnsi="Arial"/>
                <w:sz w:val="18"/>
                <w:szCs w:val="18"/>
                <w:color w:val="auto"/>
              </w:rPr>
              <w:t>(14,931)</w:t>
            </w: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3,580</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Income taxes payable</w:t>
            </w: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8"/>
              <w:spacing w:after="0"/>
              <w:rPr>
                <w:sz w:val="20"/>
                <w:szCs w:val="20"/>
                <w:color w:val="auto"/>
              </w:rPr>
            </w:pPr>
            <w:r>
              <w:rPr>
                <w:rFonts w:ascii="Arial" w:cs="Arial" w:eastAsia="Arial" w:hAnsi="Arial"/>
                <w:sz w:val="18"/>
                <w:szCs w:val="18"/>
                <w:color w:val="auto"/>
              </w:rPr>
              <w:t>(388)</w:t>
            </w: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tcPr>
          <w:p>
            <w:pPr>
              <w:ind w:left="120"/>
              <w:spacing w:after="0"/>
              <w:rPr>
                <w:sz w:val="20"/>
                <w:szCs w:val="20"/>
                <w:color w:val="auto"/>
              </w:rPr>
            </w:pPr>
            <w:r>
              <w:rPr>
                <w:rFonts w:ascii="Arial" w:cs="Arial" w:eastAsia="Arial" w:hAnsi="Arial"/>
                <w:sz w:val="18"/>
                <w:szCs w:val="18"/>
                <w:color w:val="auto"/>
              </w:rPr>
              <w:t>Deferred revenue</w:t>
            </w: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109</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(130)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Other, net</w:t>
            </w: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4,363</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1,154</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69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Net cash (used in) provided by operating activities</w:t>
            </w:r>
          </w:p>
        </w:tc>
        <w:tc>
          <w:tcPr>
            <w:tcW w:w="160" w:type="dxa"/>
            <w:vAlign w:val="bottom"/>
          </w:tcPr>
          <w:p>
            <w:pPr>
              <w:spacing w:after="0"/>
              <w:rPr>
                <w:sz w:val="2"/>
                <w:szCs w:val="2"/>
                <w:color w:val="auto"/>
              </w:rPr>
            </w:pPr>
          </w:p>
        </w:tc>
        <w:tc>
          <w:tcPr>
            <w:tcW w:w="96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6900" w:type="dxa"/>
            <w:vAlign w:val="bottom"/>
            <w:gridSpan w:val="2"/>
            <w:vMerge w:val="continue"/>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(81,016)</w:t>
            </w:r>
          </w:p>
        </w:tc>
        <w:tc>
          <w:tcPr>
            <w:tcW w:w="16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24,448</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68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8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tcPr>
          <w:p>
            <w:pPr>
              <w:ind w:left="120"/>
              <w:spacing w:after="0"/>
              <w:rPr>
                <w:sz w:val="20"/>
                <w:szCs w:val="20"/>
                <w:color w:val="auto"/>
              </w:rPr>
            </w:pPr>
            <w:r>
              <w:rPr>
                <w:rFonts w:ascii="Arial" w:cs="Arial" w:eastAsia="Arial" w:hAnsi="Arial"/>
                <w:sz w:val="18"/>
                <w:szCs w:val="18"/>
                <w:color w:val="auto"/>
              </w:rPr>
              <w:t>Acquisitions</w:t>
            </w:r>
          </w:p>
        </w:tc>
        <w:tc>
          <w:tcPr>
            <w:tcW w:w="160" w:type="dxa"/>
            <w:vAlign w:val="bottom"/>
          </w:tcPr>
          <w:p>
            <w:pPr>
              <w:spacing w:after="0"/>
              <w:rPr>
                <w:sz w:val="18"/>
                <w:szCs w:val="18"/>
                <w:color w:val="auto"/>
              </w:rPr>
            </w:pPr>
          </w:p>
        </w:tc>
        <w:tc>
          <w:tcPr>
            <w:tcW w:w="960" w:type="dxa"/>
            <w:vAlign w:val="bottom"/>
            <w:gridSpan w:val="2"/>
          </w:tcPr>
          <w:p>
            <w:pPr>
              <w:jc w:val="right"/>
              <w:ind w:right="38"/>
              <w:spacing w:after="0"/>
              <w:rPr>
                <w:sz w:val="20"/>
                <w:szCs w:val="20"/>
                <w:color w:val="auto"/>
              </w:rPr>
            </w:pPr>
            <w:r>
              <w:rPr>
                <w:rFonts w:ascii="Arial" w:cs="Arial" w:eastAsia="Arial" w:hAnsi="Arial"/>
                <w:sz w:val="18"/>
                <w:szCs w:val="18"/>
                <w:color w:val="auto"/>
              </w:rPr>
              <w:t>(50)</w:t>
            </w:r>
          </w:p>
        </w:tc>
        <w:tc>
          <w:tcPr>
            <w:tcW w:w="16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(5,726)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Capital expenditures</w:t>
            </w: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8"/>
              <w:spacing w:after="0"/>
              <w:rPr>
                <w:sz w:val="20"/>
                <w:szCs w:val="20"/>
                <w:color w:val="auto"/>
              </w:rPr>
            </w:pPr>
            <w:r>
              <w:rPr>
                <w:rFonts w:ascii="Arial" w:cs="Arial" w:eastAsia="Arial" w:hAnsi="Arial"/>
                <w:sz w:val="18"/>
                <w:szCs w:val="18"/>
                <w:color w:val="auto"/>
              </w:rPr>
              <w:t>(4,999)</w:t>
            </w: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(2,200)</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880" w:type="dxa"/>
            <w:vAlign w:val="bottom"/>
          </w:tcPr>
          <w:p>
            <w:pPr>
              <w:ind w:left="120"/>
              <w:spacing w:after="0"/>
              <w:rPr>
                <w:sz w:val="20"/>
                <w:szCs w:val="20"/>
                <w:color w:val="auto"/>
              </w:rPr>
            </w:pPr>
            <w:r>
              <w:rPr>
                <w:rFonts w:ascii="Arial" w:cs="Arial" w:eastAsia="Arial" w:hAnsi="Arial"/>
                <w:sz w:val="18"/>
                <w:szCs w:val="18"/>
                <w:color w:val="auto"/>
              </w:rPr>
              <w:t>Other, net</w:t>
            </w:r>
          </w:p>
        </w:tc>
        <w:tc>
          <w:tcPr>
            <w:tcW w:w="1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765</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3,253</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68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8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cash used in investing activities</w:t>
            </w: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8"/>
              <w:spacing w:after="0"/>
              <w:rPr>
                <w:sz w:val="20"/>
                <w:szCs w:val="20"/>
                <w:color w:val="auto"/>
              </w:rPr>
            </w:pPr>
            <w:r>
              <w:rPr>
                <w:rFonts w:ascii="Arial" w:cs="Arial" w:eastAsia="Arial" w:hAnsi="Arial"/>
                <w:sz w:val="18"/>
                <w:szCs w:val="18"/>
                <w:color w:val="auto"/>
              </w:rPr>
              <w:t>(4,284)</w:t>
            </w: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(4,673)</w:t>
            </w:r>
          </w:p>
        </w:tc>
        <w:tc>
          <w:tcPr>
            <w:tcW w:w="0" w:type="dxa"/>
            <w:vAlign w:val="bottom"/>
          </w:tcPr>
          <w:p>
            <w:pPr>
              <w:spacing w:after="0"/>
              <w:rPr>
                <w:sz w:val="1"/>
                <w:szCs w:val="1"/>
                <w:color w:val="auto"/>
              </w:rPr>
            </w:pPr>
          </w:p>
        </w:tc>
      </w:tr>
      <w:tr>
        <w:trPr>
          <w:trHeight w:val="27"/>
        </w:trPr>
        <w:tc>
          <w:tcPr>
            <w:tcW w:w="69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1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690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8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Borrowing under warehouse lines of credit</w:t>
            </w: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1,374,460</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1,964,237</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tcPr>
          <w:p>
            <w:pPr>
              <w:ind w:left="120"/>
              <w:spacing w:after="0"/>
              <w:rPr>
                <w:sz w:val="20"/>
                <w:szCs w:val="20"/>
                <w:color w:val="auto"/>
              </w:rPr>
            </w:pPr>
            <w:r>
              <w:rPr>
                <w:rFonts w:ascii="Arial" w:cs="Arial" w:eastAsia="Arial" w:hAnsi="Arial"/>
                <w:sz w:val="18"/>
                <w:szCs w:val="18"/>
                <w:color w:val="auto"/>
              </w:rPr>
              <w:t>Repayments of warehouse lines of credit</w:t>
            </w:r>
          </w:p>
        </w:tc>
        <w:tc>
          <w:tcPr>
            <w:tcW w:w="160" w:type="dxa"/>
            <w:vAlign w:val="bottom"/>
          </w:tcPr>
          <w:p>
            <w:pPr>
              <w:spacing w:after="0"/>
              <w:rPr>
                <w:sz w:val="18"/>
                <w:szCs w:val="18"/>
                <w:color w:val="auto"/>
              </w:rPr>
            </w:pPr>
          </w:p>
        </w:tc>
        <w:tc>
          <w:tcPr>
            <w:tcW w:w="960" w:type="dxa"/>
            <w:vAlign w:val="bottom"/>
            <w:gridSpan w:val="2"/>
          </w:tcPr>
          <w:p>
            <w:pPr>
              <w:jc w:val="right"/>
              <w:ind w:right="38"/>
              <w:spacing w:after="0"/>
              <w:rPr>
                <w:sz w:val="20"/>
                <w:szCs w:val="20"/>
                <w:color w:val="auto"/>
              </w:rPr>
            </w:pPr>
            <w:r>
              <w:rPr>
                <w:rFonts w:ascii="Arial" w:cs="Arial" w:eastAsia="Arial" w:hAnsi="Arial"/>
                <w:sz w:val="18"/>
                <w:szCs w:val="18"/>
                <w:color w:val="auto"/>
                <w:w w:val="91"/>
              </w:rPr>
              <w:t>(1,312,829)</w:t>
            </w:r>
          </w:p>
        </w:tc>
        <w:tc>
          <w:tcPr>
            <w:tcW w:w="16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w w:val="91"/>
              </w:rPr>
              <w:t>(1,973,294)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Issuance of common stock, net of withholding taxes</w:t>
            </w: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8"/>
              <w:spacing w:after="0"/>
              <w:rPr>
                <w:sz w:val="20"/>
                <w:szCs w:val="20"/>
                <w:color w:val="auto"/>
              </w:rPr>
            </w:pPr>
            <w:r>
              <w:rPr>
                <w:rFonts w:ascii="Arial" w:cs="Arial" w:eastAsia="Arial" w:hAnsi="Arial"/>
                <w:sz w:val="18"/>
                <w:szCs w:val="18"/>
                <w:color w:val="auto"/>
              </w:rPr>
              <w:t>(575)</w:t>
            </w: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3,373</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tcPr>
          <w:p>
            <w:pPr>
              <w:ind w:left="120"/>
              <w:spacing w:after="0"/>
              <w:rPr>
                <w:sz w:val="20"/>
                <w:szCs w:val="20"/>
                <w:color w:val="auto"/>
              </w:rPr>
            </w:pPr>
            <w:r>
              <w:rPr>
                <w:rFonts w:ascii="Arial" w:cs="Arial" w:eastAsia="Arial" w:hAnsi="Arial"/>
                <w:sz w:val="18"/>
                <w:szCs w:val="18"/>
                <w:color w:val="auto"/>
              </w:rPr>
              <w:t>Purchase of treasury stock</w:t>
            </w:r>
          </w:p>
        </w:tc>
        <w:tc>
          <w:tcPr>
            <w:tcW w:w="160" w:type="dxa"/>
            <w:vAlign w:val="bottom"/>
          </w:tcPr>
          <w:p>
            <w:pPr>
              <w:spacing w:after="0"/>
              <w:rPr>
                <w:sz w:val="18"/>
                <w:szCs w:val="18"/>
                <w:color w:val="auto"/>
              </w:rPr>
            </w:pPr>
          </w:p>
        </w:tc>
        <w:tc>
          <w:tcPr>
            <w:tcW w:w="960" w:type="dxa"/>
            <w:vAlign w:val="bottom"/>
            <w:gridSpan w:val="2"/>
          </w:tcPr>
          <w:p>
            <w:pPr>
              <w:jc w:val="right"/>
              <w:ind w:right="38"/>
              <w:spacing w:after="0"/>
              <w:rPr>
                <w:sz w:val="20"/>
                <w:szCs w:val="20"/>
                <w:color w:val="auto"/>
              </w:rPr>
            </w:pPr>
            <w:r>
              <w:rPr>
                <w:rFonts w:ascii="Arial" w:cs="Arial" w:eastAsia="Arial" w:hAnsi="Arial"/>
                <w:sz w:val="18"/>
                <w:szCs w:val="18"/>
                <w:color w:val="auto"/>
              </w:rPr>
              <w:t>(4,705)</w:t>
            </w:r>
          </w:p>
        </w:tc>
        <w:tc>
          <w:tcPr>
            <w:tcW w:w="16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Decrease (increase) in restricted cash</w:t>
            </w: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(875)</w:t>
            </w:r>
          </w:p>
        </w:tc>
        <w:tc>
          <w:tcPr>
            <w:tcW w:w="0" w:type="dxa"/>
            <w:vAlign w:val="bottom"/>
          </w:tcPr>
          <w:p>
            <w:pPr>
              <w:spacing w:after="0"/>
              <w:rPr>
                <w:sz w:val="1"/>
                <w:szCs w:val="1"/>
                <w:color w:val="auto"/>
              </w:rPr>
            </w:pPr>
          </w:p>
        </w:tc>
      </w:tr>
      <w:tr>
        <w:trPr>
          <w:trHeight w:val="27"/>
        </w:trPr>
        <w:tc>
          <w:tcPr>
            <w:tcW w:w="69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Net cash provided by (used in) financing activities</w:t>
            </w:r>
          </w:p>
        </w:tc>
        <w:tc>
          <w:tcPr>
            <w:tcW w:w="1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6900" w:type="dxa"/>
            <w:vAlign w:val="bottom"/>
            <w:gridSpan w:val="2"/>
            <w:vMerge w:val="continue"/>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56,501</w:t>
            </w:r>
          </w:p>
        </w:tc>
        <w:tc>
          <w:tcPr>
            <w:tcW w:w="16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(6,559)</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68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8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(decrease) increase in cash and cash equivalents</w:t>
            </w: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8"/>
              <w:spacing w:after="0"/>
              <w:rPr>
                <w:sz w:val="20"/>
                <w:szCs w:val="20"/>
                <w:color w:val="auto"/>
              </w:rPr>
            </w:pPr>
            <w:r>
              <w:rPr>
                <w:rFonts w:ascii="Arial" w:cs="Arial" w:eastAsia="Arial" w:hAnsi="Arial"/>
                <w:sz w:val="18"/>
                <w:szCs w:val="18"/>
                <w:color w:val="auto"/>
              </w:rPr>
              <w:t>(28,799)</w:t>
            </w: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13,216</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880" w:type="dxa"/>
            <w:vAlign w:val="bottom"/>
          </w:tcPr>
          <w:p>
            <w:pPr>
              <w:spacing w:after="0"/>
              <w:rPr>
                <w:sz w:val="20"/>
                <w:szCs w:val="20"/>
                <w:color w:val="auto"/>
              </w:rPr>
            </w:pPr>
            <w:r>
              <w:rPr>
                <w:rFonts w:ascii="Arial" w:cs="Arial" w:eastAsia="Arial" w:hAnsi="Arial"/>
                <w:sz w:val="18"/>
                <w:szCs w:val="18"/>
                <w:color w:val="auto"/>
              </w:rPr>
              <w:t>Cash and cash equivalents at beginning of period</w:t>
            </w:r>
          </w:p>
        </w:tc>
        <w:tc>
          <w:tcPr>
            <w:tcW w:w="1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86,093</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73,643</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68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8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and cash equivalents at end of period</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57,294</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86,859</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8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8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jc w:val="center"/>
        <w:ind w:right="-1139"/>
        <w:spacing w:after="0"/>
        <w:rPr>
          <w:sz w:val="20"/>
          <w:szCs w:val="20"/>
          <w:color w:val="auto"/>
        </w:rPr>
      </w:pPr>
      <w:r>
        <w:rPr>
          <w:rFonts w:ascii="Arial" w:cs="Arial" w:eastAsia="Arial" w:hAnsi="Arial"/>
          <w:sz w:val="18"/>
          <w:szCs w:val="18"/>
          <w:color w:val="auto"/>
        </w:rPr>
        <w:t>The accompanying Notes to Consolidated Financial Statements are an integral part of these statements.</w:t>
      </w:r>
    </w:p>
    <w:p>
      <w:pPr>
        <w:spacing w:after="0" w:line="225"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80"/>
          </w:cols>
          <w:pgMar w:left="240" w:top="131" w:right="1379" w:bottom="1440" w:gutter="0" w:footer="0" w:header="0"/>
        </w:sectPr>
      </w:pPr>
    </w:p>
    <w:bookmarkStart w:id="7" w:name="page8"/>
    <w:bookmarkEnd w:id="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TREE.COM, INC. AND SUBSIDIARIES</w:t>
      </w: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1—ORGANIZATION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Spin-Off</w:t>
      </w:r>
    </w:p>
    <w:p>
      <w:pPr>
        <w:spacing w:after="0" w:line="231" w:lineRule="exact"/>
        <w:rPr>
          <w:sz w:val="20"/>
          <w:szCs w:val="20"/>
          <w:color w:val="auto"/>
        </w:rPr>
      </w:pPr>
    </w:p>
    <w:p>
      <w:pPr>
        <w:ind w:right="280" w:firstLine="351"/>
        <w:spacing w:after="0" w:line="259" w:lineRule="auto"/>
        <w:rPr>
          <w:sz w:val="20"/>
          <w:szCs w:val="20"/>
          <w:color w:val="auto"/>
        </w:rPr>
      </w:pPr>
      <w:r>
        <w:rPr>
          <w:rFonts w:ascii="Arial" w:cs="Arial" w:eastAsia="Arial" w:hAnsi="Arial"/>
          <w:sz w:val="18"/>
          <w:szCs w:val="18"/>
          <w:color w:val="auto"/>
        </w:rPr>
        <w:t>On August 20, 2008, Tree.com, Inc. ("Tree.com" or the "Company") was spun off from its parent company, IAC/InterActiveCorp ("IAC") into a separate publicly traded company. In these consolidated financial statements, we refer to the separation transaction as the "spin-off." In connection with the spin-off, Tree.com was incorporated as a Delaware corporation in April 2008.</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Company Overview</w:t>
      </w:r>
    </w:p>
    <w:p>
      <w:pPr>
        <w:spacing w:after="0" w:line="231" w:lineRule="exact"/>
        <w:rPr>
          <w:sz w:val="20"/>
          <w:szCs w:val="20"/>
          <w:color w:val="auto"/>
        </w:rPr>
      </w:pPr>
    </w:p>
    <w:p>
      <w:pPr>
        <w:ind w:right="220" w:firstLine="348"/>
        <w:spacing w:after="0" w:line="259" w:lineRule="auto"/>
        <w:rPr>
          <w:sz w:val="20"/>
          <w:szCs w:val="20"/>
          <w:color w:val="auto"/>
        </w:rPr>
      </w:pPr>
      <w:r>
        <w:rPr>
          <w:rFonts w:ascii="Arial" w:cs="Arial" w:eastAsia="Arial" w:hAnsi="Arial"/>
          <w:sz w:val="15"/>
          <w:szCs w:val="15"/>
          <w:color w:val="auto"/>
        </w:rPr>
        <w:t>Tree.com is the parent of LendingTree, LLC and the owner of several brands and businesses that provide information, tools, advice, products and services for critical transactions in our customers' lives. Our family of brands includes: LendingTree.com®, GetSmart.com®, RealEstate.com®, DegreeTree.com</w:t>
      </w:r>
      <w:r>
        <w:rPr>
          <w:rFonts w:ascii="Arial" w:cs="Arial" w:eastAsia="Arial" w:hAnsi="Arial"/>
          <w:sz w:val="24"/>
          <w:szCs w:val="24"/>
          <w:color w:val="auto"/>
          <w:vertAlign w:val="superscript"/>
        </w:rPr>
        <w:t>SM</w:t>
      </w:r>
      <w:r>
        <w:rPr>
          <w:rFonts w:ascii="Arial" w:cs="Arial" w:eastAsia="Arial" w:hAnsi="Arial"/>
          <w:sz w:val="15"/>
          <w:szCs w:val="15"/>
          <w:color w:val="auto"/>
        </w:rPr>
        <w:t>,</w:t>
      </w:r>
    </w:p>
    <w:p>
      <w:pPr>
        <w:spacing w:after="0" w:line="2" w:lineRule="exact"/>
        <w:rPr>
          <w:sz w:val="20"/>
          <w:szCs w:val="20"/>
          <w:color w:val="auto"/>
        </w:rPr>
      </w:pPr>
    </w:p>
    <w:p>
      <w:pPr>
        <w:spacing w:after="0" w:line="231" w:lineRule="auto"/>
        <w:rPr>
          <w:sz w:val="20"/>
          <w:szCs w:val="20"/>
          <w:color w:val="auto"/>
        </w:rPr>
      </w:pPr>
      <w:r>
        <w:rPr>
          <w:rFonts w:ascii="Arial" w:cs="Arial" w:eastAsia="Arial" w:hAnsi="Arial"/>
          <w:sz w:val="16"/>
          <w:szCs w:val="16"/>
          <w:color w:val="auto"/>
        </w:rPr>
        <w:t>HealthTree.com</w:t>
      </w:r>
      <w:r>
        <w:rPr>
          <w:rFonts w:ascii="Arial" w:cs="Arial" w:eastAsia="Arial" w:hAnsi="Arial"/>
          <w:sz w:val="26"/>
          <w:szCs w:val="26"/>
          <w:color w:val="auto"/>
          <w:vertAlign w:val="superscript"/>
        </w:rPr>
        <w:t>SM</w:t>
      </w:r>
      <w:r>
        <w:rPr>
          <w:rFonts w:ascii="Arial" w:cs="Arial" w:eastAsia="Arial" w:hAnsi="Arial"/>
          <w:sz w:val="16"/>
          <w:szCs w:val="16"/>
          <w:color w:val="auto"/>
        </w:rPr>
        <w:t>, LendingTreeAutos.com, DoneRight.com®, and InsuranceTree.com</w:t>
      </w:r>
      <w:r>
        <w:rPr>
          <w:rFonts w:ascii="Arial" w:cs="Arial" w:eastAsia="Arial" w:hAnsi="Arial"/>
          <w:sz w:val="26"/>
          <w:szCs w:val="26"/>
          <w:color w:val="auto"/>
          <w:vertAlign w:val="superscript"/>
        </w:rPr>
        <w:t>SM</w:t>
      </w:r>
      <w:r>
        <w:rPr>
          <w:rFonts w:ascii="Arial" w:cs="Arial" w:eastAsia="Arial" w:hAnsi="Arial"/>
          <w:sz w:val="16"/>
          <w:szCs w:val="16"/>
          <w:color w:val="auto"/>
        </w:rPr>
        <w:t>. Together, these brands serve as an ally for consumers who are looking to comparison shop for loans, real estate and other services from multiple businesses and professionals who will compete for their business.</w:t>
      </w:r>
    </w:p>
    <w:p>
      <w:pPr>
        <w:spacing w:after="0" w:line="21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These businesses and brands are operated under the segments known as LendingTree Loans, the Exchanges and Real Estate.</w:t>
      </w:r>
    </w:p>
    <w:p>
      <w:pPr>
        <w:spacing w:after="0" w:line="225"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LendingTree Loans</w:t>
      </w:r>
    </w:p>
    <w:p>
      <w:pPr>
        <w:spacing w:after="0" w:line="225" w:lineRule="exact"/>
        <w:rPr>
          <w:sz w:val="20"/>
          <w:szCs w:val="20"/>
          <w:color w:val="auto"/>
        </w:rPr>
      </w:pPr>
    </w:p>
    <w:p>
      <w:pPr>
        <w:ind w:right="640" w:firstLine="348"/>
        <w:spacing w:after="0" w:line="259" w:lineRule="auto"/>
        <w:rPr>
          <w:sz w:val="20"/>
          <w:szCs w:val="20"/>
          <w:color w:val="auto"/>
        </w:rPr>
      </w:pPr>
      <w:r>
        <w:rPr>
          <w:rFonts w:ascii="Arial" w:cs="Arial" w:eastAsia="Arial" w:hAnsi="Arial"/>
          <w:sz w:val="18"/>
          <w:szCs w:val="18"/>
          <w:color w:val="auto"/>
        </w:rPr>
        <w:t>The LendingTree Loans segment originates, processes, approves and funds various residential real estate loans through Home Loan Center, Inc. dba LendingTree Loans ("HLC"). The HLC and LendingTree Loans brand names are collectively referred to in these consolidated financial statements as "LendingTree Loans."</w:t>
      </w:r>
    </w:p>
    <w:p>
      <w:pPr>
        <w:spacing w:after="0" w:line="194"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Exchanges</w:t>
      </w:r>
    </w:p>
    <w:p>
      <w:pPr>
        <w:spacing w:after="0" w:line="225" w:lineRule="exact"/>
        <w:rPr>
          <w:sz w:val="20"/>
          <w:szCs w:val="20"/>
          <w:color w:val="auto"/>
        </w:rPr>
      </w:pPr>
    </w:p>
    <w:p>
      <w:pPr>
        <w:ind w:right="200" w:firstLine="348"/>
        <w:spacing w:after="0" w:line="370" w:lineRule="auto"/>
        <w:rPr>
          <w:sz w:val="20"/>
          <w:szCs w:val="20"/>
          <w:color w:val="auto"/>
        </w:rPr>
      </w:pPr>
      <w:r>
        <w:rPr>
          <w:rFonts w:ascii="Arial" w:cs="Arial" w:eastAsia="Arial" w:hAnsi="Arial"/>
          <w:sz w:val="15"/>
          <w:szCs w:val="15"/>
          <w:color w:val="auto"/>
        </w:rPr>
        <w:t>The Exchanges segment consists of online lead generation networks and call centers (principally LendingTree.com, Tree.com, DegreeTree.com, LendingTreeAutos and GetSmart.com) that connect consumers and service providers principally in the lending, higher education and automobile marketplaces.</w:t>
      </w:r>
    </w:p>
    <w:p>
      <w:pPr>
        <w:spacing w:after="0" w:line="116"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Real Estate</w:t>
      </w:r>
    </w:p>
    <w:p>
      <w:pPr>
        <w:spacing w:after="0" w:line="225" w:lineRule="exact"/>
        <w:rPr>
          <w:sz w:val="20"/>
          <w:szCs w:val="20"/>
          <w:color w:val="auto"/>
        </w:rPr>
      </w:pPr>
    </w:p>
    <w:p>
      <w:pPr>
        <w:ind w:firstLine="348"/>
        <w:spacing w:after="0" w:line="370" w:lineRule="auto"/>
        <w:rPr>
          <w:sz w:val="20"/>
          <w:szCs w:val="20"/>
          <w:color w:val="auto"/>
        </w:rPr>
      </w:pPr>
      <w:r>
        <w:rPr>
          <w:rFonts w:ascii="Arial" w:cs="Arial" w:eastAsia="Arial" w:hAnsi="Arial"/>
          <w:sz w:val="15"/>
          <w:szCs w:val="15"/>
          <w:color w:val="auto"/>
        </w:rPr>
        <w:t xml:space="preserve">The Real Estate segment consists of a proprietary full service real estate brokerage (RealEstate.com, REALTORS®) that operates in 20 U.S. markets, as well as an online lead generation network accessed at </w:t>
      </w:r>
      <w:r>
        <w:rPr>
          <w:rFonts w:ascii="Arial" w:cs="Arial" w:eastAsia="Arial" w:hAnsi="Arial"/>
          <w:sz w:val="15"/>
          <w:szCs w:val="15"/>
          <w:i w:val="1"/>
          <w:iCs w:val="1"/>
          <w:color w:val="auto"/>
        </w:rPr>
        <w:t>www.RealEstate.com</w:t>
      </w:r>
      <w:r>
        <w:rPr>
          <w:rFonts w:ascii="Arial" w:cs="Arial" w:eastAsia="Arial" w:hAnsi="Arial"/>
          <w:sz w:val="15"/>
          <w:szCs w:val="15"/>
          <w:color w:val="auto"/>
        </w:rPr>
        <w:t>, that connects consumers with third party real estate brokerages around the country.</w:t>
      </w:r>
    </w:p>
    <w:p>
      <w:pPr>
        <w:spacing w:after="0" w:line="11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Corporate segment consists of unallocated expenses and consolidation transactions.</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Tree.com maintains operations solely in the United States.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Combinations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5"/>
          <w:szCs w:val="15"/>
          <w:color w:val="auto"/>
        </w:rPr>
        <w:t>In September 2010, Tree.com purchased certain assets of a company with an aggregate purchase price of $0.8 million in cash and contingent consideration.</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The purchase is part of our strategic initiative to diversify our revenue streams outside of the mortgage and real estate industries.</w:t>
      </w:r>
    </w:p>
    <w:p>
      <w:pPr>
        <w:spacing w:after="0" w:line="2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8" w:name="page9"/>
    <w:bookmarkEnd w:id="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TREE.COM, INC. AND SUBSIDIARIES</w:t>
      </w:r>
    </w:p>
    <w:p>
      <w:pPr>
        <w:spacing w:after="0" w:line="225" w:lineRule="exact"/>
        <w:rPr>
          <w:sz w:val="20"/>
          <w:szCs w:val="20"/>
          <w:color w:val="auto"/>
        </w:rPr>
      </w:pPr>
    </w:p>
    <w:p>
      <w:pPr>
        <w:ind w:left="294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1—ORGANIZATION (Continued)</w:t>
      </w:r>
    </w:p>
    <w:p>
      <w:pPr>
        <w:spacing w:after="0" w:line="231" w:lineRule="exact"/>
        <w:rPr>
          <w:sz w:val="20"/>
          <w:szCs w:val="20"/>
          <w:color w:val="auto"/>
        </w:rPr>
      </w:pPr>
    </w:p>
    <w:p>
      <w:pPr>
        <w:ind w:right="20" w:firstLine="348"/>
        <w:spacing w:after="0" w:line="259" w:lineRule="auto"/>
        <w:rPr>
          <w:sz w:val="20"/>
          <w:szCs w:val="20"/>
          <w:color w:val="auto"/>
        </w:rPr>
      </w:pPr>
      <w:r>
        <w:rPr>
          <w:rFonts w:ascii="Arial" w:cs="Arial" w:eastAsia="Arial" w:hAnsi="Arial"/>
          <w:sz w:val="18"/>
          <w:szCs w:val="18"/>
          <w:color w:val="auto"/>
        </w:rPr>
        <w:t>This asset purchase is being accounted for under the acquisition method of accounting. Accordingly, the purchase price is allocated to the acquired assets and liabilities based on their estimated fair values at the acquisition date. The purchase price has been allocated resulting in $0.8 million to be accounted for as goodwill. The pro forma effect of this purchase was not material to our results of operations.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Presentation</w:t>
      </w:r>
    </w:p>
    <w:p>
      <w:pPr>
        <w:spacing w:after="0" w:line="231" w:lineRule="exact"/>
        <w:rPr>
          <w:sz w:val="20"/>
          <w:szCs w:val="20"/>
          <w:color w:val="auto"/>
        </w:rPr>
      </w:pPr>
    </w:p>
    <w:p>
      <w:pPr>
        <w:ind w:right="40" w:firstLine="348"/>
        <w:spacing w:after="0" w:line="288" w:lineRule="auto"/>
        <w:rPr>
          <w:sz w:val="20"/>
          <w:szCs w:val="20"/>
          <w:color w:val="auto"/>
        </w:rPr>
      </w:pPr>
      <w:r>
        <w:rPr>
          <w:rFonts w:ascii="Arial" w:cs="Arial" w:eastAsia="Arial" w:hAnsi="Arial"/>
          <w:sz w:val="16"/>
          <w:szCs w:val="16"/>
          <w:color w:val="auto"/>
        </w:rPr>
        <w:t>The accompanying unaudited interim consolidated financial statements as of September 30, 2010 and 2009 and for the three and nine months then ended have been prepared in accordance with accounting principles generally accepted in the United States of America for interim financial information and the rules and regulations of the U.S. Securities and Exchange Commission ("SEC"). Accordingly, they do not include all of the information and footnotes required by generally accepted accounting principles for annual financial statements. In the opinion of the Company's management, the unaudited interim consolidated financial statements have been prepared on the same basis as the audited financial statements, and include all adjustments, consisting only of normal recurring adjustments, necessary for the fair presentation of the Company's financial position for the periods presented. The results for the three and nine months ended September 30, 2010 are not necessarily indicative of the results to be expected for the year ending December 31, 2010, or any other period. These financial statements and notes should be read in conjunction with the audited financial statements and notes thereto included in the Company's annual report on Form 10-K for the year ended December 31, 2009, as amended by Amendment No. 1 to the Company's annual report on Form 10-K/A.</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2—SIGNIFICANT ACCOUNTING POLICIES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Accounting Estimates</w:t>
      </w:r>
    </w:p>
    <w:p>
      <w:pPr>
        <w:spacing w:after="0" w:line="231" w:lineRule="exact"/>
        <w:rPr>
          <w:sz w:val="20"/>
          <w:szCs w:val="20"/>
          <w:color w:val="auto"/>
        </w:rPr>
      </w:pPr>
    </w:p>
    <w:p>
      <w:pPr>
        <w:ind w:right="60" w:firstLine="348"/>
        <w:spacing w:after="0" w:line="256" w:lineRule="auto"/>
        <w:rPr>
          <w:sz w:val="20"/>
          <w:szCs w:val="20"/>
          <w:color w:val="auto"/>
        </w:rPr>
      </w:pPr>
      <w:r>
        <w:rPr>
          <w:rFonts w:ascii="Arial" w:cs="Arial" w:eastAsia="Arial" w:hAnsi="Arial"/>
          <w:sz w:val="18"/>
          <w:szCs w:val="18"/>
          <w:color w:val="auto"/>
        </w:rPr>
        <w:t>Tree.com's management is required to make certain estimates and assumptions during the preparation of the consolidated financial statements in accordance with U.S. generally accepted accounting principles ("GAAP"). These estimates and assumptions impact the reported amount of assets and liabilities and disclosures of contingent assets and liabilities as of the date of the consolidated financial statements. They also impact the reported amount of net earnings during any period. Actual results could differ from those estimates.</w:t>
      </w:r>
    </w:p>
    <w:p>
      <w:pPr>
        <w:spacing w:after="0" w:line="197" w:lineRule="exact"/>
        <w:rPr>
          <w:sz w:val="20"/>
          <w:szCs w:val="20"/>
          <w:color w:val="auto"/>
        </w:rPr>
      </w:pPr>
    </w:p>
    <w:p>
      <w:pPr>
        <w:ind w:firstLine="351"/>
        <w:spacing w:after="0" w:line="298" w:lineRule="auto"/>
        <w:rPr>
          <w:sz w:val="20"/>
          <w:szCs w:val="20"/>
          <w:color w:val="auto"/>
        </w:rPr>
      </w:pPr>
      <w:r>
        <w:rPr>
          <w:rFonts w:ascii="Arial" w:cs="Arial" w:eastAsia="Arial" w:hAnsi="Arial"/>
          <w:sz w:val="16"/>
          <w:szCs w:val="16"/>
          <w:color w:val="auto"/>
        </w:rPr>
        <w:t>Significant estimates underlying the accompanying consolidated financial statements include: valuation allowance for impaired loans held for sale; loan loss obligations; the fair value of loans held for sale and related derivatives; the recoverability of long-lived assets, goodwill and intangible assets; the determination of income taxes payable and deferred income taxes, including related valuation allowances; restructuring reserves; contingent consideration related to business combinations; various other allowances, reserves and accruals; and assumptions related to the determination of stock-based compensation.</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Reclassifications</w:t>
      </w:r>
    </w:p>
    <w:p>
      <w:pPr>
        <w:spacing w:after="0" w:line="231" w:lineRule="exact"/>
        <w:rPr>
          <w:sz w:val="20"/>
          <w:szCs w:val="20"/>
          <w:color w:val="auto"/>
        </w:rPr>
      </w:pPr>
    </w:p>
    <w:p>
      <w:pPr>
        <w:ind w:right="400" w:firstLine="351"/>
        <w:spacing w:after="0" w:line="332" w:lineRule="auto"/>
        <w:rPr>
          <w:sz w:val="20"/>
          <w:szCs w:val="20"/>
          <w:color w:val="auto"/>
        </w:rPr>
      </w:pPr>
      <w:r>
        <w:rPr>
          <w:rFonts w:ascii="Arial" w:cs="Arial" w:eastAsia="Arial" w:hAnsi="Arial"/>
          <w:sz w:val="16"/>
          <w:szCs w:val="16"/>
          <w:color w:val="auto"/>
        </w:rPr>
        <w:t>Certain prior period amounts have been reclassified to conform with the current presentation with no effect on net income/(loss) or accumulated deficit. Specifically, compensation and other-employee related costs within the Exchanges segment totaling $0.2 million for the nine months ended</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9" w:name="page10"/>
    <w:bookmarkEnd w:id="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TREE.COM, INC. AND SUBSIDIARIES</w:t>
      </w:r>
    </w:p>
    <w:p>
      <w:pPr>
        <w:spacing w:after="0" w:line="225" w:lineRule="exact"/>
        <w:rPr>
          <w:sz w:val="20"/>
          <w:szCs w:val="20"/>
          <w:color w:val="auto"/>
        </w:rPr>
      </w:pPr>
    </w:p>
    <w:p>
      <w:pPr>
        <w:ind w:left="294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2—SIGNIFICANT ACCOUNTING POLICIES (Continued)</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right="640"/>
        <w:spacing w:after="0" w:line="332" w:lineRule="auto"/>
        <w:rPr>
          <w:sz w:val="20"/>
          <w:szCs w:val="20"/>
          <w:color w:val="auto"/>
        </w:rPr>
      </w:pPr>
      <w:r>
        <w:rPr>
          <w:rFonts w:ascii="Arial" w:cs="Arial" w:eastAsia="Arial" w:hAnsi="Arial"/>
          <w:sz w:val="16"/>
          <w:szCs w:val="16"/>
          <w:color w:val="auto"/>
        </w:rPr>
        <w:t>September 30, 2010, and $0.4 million and $1.3 million for the three and nine months ending September 30, 2009, respectively, were reclassified from the Exchanges segment to the LendingTree Loans segment, both within cost of revenue. There was no impact on the consolidated financial results.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Restricted Cash and Cash Equivalents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Restricted cash and cash equivalents consists of the following (in thousands):</w:t>
      </w:r>
    </w:p>
    <w:p>
      <w:pPr>
        <w:spacing w:after="0" w:line="275" w:lineRule="exact"/>
        <w:rPr>
          <w:sz w:val="20"/>
          <w:szCs w:val="20"/>
          <w:color w:val="auto"/>
        </w:rPr>
      </w:pPr>
    </w:p>
    <w:tbl>
      <w:tblPr>
        <w:tblLayout w:type="fixed"/>
        <w:tblInd w:w="2300" w:type="dxa"/>
        <w:tblCellMar>
          <w:top w:w="0" w:type="dxa"/>
          <w:left w:w="0" w:type="dxa"/>
          <w:bottom w:w="0" w:type="dxa"/>
          <w:right w:w="0" w:type="dxa"/>
        </w:tblCellMar>
      </w:tblPr>
      <w:tr>
        <w:trPr>
          <w:trHeight w:val="161"/>
        </w:trPr>
        <w:tc>
          <w:tcPr>
            <w:tcW w:w="3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tcPr>
          <w:p>
            <w:pPr>
              <w:jc w:val="right"/>
              <w:ind w:right="15"/>
              <w:spacing w:after="0"/>
              <w:rPr>
                <w:sz w:val="20"/>
                <w:szCs w:val="20"/>
                <w:color w:val="auto"/>
              </w:rPr>
            </w:pPr>
            <w:r>
              <w:rPr>
                <w:rFonts w:ascii="Arial" w:cs="Arial" w:eastAsia="Arial" w:hAnsi="Arial"/>
                <w:sz w:val="14"/>
                <w:szCs w:val="14"/>
                <w:b w:val="1"/>
                <w:bCs w:val="1"/>
                <w:color w:val="auto"/>
                <w:w w:val="85"/>
              </w:rPr>
              <w:t>September 30, 2010</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60" w:type="dxa"/>
            <w:vAlign w:val="bottom"/>
            <w:gridSpan w:val="2"/>
          </w:tcPr>
          <w:p>
            <w:pPr>
              <w:spacing w:after="0"/>
              <w:rPr>
                <w:sz w:val="20"/>
                <w:szCs w:val="20"/>
                <w:color w:val="auto"/>
              </w:rPr>
            </w:pPr>
            <w:r>
              <w:rPr>
                <w:rFonts w:ascii="Arial" w:cs="Arial" w:eastAsia="Arial" w:hAnsi="Arial"/>
                <w:sz w:val="14"/>
                <w:szCs w:val="14"/>
                <w:b w:val="1"/>
                <w:bCs w:val="1"/>
                <w:color w:val="auto"/>
              </w:rPr>
              <w:t>December 31, 2009</w:t>
            </w:r>
          </w:p>
        </w:tc>
      </w:tr>
      <w:tr>
        <w:trPr>
          <w:trHeight w:val="201"/>
        </w:trPr>
        <w:tc>
          <w:tcPr>
            <w:tcW w:w="39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Cash in escrow for future operating lease</w:t>
            </w:r>
          </w:p>
        </w:tc>
        <w:tc>
          <w:tcPr>
            <w:tcW w:w="100" w:type="dxa"/>
            <w:vAlign w:val="bottom"/>
            <w:tcBorders>
              <w:top w:val="single" w:sz="8" w:color="auto"/>
            </w:tcBorders>
            <w:shd w:val="clear" w:color="auto" w:fill="CCEEFF"/>
          </w:tcPr>
          <w:p>
            <w:pPr>
              <w:spacing w:after="0"/>
              <w:rPr>
                <w:sz w:val="17"/>
                <w:szCs w:val="17"/>
                <w:color w:val="auto"/>
              </w:rPr>
            </w:pPr>
          </w:p>
        </w:tc>
        <w:tc>
          <w:tcPr>
            <w:tcW w:w="1240" w:type="dxa"/>
            <w:vAlign w:val="bottom"/>
            <w:tcBorders>
              <w:top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1200" w:type="dxa"/>
            <w:vAlign w:val="bottom"/>
            <w:tcBorders>
              <w:top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224"/>
        </w:trPr>
        <w:tc>
          <w:tcPr>
            <w:tcW w:w="39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commitments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788</w:t>
            </w:r>
          </w:p>
        </w:tc>
      </w:tr>
      <w:tr>
        <w:trPr>
          <w:trHeight w:val="216"/>
        </w:trPr>
        <w:tc>
          <w:tcPr>
            <w:tcW w:w="3900" w:type="dxa"/>
            <w:vAlign w:val="bottom"/>
          </w:tcPr>
          <w:p>
            <w:pPr>
              <w:spacing w:after="0"/>
              <w:rPr>
                <w:sz w:val="20"/>
                <w:szCs w:val="20"/>
                <w:color w:val="auto"/>
              </w:rPr>
            </w:pPr>
            <w:r>
              <w:rPr>
                <w:rFonts w:ascii="Arial" w:cs="Arial" w:eastAsia="Arial" w:hAnsi="Arial"/>
                <w:sz w:val="18"/>
                <w:szCs w:val="18"/>
                <w:color w:val="auto"/>
              </w:rPr>
              <w:t>Cash in escrow for surety bonds</w:t>
            </w:r>
          </w:p>
        </w:tc>
        <w:tc>
          <w:tcPr>
            <w:tcW w:w="1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5,030</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5,030</w:t>
            </w:r>
          </w:p>
        </w:tc>
      </w:tr>
      <w:tr>
        <w:trPr>
          <w:trHeight w:val="208"/>
        </w:trPr>
        <w:tc>
          <w:tcPr>
            <w:tcW w:w="3900" w:type="dxa"/>
            <w:vAlign w:val="bottom"/>
            <w:shd w:val="clear" w:color="auto" w:fill="CCEEFF"/>
          </w:tcPr>
          <w:p>
            <w:pPr>
              <w:spacing w:after="0"/>
              <w:rPr>
                <w:sz w:val="20"/>
                <w:szCs w:val="20"/>
                <w:color w:val="auto"/>
              </w:rPr>
            </w:pPr>
            <w:r>
              <w:rPr>
                <w:rFonts w:ascii="Arial" w:cs="Arial" w:eastAsia="Arial" w:hAnsi="Arial"/>
                <w:sz w:val="18"/>
                <w:szCs w:val="18"/>
                <w:color w:val="auto"/>
              </w:rPr>
              <w:t>Cash in escrow for corporate purchasing card</w:t>
            </w:r>
          </w:p>
        </w:tc>
        <w:tc>
          <w:tcPr>
            <w:tcW w:w="1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24"/>
        </w:trPr>
        <w:tc>
          <w:tcPr>
            <w:tcW w:w="39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program</w:t>
            </w:r>
          </w:p>
        </w:tc>
        <w:tc>
          <w:tcPr>
            <w:tcW w:w="1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800</w:t>
            </w:r>
          </w:p>
        </w:tc>
        <w:tc>
          <w:tcPr>
            <w:tcW w:w="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2,203</w:t>
            </w:r>
          </w:p>
        </w:tc>
      </w:tr>
      <w:tr>
        <w:trPr>
          <w:trHeight w:val="208"/>
        </w:trPr>
        <w:tc>
          <w:tcPr>
            <w:tcW w:w="3900" w:type="dxa"/>
            <w:vAlign w:val="bottom"/>
          </w:tcPr>
          <w:p>
            <w:pPr>
              <w:spacing w:after="0"/>
              <w:rPr>
                <w:sz w:val="20"/>
                <w:szCs w:val="20"/>
                <w:color w:val="auto"/>
              </w:rPr>
            </w:pPr>
            <w:r>
              <w:rPr>
                <w:rFonts w:ascii="Arial" w:cs="Arial" w:eastAsia="Arial" w:hAnsi="Arial"/>
                <w:sz w:val="18"/>
                <w:szCs w:val="18"/>
                <w:color w:val="auto"/>
                <w:w w:val="96"/>
              </w:rPr>
              <w:t>Minimum required balances for warehouse lines of</w:t>
            </w: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22"/>
        </w:trPr>
        <w:tc>
          <w:tcPr>
            <w:tcW w:w="3900" w:type="dxa"/>
            <w:vAlign w:val="bottom"/>
          </w:tcPr>
          <w:p>
            <w:pPr>
              <w:ind w:left="180"/>
              <w:spacing w:after="0"/>
              <w:rPr>
                <w:sz w:val="20"/>
                <w:szCs w:val="20"/>
                <w:color w:val="auto"/>
              </w:rPr>
            </w:pPr>
            <w:r>
              <w:rPr>
                <w:rFonts w:ascii="Arial" w:cs="Arial" w:eastAsia="Arial" w:hAnsi="Arial"/>
                <w:sz w:val="18"/>
                <w:szCs w:val="18"/>
                <w:color w:val="auto"/>
              </w:rPr>
              <w:t>credit</w:t>
            </w:r>
          </w:p>
        </w:tc>
        <w:tc>
          <w:tcPr>
            <w:tcW w:w="1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1,725</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1,875</w:t>
            </w:r>
          </w:p>
        </w:tc>
      </w:tr>
      <w:tr>
        <w:trPr>
          <w:trHeight w:val="218"/>
        </w:trPr>
        <w:tc>
          <w:tcPr>
            <w:tcW w:w="3900" w:type="dxa"/>
            <w:vAlign w:val="bottom"/>
            <w:shd w:val="clear" w:color="auto" w:fill="CCEEFF"/>
          </w:tcPr>
          <w:p>
            <w:pPr>
              <w:spacing w:after="0"/>
              <w:rPr>
                <w:sz w:val="20"/>
                <w:szCs w:val="20"/>
                <w:color w:val="auto"/>
              </w:rPr>
            </w:pPr>
            <w:r>
              <w:rPr>
                <w:rFonts w:ascii="Arial" w:cs="Arial" w:eastAsia="Arial" w:hAnsi="Arial"/>
                <w:sz w:val="18"/>
                <w:szCs w:val="18"/>
                <w:color w:val="auto"/>
              </w:rPr>
              <w:t>Mortgage lending escrow funds</w:t>
            </w:r>
          </w:p>
        </w:tc>
        <w:tc>
          <w:tcPr>
            <w:tcW w:w="1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2,922</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1,292</w:t>
            </w:r>
          </w:p>
        </w:tc>
      </w:tr>
      <w:tr>
        <w:trPr>
          <w:trHeight w:val="222"/>
        </w:trPr>
        <w:tc>
          <w:tcPr>
            <w:tcW w:w="3900" w:type="dxa"/>
            <w:vAlign w:val="bottom"/>
          </w:tcPr>
          <w:p>
            <w:pPr>
              <w:spacing w:after="0"/>
              <w:rPr>
                <w:sz w:val="20"/>
                <w:szCs w:val="20"/>
                <w:color w:val="auto"/>
              </w:rPr>
            </w:pPr>
            <w:r>
              <w:rPr>
                <w:rFonts w:ascii="Arial" w:cs="Arial" w:eastAsia="Arial" w:hAnsi="Arial"/>
                <w:sz w:val="18"/>
                <w:szCs w:val="18"/>
                <w:color w:val="auto"/>
              </w:rPr>
              <w:t>Other</w:t>
            </w:r>
          </w:p>
        </w:tc>
        <w:tc>
          <w:tcPr>
            <w:tcW w:w="1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627</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831</w:t>
            </w:r>
          </w:p>
        </w:tc>
      </w:tr>
      <w:tr>
        <w:trPr>
          <w:trHeight w:val="21"/>
        </w:trPr>
        <w:tc>
          <w:tcPr>
            <w:tcW w:w="39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0"/>
        </w:trPr>
        <w:tc>
          <w:tcPr>
            <w:tcW w:w="39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Total restricted cash and cash equivalents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11,104</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12,019</w:t>
            </w:r>
          </w:p>
        </w:tc>
      </w:tr>
      <w:tr>
        <w:trPr>
          <w:trHeight w:val="27"/>
        </w:trPr>
        <w:tc>
          <w:tcPr>
            <w:tcW w:w="39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r>
      <w:tr>
        <w:trPr>
          <w:trHeight w:val="20"/>
        </w:trPr>
        <w:tc>
          <w:tcPr>
            <w:tcW w:w="39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231" w:lineRule="exact"/>
        <w:rPr>
          <w:sz w:val="20"/>
          <w:szCs w:val="20"/>
          <w:color w:val="auto"/>
        </w:rPr>
      </w:pPr>
    </w:p>
    <w:p>
      <w:pPr>
        <w:ind w:right="140" w:firstLine="351"/>
        <w:spacing w:after="0" w:line="294" w:lineRule="auto"/>
        <w:rPr>
          <w:sz w:val="20"/>
          <w:szCs w:val="20"/>
          <w:color w:val="auto"/>
        </w:rPr>
      </w:pPr>
      <w:r>
        <w:rPr>
          <w:rFonts w:ascii="Arial" w:cs="Arial" w:eastAsia="Arial" w:hAnsi="Arial"/>
          <w:sz w:val="16"/>
          <w:szCs w:val="16"/>
          <w:color w:val="auto"/>
        </w:rPr>
        <w:t>On June 12, 2009, the Financial Accounting Standards Board ("FASB") issued the accounting standard for transfers and servicing of financial assets. The objective is to improve relevance, representational faithfulness, and comparability of the information that a reporting entity provides in its financial statements about a transfer of financial assets; the effects of a transfer on its financial position, financial performance, and cash flows; and a transferor's continuing involvement, if any, in transferred financial assets. This standard is effective for annual reporting periods beginning after November 15, 2009. Tree.com adopted this standard on January 1, 2010 and determined there was no material impact to the financial statements.</w:t>
      </w:r>
    </w:p>
    <w:p>
      <w:pPr>
        <w:spacing w:after="0" w:line="170" w:lineRule="exact"/>
        <w:rPr>
          <w:sz w:val="20"/>
          <w:szCs w:val="20"/>
          <w:color w:val="auto"/>
        </w:rPr>
      </w:pPr>
    </w:p>
    <w:p>
      <w:pPr>
        <w:ind w:firstLine="351"/>
        <w:spacing w:after="0" w:line="291" w:lineRule="auto"/>
        <w:rPr>
          <w:sz w:val="20"/>
          <w:szCs w:val="20"/>
          <w:color w:val="auto"/>
        </w:rPr>
      </w:pPr>
      <w:r>
        <w:rPr>
          <w:rFonts w:ascii="Arial" w:cs="Arial" w:eastAsia="Arial" w:hAnsi="Arial"/>
          <w:sz w:val="16"/>
          <w:szCs w:val="16"/>
          <w:color w:val="auto"/>
        </w:rPr>
        <w:t>On January 21, 2010, the FASB amended and Tree.com adopted the accounting standard for fair value measurements and disclosures, which added new requirements for disclosures about transfers into and out of Level 1 and 2 and separate disclosures about purchases, sales, issuances and settlements relating to Level 3 measurements. The amendment also clarifies existing fair value disclosures about the level of disaggregation and the inputs and valuation techniques used to measure fair value. This amendment is effective for the first reporting period (including interim periods) beginning after December 15, 2009, except for the requirement to provide the Level 3 activity of purchases, sales, issuances and settlements on a gross basis, which will be effective for fiscal years beginning after December 15, 2010, and for interim periods within those fiscal years. Early adoption is permitted. See Note 9 for further information.</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0" w:name="page11"/>
    <w:bookmarkEnd w:id="1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TREE.COM, INC. AND SUBSIDIARIES</w:t>
      </w:r>
    </w:p>
    <w:p>
      <w:pPr>
        <w:spacing w:after="0" w:line="225" w:lineRule="exact"/>
        <w:rPr>
          <w:sz w:val="20"/>
          <w:szCs w:val="20"/>
          <w:color w:val="auto"/>
        </w:rPr>
      </w:pPr>
    </w:p>
    <w:p>
      <w:pPr>
        <w:ind w:left="294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3—GOODWILL AND INTANGIBLE ASSETS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balance of goodwill and intangible assets, net is as follows (in thousands):</w:t>
      </w:r>
    </w:p>
    <w:p>
      <w:pPr>
        <w:spacing w:after="0" w:line="275" w:lineRule="exact"/>
        <w:rPr>
          <w:sz w:val="20"/>
          <w:szCs w:val="20"/>
          <w:color w:val="auto"/>
        </w:rPr>
      </w:pPr>
    </w:p>
    <w:tbl>
      <w:tblPr>
        <w:tblLayout w:type="fixed"/>
        <w:tblInd w:w="2300" w:type="dxa"/>
        <w:tblCellMar>
          <w:top w:w="0" w:type="dxa"/>
          <w:left w:w="0" w:type="dxa"/>
          <w:bottom w:w="0" w:type="dxa"/>
          <w:right w:w="0" w:type="dxa"/>
        </w:tblCellMar>
      </w:tblPr>
      <w:tr>
        <w:trPr>
          <w:trHeight w:val="161"/>
        </w:trPr>
        <w:tc>
          <w:tcPr>
            <w:tcW w:w="39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jc w:val="right"/>
              <w:ind w:right="16"/>
              <w:spacing w:after="0"/>
              <w:rPr>
                <w:sz w:val="20"/>
                <w:szCs w:val="20"/>
                <w:color w:val="auto"/>
              </w:rPr>
            </w:pPr>
            <w:r>
              <w:rPr>
                <w:rFonts w:ascii="Arial" w:cs="Arial" w:eastAsia="Arial" w:hAnsi="Arial"/>
                <w:sz w:val="14"/>
                <w:szCs w:val="14"/>
                <w:b w:val="1"/>
                <w:bCs w:val="1"/>
                <w:color w:val="auto"/>
                <w:w w:val="85"/>
              </w:rPr>
              <w:t>September 30, 2010</w:t>
            </w:r>
          </w:p>
        </w:tc>
        <w:tc>
          <w:tcPr>
            <w:tcW w:w="1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ind w:right="16"/>
              <w:spacing w:after="0"/>
              <w:rPr>
                <w:sz w:val="20"/>
                <w:szCs w:val="20"/>
                <w:color w:val="auto"/>
              </w:rPr>
            </w:pPr>
            <w:r>
              <w:rPr>
                <w:rFonts w:ascii="Arial" w:cs="Arial" w:eastAsia="Arial" w:hAnsi="Arial"/>
                <w:sz w:val="14"/>
                <w:szCs w:val="14"/>
                <w:b w:val="1"/>
                <w:bCs w:val="1"/>
                <w:color w:val="auto"/>
                <w:w w:val="85"/>
              </w:rPr>
              <w:t>December 31, 2009</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390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12,917</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12,152</w:t>
            </w:r>
          </w:p>
        </w:tc>
        <w:tc>
          <w:tcPr>
            <w:tcW w:w="0" w:type="dxa"/>
            <w:vAlign w:val="bottom"/>
          </w:tcPr>
          <w:p>
            <w:pPr>
              <w:spacing w:after="0"/>
              <w:rPr>
                <w:sz w:val="1"/>
                <w:szCs w:val="1"/>
                <w:color w:val="auto"/>
              </w:rPr>
            </w:pPr>
          </w:p>
        </w:tc>
      </w:tr>
      <w:tr>
        <w:trPr>
          <w:trHeight w:val="216"/>
        </w:trPr>
        <w:tc>
          <w:tcPr>
            <w:tcW w:w="3900" w:type="dxa"/>
            <w:vAlign w:val="bottom"/>
          </w:tcPr>
          <w:p>
            <w:pPr>
              <w:spacing w:after="0"/>
              <w:rPr>
                <w:sz w:val="20"/>
                <w:szCs w:val="20"/>
                <w:color w:val="auto"/>
              </w:rPr>
            </w:pPr>
            <w:r>
              <w:rPr>
                <w:rFonts w:ascii="Arial" w:cs="Arial" w:eastAsia="Arial" w:hAnsi="Arial"/>
                <w:sz w:val="18"/>
                <w:szCs w:val="18"/>
                <w:color w:val="auto"/>
              </w:rPr>
              <w:t>Intangible assets with indefinite lives</w:t>
            </w:r>
          </w:p>
        </w:tc>
        <w:tc>
          <w:tcPr>
            <w:tcW w:w="1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52,733</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52,733</w:t>
            </w:r>
          </w:p>
        </w:tc>
        <w:tc>
          <w:tcPr>
            <w:tcW w:w="0" w:type="dxa"/>
            <w:vAlign w:val="bottom"/>
          </w:tcPr>
          <w:p>
            <w:pPr>
              <w:spacing w:after="0"/>
              <w:rPr>
                <w:sz w:val="1"/>
                <w:szCs w:val="1"/>
                <w:color w:val="auto"/>
              </w:rPr>
            </w:pPr>
          </w:p>
        </w:tc>
      </w:tr>
      <w:tr>
        <w:trPr>
          <w:trHeight w:val="216"/>
        </w:trPr>
        <w:tc>
          <w:tcPr>
            <w:tcW w:w="3900" w:type="dxa"/>
            <w:vAlign w:val="bottom"/>
            <w:shd w:val="clear" w:color="auto" w:fill="CCEEFF"/>
          </w:tcPr>
          <w:p>
            <w:pPr>
              <w:spacing w:after="0"/>
              <w:rPr>
                <w:sz w:val="20"/>
                <w:szCs w:val="20"/>
                <w:color w:val="auto"/>
              </w:rPr>
            </w:pPr>
            <w:r>
              <w:rPr>
                <w:rFonts w:ascii="Arial" w:cs="Arial" w:eastAsia="Arial" w:hAnsi="Arial"/>
                <w:sz w:val="18"/>
                <w:szCs w:val="18"/>
                <w:color w:val="auto"/>
              </w:rPr>
              <w:t>Intangible assets with definite lives, net</w:t>
            </w:r>
          </w:p>
        </w:tc>
        <w:tc>
          <w:tcPr>
            <w:tcW w:w="1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2,488</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4,893</w:t>
            </w:r>
          </w:p>
        </w:tc>
        <w:tc>
          <w:tcPr>
            <w:tcW w:w="0" w:type="dxa"/>
            <w:vAlign w:val="bottom"/>
          </w:tcPr>
          <w:p>
            <w:pPr>
              <w:spacing w:after="0"/>
              <w:rPr>
                <w:sz w:val="1"/>
                <w:szCs w:val="1"/>
                <w:color w:val="auto"/>
              </w:rPr>
            </w:pPr>
          </w:p>
        </w:tc>
      </w:tr>
      <w:tr>
        <w:trPr>
          <w:trHeight w:val="27"/>
        </w:trPr>
        <w:tc>
          <w:tcPr>
            <w:tcW w:w="3900" w:type="dxa"/>
            <w:vAlign w:val="bottom"/>
            <w:vMerge w:val="restart"/>
          </w:tcPr>
          <w:p>
            <w:pPr>
              <w:ind w:left="120"/>
              <w:spacing w:after="0"/>
              <w:rPr>
                <w:sz w:val="20"/>
                <w:szCs w:val="20"/>
                <w:color w:val="auto"/>
              </w:rPr>
            </w:pPr>
            <w:r>
              <w:rPr>
                <w:rFonts w:ascii="Arial" w:cs="Arial" w:eastAsia="Arial" w:hAnsi="Arial"/>
                <w:sz w:val="18"/>
                <w:szCs w:val="18"/>
                <w:color w:val="auto"/>
              </w:rPr>
              <w:t>Total goodwill and intangible assets, net</w:t>
            </w: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40" w:type="dxa"/>
            <w:vAlign w:val="bottom"/>
            <w:gridSpan w:val="2"/>
          </w:tcPr>
          <w:p>
            <w:pPr>
              <w:spacing w:after="0"/>
              <w:rPr>
                <w:sz w:val="2"/>
                <w:szCs w:val="2"/>
                <w:color w:val="auto"/>
              </w:rPr>
            </w:pPr>
          </w:p>
        </w:tc>
        <w:tc>
          <w:tcPr>
            <w:tcW w:w="136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3900" w:type="dxa"/>
            <w:vAlign w:val="bottom"/>
            <w:vMerge w:val="continue"/>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68,138</w:t>
            </w:r>
          </w:p>
        </w:tc>
        <w:tc>
          <w:tcPr>
            <w:tcW w:w="160" w:type="dxa"/>
            <w:vAlign w:val="bottom"/>
          </w:tcPr>
          <w:p>
            <w:pPr>
              <w:spacing w:after="0"/>
              <w:rPr>
                <w:sz w:val="18"/>
                <w:szCs w:val="18"/>
                <w:color w:val="auto"/>
              </w:rPr>
            </w:pP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69,778</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39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39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ind w:left="360"/>
        <w:spacing w:after="0"/>
        <w:rPr>
          <w:sz w:val="20"/>
          <w:szCs w:val="20"/>
          <w:color w:val="auto"/>
        </w:rPr>
      </w:pPr>
      <w:r>
        <w:rPr>
          <w:rFonts w:ascii="Arial" w:cs="Arial" w:eastAsia="Arial" w:hAnsi="Arial"/>
          <w:sz w:val="18"/>
          <w:szCs w:val="18"/>
          <w:color w:val="auto"/>
        </w:rPr>
        <w:t>Intangible assets with indefinite lives relate principally to trade names and trademarks acquired in various acquisitions.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At September 30, 2010, intangible assets with definite lives relate to the following (in thousands):</w:t>
      </w:r>
    </w:p>
    <w:p>
      <w:pPr>
        <w:spacing w:after="0" w:line="208" w:lineRule="exact"/>
        <w:rPr>
          <w:sz w:val="20"/>
          <w:szCs w:val="20"/>
          <w:color w:val="auto"/>
        </w:rPr>
      </w:pPr>
    </w:p>
    <w:tbl>
      <w:tblPr>
        <w:tblLayout w:type="fixed"/>
        <w:tblInd w:w="2300" w:type="dxa"/>
        <w:tblCellMar>
          <w:top w:w="0" w:type="dxa"/>
          <w:left w:w="0" w:type="dxa"/>
          <w:bottom w:w="0" w:type="dxa"/>
          <w:right w:w="0" w:type="dxa"/>
        </w:tblCellMar>
      </w:tblPr>
      <w:tr>
        <w:trPr>
          <w:trHeight w:val="161"/>
        </w:trPr>
        <w:tc>
          <w:tcPr>
            <w:tcW w:w="2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6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6"/>
              </w:rPr>
              <w:t>Weighted Average</w:t>
            </w:r>
          </w:p>
        </w:tc>
      </w:tr>
      <w:tr>
        <w:trPr>
          <w:trHeight w:val="149"/>
        </w:trPr>
        <w:tc>
          <w:tcPr>
            <w:tcW w:w="2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gridSpan w:val="3"/>
          </w:tcPr>
          <w:p>
            <w:pPr>
              <w:jc w:val="right"/>
              <w:ind w:right="240"/>
              <w:spacing w:after="0" w:line="149" w:lineRule="exact"/>
              <w:rPr>
                <w:sz w:val="20"/>
                <w:szCs w:val="20"/>
                <w:color w:val="auto"/>
              </w:rPr>
            </w:pPr>
            <w:r>
              <w:rPr>
                <w:rFonts w:ascii="Arial" w:cs="Arial" w:eastAsia="Arial" w:hAnsi="Arial"/>
                <w:sz w:val="14"/>
                <w:szCs w:val="14"/>
                <w:b w:val="1"/>
                <w:bCs w:val="1"/>
                <w:color w:val="auto"/>
                <w:w w:val="95"/>
              </w:rPr>
              <w:t>Accumulated</w:t>
            </w: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6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0"/>
              </w:rPr>
              <w:t>Amortization Life</w:t>
            </w:r>
          </w:p>
        </w:tc>
      </w:tr>
      <w:tr>
        <w:trPr>
          <w:trHeight w:val="161"/>
        </w:trPr>
        <w:tc>
          <w:tcPr>
            <w:tcW w:w="26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ind w:left="100"/>
              <w:spacing w:after="0"/>
              <w:rPr>
                <w:sz w:val="20"/>
                <w:szCs w:val="20"/>
                <w:color w:val="auto"/>
              </w:rPr>
            </w:pPr>
            <w:r>
              <w:rPr>
                <w:rFonts w:ascii="Arial" w:cs="Arial" w:eastAsia="Arial" w:hAnsi="Arial"/>
                <w:sz w:val="14"/>
                <w:szCs w:val="14"/>
                <w:b w:val="1"/>
                <w:bCs w:val="1"/>
                <w:color w:val="auto"/>
              </w:rPr>
              <w:t>Cost</w:t>
            </w:r>
          </w:p>
        </w:tc>
        <w:tc>
          <w:tcPr>
            <w:tcW w:w="160" w:type="dxa"/>
            <w:vAlign w:val="bottom"/>
          </w:tcPr>
          <w:p>
            <w:pPr>
              <w:spacing w:after="0"/>
              <w:rPr>
                <w:sz w:val="14"/>
                <w:szCs w:val="14"/>
                <w:color w:val="auto"/>
              </w:rPr>
            </w:pPr>
          </w:p>
        </w:tc>
        <w:tc>
          <w:tcPr>
            <w:tcW w:w="9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8"/>
              </w:rPr>
              <w:t>Amortization</w:t>
            </w:r>
          </w:p>
        </w:tc>
        <w:tc>
          <w:tcPr>
            <w:tcW w:w="1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ind w:right="136"/>
              <w:spacing w:after="0"/>
              <w:rPr>
                <w:sz w:val="20"/>
                <w:szCs w:val="20"/>
                <w:color w:val="auto"/>
              </w:rPr>
            </w:pPr>
            <w:r>
              <w:rPr>
                <w:rFonts w:ascii="Arial" w:cs="Arial" w:eastAsia="Arial" w:hAnsi="Arial"/>
                <w:sz w:val="14"/>
                <w:szCs w:val="14"/>
                <w:b w:val="1"/>
                <w:bCs w:val="1"/>
                <w:color w:val="auto"/>
              </w:rPr>
              <w:t>Net</w:t>
            </w:r>
          </w:p>
        </w:tc>
        <w:tc>
          <w:tcPr>
            <w:tcW w:w="160" w:type="dxa"/>
            <w:vAlign w:val="bottom"/>
          </w:tcPr>
          <w:p>
            <w:pPr>
              <w:spacing w:after="0"/>
              <w:rPr>
                <w:sz w:val="14"/>
                <w:szCs w:val="14"/>
                <w:color w:val="auto"/>
              </w:rPr>
            </w:pPr>
          </w:p>
        </w:tc>
        <w:tc>
          <w:tcPr>
            <w:tcW w:w="12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(Years)</w:t>
            </w:r>
          </w:p>
        </w:tc>
        <w:tc>
          <w:tcPr>
            <w:tcW w:w="160" w:type="dxa"/>
            <w:vAlign w:val="bottom"/>
          </w:tcPr>
          <w:p>
            <w:pPr>
              <w:spacing w:after="0"/>
              <w:rPr>
                <w:sz w:val="14"/>
                <w:szCs w:val="14"/>
                <w:color w:val="auto"/>
              </w:rPr>
            </w:pPr>
          </w:p>
        </w:tc>
      </w:tr>
      <w:tr>
        <w:trPr>
          <w:trHeight w:val="210"/>
        </w:trPr>
        <w:tc>
          <w:tcPr>
            <w:tcW w:w="2660" w:type="dxa"/>
            <w:vAlign w:val="bottom"/>
            <w:shd w:val="clear" w:color="auto" w:fill="CCEEFF"/>
          </w:tcPr>
          <w:p>
            <w:pPr>
              <w:spacing w:after="0"/>
              <w:rPr>
                <w:sz w:val="20"/>
                <w:szCs w:val="20"/>
                <w:color w:val="auto"/>
              </w:rPr>
            </w:pPr>
            <w:r>
              <w:rPr>
                <w:rFonts w:ascii="Arial" w:cs="Arial" w:eastAsia="Arial" w:hAnsi="Arial"/>
                <w:sz w:val="18"/>
                <w:szCs w:val="18"/>
                <w:color w:val="auto"/>
              </w:rPr>
              <w:t>Purchase agreements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76,352</w:t>
            </w:r>
          </w:p>
        </w:tc>
        <w:tc>
          <w:tcPr>
            <w:tcW w:w="200" w:type="dxa"/>
            <w:vAlign w:val="bottom"/>
            <w:shd w:val="clear" w:color="auto" w:fill="CCEEFF"/>
          </w:tcPr>
          <w:p>
            <w:pPr>
              <w:jc w:val="right"/>
              <w:ind w:right="22"/>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(76,175)</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w:t>
            </w:r>
          </w:p>
        </w:tc>
        <w:tc>
          <w:tcPr>
            <w:tcW w:w="16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5.7</w:t>
            </w:r>
          </w:p>
        </w:tc>
      </w:tr>
      <w:tr>
        <w:trPr>
          <w:trHeight w:val="216"/>
        </w:trPr>
        <w:tc>
          <w:tcPr>
            <w:tcW w:w="2660" w:type="dxa"/>
            <w:vAlign w:val="bottom"/>
          </w:tcPr>
          <w:p>
            <w:pPr>
              <w:spacing w:after="0"/>
              <w:rPr>
                <w:sz w:val="20"/>
                <w:szCs w:val="20"/>
                <w:color w:val="auto"/>
              </w:rPr>
            </w:pPr>
            <w:r>
              <w:rPr>
                <w:rFonts w:ascii="Arial" w:cs="Arial" w:eastAsia="Arial" w:hAnsi="Arial"/>
                <w:sz w:val="18"/>
                <w:szCs w:val="18"/>
                <w:color w:val="auto"/>
              </w:rPr>
              <w:t>Technology</w:t>
            </w:r>
          </w:p>
        </w:tc>
        <w:tc>
          <w:tcPr>
            <w:tcW w:w="16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30,491</w:t>
            </w:r>
          </w:p>
        </w:tc>
        <w:tc>
          <w:tcPr>
            <w:tcW w:w="20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(29,728)</w:t>
            </w:r>
          </w:p>
        </w:tc>
        <w:tc>
          <w:tcPr>
            <w:tcW w:w="14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763</w:t>
            </w:r>
          </w:p>
        </w:tc>
        <w:tc>
          <w:tcPr>
            <w:tcW w:w="160" w:type="dxa"/>
            <w:vAlign w:val="bottom"/>
          </w:tcPr>
          <w:p>
            <w:pPr>
              <w:spacing w:after="0"/>
              <w:rPr>
                <w:sz w:val="18"/>
                <w:szCs w:val="18"/>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3.0</w:t>
            </w:r>
          </w:p>
        </w:tc>
      </w:tr>
      <w:tr>
        <w:trPr>
          <w:trHeight w:val="216"/>
        </w:trPr>
        <w:tc>
          <w:tcPr>
            <w:tcW w:w="2660" w:type="dxa"/>
            <w:vAlign w:val="bottom"/>
            <w:shd w:val="clear" w:color="auto" w:fill="CCEEFF"/>
          </w:tcPr>
          <w:p>
            <w:pPr>
              <w:spacing w:after="0"/>
              <w:rPr>
                <w:sz w:val="20"/>
                <w:szCs w:val="20"/>
                <w:color w:val="auto"/>
              </w:rPr>
            </w:pPr>
            <w:r>
              <w:rPr>
                <w:rFonts w:ascii="Arial" w:cs="Arial" w:eastAsia="Arial" w:hAnsi="Arial"/>
                <w:sz w:val="18"/>
                <w:szCs w:val="18"/>
                <w:color w:val="auto"/>
              </w:rPr>
              <w:t>Customer lists</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7,388</w:t>
            </w:r>
          </w:p>
        </w:tc>
        <w:tc>
          <w:tcPr>
            <w:tcW w:w="2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(6,677)</w:t>
            </w: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711</w:t>
            </w: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3.9</w:t>
            </w:r>
          </w:p>
        </w:tc>
      </w:tr>
      <w:tr>
        <w:trPr>
          <w:trHeight w:val="222"/>
        </w:trPr>
        <w:tc>
          <w:tcPr>
            <w:tcW w:w="2660" w:type="dxa"/>
            <w:vAlign w:val="bottom"/>
          </w:tcPr>
          <w:p>
            <w:pPr>
              <w:spacing w:after="0"/>
              <w:rPr>
                <w:sz w:val="20"/>
                <w:szCs w:val="20"/>
                <w:color w:val="auto"/>
              </w:rPr>
            </w:pPr>
            <w:r>
              <w:rPr>
                <w:rFonts w:ascii="Arial" w:cs="Arial" w:eastAsia="Arial" w:hAnsi="Arial"/>
                <w:sz w:val="18"/>
                <w:szCs w:val="18"/>
                <w:color w:val="auto"/>
              </w:rPr>
              <w:t>Other</w:t>
            </w:r>
          </w:p>
        </w:tc>
        <w:tc>
          <w:tcPr>
            <w:tcW w:w="160" w:type="dxa"/>
            <w:vAlign w:val="bottom"/>
          </w:tcPr>
          <w:p>
            <w:pPr>
              <w:spacing w:after="0"/>
              <w:rPr>
                <w:sz w:val="19"/>
                <w:szCs w:val="19"/>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9,813</w:t>
            </w:r>
          </w:p>
        </w:tc>
        <w:tc>
          <w:tcPr>
            <w:tcW w:w="200" w:type="dxa"/>
            <w:vAlign w:val="bottom"/>
          </w:tcPr>
          <w:p>
            <w:pPr>
              <w:spacing w:after="0"/>
              <w:rPr>
                <w:sz w:val="19"/>
                <w:szCs w:val="19"/>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(8,976)</w:t>
            </w:r>
          </w:p>
        </w:tc>
        <w:tc>
          <w:tcPr>
            <w:tcW w:w="14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837</w:t>
            </w:r>
          </w:p>
        </w:tc>
        <w:tc>
          <w:tcPr>
            <w:tcW w:w="160" w:type="dxa"/>
            <w:vAlign w:val="bottom"/>
          </w:tcPr>
          <w:p>
            <w:pPr>
              <w:spacing w:after="0"/>
              <w:rPr>
                <w:sz w:val="19"/>
                <w:szCs w:val="19"/>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4.1</w:t>
            </w:r>
          </w:p>
        </w:tc>
      </w:tr>
      <w:tr>
        <w:trPr>
          <w:trHeight w:val="21"/>
        </w:trPr>
        <w:tc>
          <w:tcPr>
            <w:tcW w:w="26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0"/>
        </w:trPr>
        <w:tc>
          <w:tcPr>
            <w:tcW w:w="26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Total</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2"/>
              </w:rPr>
              <w:t>124,044</w:t>
            </w:r>
          </w:p>
        </w:tc>
        <w:tc>
          <w:tcPr>
            <w:tcW w:w="200" w:type="dxa"/>
            <w:vAlign w:val="bottom"/>
            <w:shd w:val="clear" w:color="auto" w:fill="CCEEFF"/>
          </w:tcPr>
          <w:p>
            <w:pPr>
              <w:jc w:val="right"/>
              <w:ind w:right="22"/>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8"/>
              </w:rPr>
              <w:t>(121,556)</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2,488</w:t>
            </w: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7"/>
        </w:trPr>
        <w:tc>
          <w:tcPr>
            <w:tcW w:w="26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60" w:type="dxa"/>
            <w:vAlign w:val="bottom"/>
          </w:tcPr>
          <w:p>
            <w:pPr>
              <w:spacing w:after="0"/>
              <w:rPr>
                <w:sz w:val="2"/>
                <w:szCs w:val="2"/>
                <w:color w:val="auto"/>
              </w:rPr>
            </w:pPr>
          </w:p>
        </w:tc>
      </w:tr>
      <w:tr>
        <w:trPr>
          <w:trHeight w:val="20"/>
        </w:trPr>
        <w:tc>
          <w:tcPr>
            <w:tcW w:w="26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At December 31, 2009, intangible assets with definite lives relate to the following (in thousands):</w:t>
      </w:r>
    </w:p>
    <w:p>
      <w:pPr>
        <w:spacing w:after="0" w:line="208" w:lineRule="exact"/>
        <w:rPr>
          <w:sz w:val="20"/>
          <w:szCs w:val="20"/>
          <w:color w:val="auto"/>
        </w:rPr>
      </w:pPr>
    </w:p>
    <w:tbl>
      <w:tblPr>
        <w:tblLayout w:type="fixed"/>
        <w:tblInd w:w="2300" w:type="dxa"/>
        <w:tblCellMar>
          <w:top w:w="0" w:type="dxa"/>
          <w:left w:w="0" w:type="dxa"/>
          <w:bottom w:w="0" w:type="dxa"/>
          <w:right w:w="0" w:type="dxa"/>
        </w:tblCellMar>
      </w:tblPr>
      <w:tr>
        <w:trPr>
          <w:trHeight w:val="161"/>
        </w:trPr>
        <w:tc>
          <w:tcPr>
            <w:tcW w:w="2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6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6"/>
              </w:rPr>
              <w:t>Weighted Average</w:t>
            </w:r>
          </w:p>
        </w:tc>
      </w:tr>
      <w:tr>
        <w:trPr>
          <w:trHeight w:val="149"/>
        </w:trPr>
        <w:tc>
          <w:tcPr>
            <w:tcW w:w="2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gridSpan w:val="3"/>
          </w:tcPr>
          <w:p>
            <w:pPr>
              <w:jc w:val="right"/>
              <w:ind w:right="240"/>
              <w:spacing w:after="0" w:line="149" w:lineRule="exact"/>
              <w:rPr>
                <w:sz w:val="20"/>
                <w:szCs w:val="20"/>
                <w:color w:val="auto"/>
              </w:rPr>
            </w:pPr>
            <w:r>
              <w:rPr>
                <w:rFonts w:ascii="Arial" w:cs="Arial" w:eastAsia="Arial" w:hAnsi="Arial"/>
                <w:sz w:val="14"/>
                <w:szCs w:val="14"/>
                <w:b w:val="1"/>
                <w:bCs w:val="1"/>
                <w:color w:val="auto"/>
                <w:w w:val="95"/>
              </w:rPr>
              <w:t>Accumulated</w:t>
            </w: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6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0"/>
              </w:rPr>
              <w:t>Amortization Life</w:t>
            </w:r>
          </w:p>
        </w:tc>
      </w:tr>
      <w:tr>
        <w:trPr>
          <w:trHeight w:val="161"/>
        </w:trPr>
        <w:tc>
          <w:tcPr>
            <w:tcW w:w="26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ind w:left="100"/>
              <w:spacing w:after="0"/>
              <w:rPr>
                <w:sz w:val="20"/>
                <w:szCs w:val="20"/>
                <w:color w:val="auto"/>
              </w:rPr>
            </w:pPr>
            <w:r>
              <w:rPr>
                <w:rFonts w:ascii="Arial" w:cs="Arial" w:eastAsia="Arial" w:hAnsi="Arial"/>
                <w:sz w:val="14"/>
                <w:szCs w:val="14"/>
                <w:b w:val="1"/>
                <w:bCs w:val="1"/>
                <w:color w:val="auto"/>
              </w:rPr>
              <w:t>Cost</w:t>
            </w:r>
          </w:p>
        </w:tc>
        <w:tc>
          <w:tcPr>
            <w:tcW w:w="160" w:type="dxa"/>
            <w:vAlign w:val="bottom"/>
          </w:tcPr>
          <w:p>
            <w:pPr>
              <w:spacing w:after="0"/>
              <w:rPr>
                <w:sz w:val="14"/>
                <w:szCs w:val="14"/>
                <w:color w:val="auto"/>
              </w:rPr>
            </w:pPr>
          </w:p>
        </w:tc>
        <w:tc>
          <w:tcPr>
            <w:tcW w:w="9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8"/>
              </w:rPr>
              <w:t>Amortization</w:t>
            </w:r>
          </w:p>
        </w:tc>
        <w:tc>
          <w:tcPr>
            <w:tcW w:w="1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ind w:right="136"/>
              <w:spacing w:after="0"/>
              <w:rPr>
                <w:sz w:val="20"/>
                <w:szCs w:val="20"/>
                <w:color w:val="auto"/>
              </w:rPr>
            </w:pPr>
            <w:r>
              <w:rPr>
                <w:rFonts w:ascii="Arial" w:cs="Arial" w:eastAsia="Arial" w:hAnsi="Arial"/>
                <w:sz w:val="14"/>
                <w:szCs w:val="14"/>
                <w:b w:val="1"/>
                <w:bCs w:val="1"/>
                <w:color w:val="auto"/>
              </w:rPr>
              <w:t>Net</w:t>
            </w:r>
          </w:p>
        </w:tc>
        <w:tc>
          <w:tcPr>
            <w:tcW w:w="160" w:type="dxa"/>
            <w:vAlign w:val="bottom"/>
          </w:tcPr>
          <w:p>
            <w:pPr>
              <w:spacing w:after="0"/>
              <w:rPr>
                <w:sz w:val="14"/>
                <w:szCs w:val="14"/>
                <w:color w:val="auto"/>
              </w:rPr>
            </w:pPr>
          </w:p>
        </w:tc>
        <w:tc>
          <w:tcPr>
            <w:tcW w:w="12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(Years)</w:t>
            </w:r>
          </w:p>
        </w:tc>
        <w:tc>
          <w:tcPr>
            <w:tcW w:w="160" w:type="dxa"/>
            <w:vAlign w:val="bottom"/>
          </w:tcPr>
          <w:p>
            <w:pPr>
              <w:spacing w:after="0"/>
              <w:rPr>
                <w:sz w:val="14"/>
                <w:szCs w:val="14"/>
                <w:color w:val="auto"/>
              </w:rPr>
            </w:pPr>
          </w:p>
        </w:tc>
      </w:tr>
      <w:tr>
        <w:trPr>
          <w:trHeight w:val="210"/>
        </w:trPr>
        <w:tc>
          <w:tcPr>
            <w:tcW w:w="2660" w:type="dxa"/>
            <w:vAlign w:val="bottom"/>
            <w:shd w:val="clear" w:color="auto" w:fill="CCEEFF"/>
          </w:tcPr>
          <w:p>
            <w:pPr>
              <w:spacing w:after="0"/>
              <w:rPr>
                <w:sz w:val="20"/>
                <w:szCs w:val="20"/>
                <w:color w:val="auto"/>
              </w:rPr>
            </w:pPr>
            <w:r>
              <w:rPr>
                <w:rFonts w:ascii="Arial" w:cs="Arial" w:eastAsia="Arial" w:hAnsi="Arial"/>
                <w:sz w:val="18"/>
                <w:szCs w:val="18"/>
                <w:color w:val="auto"/>
              </w:rPr>
              <w:t>Purchase agreements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76,352</w:t>
            </w:r>
          </w:p>
        </w:tc>
        <w:tc>
          <w:tcPr>
            <w:tcW w:w="200" w:type="dxa"/>
            <w:vAlign w:val="bottom"/>
            <w:shd w:val="clear" w:color="auto" w:fill="CCEEFF"/>
          </w:tcPr>
          <w:p>
            <w:pPr>
              <w:jc w:val="right"/>
              <w:ind w:right="22"/>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(74,657)</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1,695</w:t>
            </w:r>
          </w:p>
        </w:tc>
        <w:tc>
          <w:tcPr>
            <w:tcW w:w="15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5.7</w:t>
            </w:r>
          </w:p>
        </w:tc>
      </w:tr>
      <w:tr>
        <w:trPr>
          <w:trHeight w:val="216"/>
        </w:trPr>
        <w:tc>
          <w:tcPr>
            <w:tcW w:w="2660" w:type="dxa"/>
            <w:vAlign w:val="bottom"/>
          </w:tcPr>
          <w:p>
            <w:pPr>
              <w:spacing w:after="0"/>
              <w:rPr>
                <w:sz w:val="20"/>
                <w:szCs w:val="20"/>
                <w:color w:val="auto"/>
              </w:rPr>
            </w:pPr>
            <w:r>
              <w:rPr>
                <w:rFonts w:ascii="Arial" w:cs="Arial" w:eastAsia="Arial" w:hAnsi="Arial"/>
                <w:sz w:val="18"/>
                <w:szCs w:val="18"/>
                <w:color w:val="auto"/>
              </w:rPr>
              <w:t>Technology</w:t>
            </w:r>
          </w:p>
        </w:tc>
        <w:tc>
          <w:tcPr>
            <w:tcW w:w="16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30,491</w:t>
            </w:r>
          </w:p>
        </w:tc>
        <w:tc>
          <w:tcPr>
            <w:tcW w:w="20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(29,396)</w:t>
            </w:r>
          </w:p>
        </w:tc>
        <w:tc>
          <w:tcPr>
            <w:tcW w:w="14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1,095</w:t>
            </w:r>
          </w:p>
        </w:tc>
        <w:tc>
          <w:tcPr>
            <w:tcW w:w="1520" w:type="dxa"/>
            <w:vAlign w:val="bottom"/>
            <w:gridSpan w:val="3"/>
          </w:tcPr>
          <w:p>
            <w:pPr>
              <w:jc w:val="right"/>
              <w:ind w:right="160"/>
              <w:spacing w:after="0"/>
              <w:rPr>
                <w:sz w:val="20"/>
                <w:szCs w:val="20"/>
                <w:color w:val="auto"/>
              </w:rPr>
            </w:pPr>
            <w:r>
              <w:rPr>
                <w:rFonts w:ascii="Arial" w:cs="Arial" w:eastAsia="Arial" w:hAnsi="Arial"/>
                <w:sz w:val="18"/>
                <w:szCs w:val="18"/>
                <w:color w:val="auto"/>
              </w:rPr>
              <w:t>3.0</w:t>
            </w:r>
          </w:p>
        </w:tc>
      </w:tr>
      <w:tr>
        <w:trPr>
          <w:trHeight w:val="216"/>
        </w:trPr>
        <w:tc>
          <w:tcPr>
            <w:tcW w:w="2660" w:type="dxa"/>
            <w:vAlign w:val="bottom"/>
            <w:shd w:val="clear" w:color="auto" w:fill="CCEEFF"/>
          </w:tcPr>
          <w:p>
            <w:pPr>
              <w:spacing w:after="0"/>
              <w:rPr>
                <w:sz w:val="20"/>
                <w:szCs w:val="20"/>
                <w:color w:val="auto"/>
              </w:rPr>
            </w:pPr>
            <w:r>
              <w:rPr>
                <w:rFonts w:ascii="Arial" w:cs="Arial" w:eastAsia="Arial" w:hAnsi="Arial"/>
                <w:sz w:val="18"/>
                <w:szCs w:val="18"/>
                <w:color w:val="auto"/>
              </w:rPr>
              <w:t>Customer lists</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7,388</w:t>
            </w:r>
          </w:p>
        </w:tc>
        <w:tc>
          <w:tcPr>
            <w:tcW w:w="2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(6,631)</w:t>
            </w: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757</w:t>
            </w:r>
          </w:p>
        </w:tc>
        <w:tc>
          <w:tcPr>
            <w:tcW w:w="15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3.9</w:t>
            </w:r>
          </w:p>
        </w:tc>
      </w:tr>
      <w:tr>
        <w:trPr>
          <w:trHeight w:val="222"/>
        </w:trPr>
        <w:tc>
          <w:tcPr>
            <w:tcW w:w="2660" w:type="dxa"/>
            <w:vAlign w:val="bottom"/>
          </w:tcPr>
          <w:p>
            <w:pPr>
              <w:spacing w:after="0"/>
              <w:rPr>
                <w:sz w:val="20"/>
                <w:szCs w:val="20"/>
                <w:color w:val="auto"/>
              </w:rPr>
            </w:pPr>
            <w:r>
              <w:rPr>
                <w:rFonts w:ascii="Arial" w:cs="Arial" w:eastAsia="Arial" w:hAnsi="Arial"/>
                <w:sz w:val="18"/>
                <w:szCs w:val="18"/>
                <w:color w:val="auto"/>
              </w:rPr>
              <w:t>Other</w:t>
            </w:r>
          </w:p>
        </w:tc>
        <w:tc>
          <w:tcPr>
            <w:tcW w:w="160" w:type="dxa"/>
            <w:vAlign w:val="bottom"/>
          </w:tcPr>
          <w:p>
            <w:pPr>
              <w:spacing w:after="0"/>
              <w:rPr>
                <w:sz w:val="19"/>
                <w:szCs w:val="19"/>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9,813</w:t>
            </w:r>
          </w:p>
        </w:tc>
        <w:tc>
          <w:tcPr>
            <w:tcW w:w="200" w:type="dxa"/>
            <w:vAlign w:val="bottom"/>
          </w:tcPr>
          <w:p>
            <w:pPr>
              <w:spacing w:after="0"/>
              <w:rPr>
                <w:sz w:val="19"/>
                <w:szCs w:val="19"/>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(8,467)</w:t>
            </w:r>
          </w:p>
        </w:tc>
        <w:tc>
          <w:tcPr>
            <w:tcW w:w="14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1,346</w:t>
            </w:r>
          </w:p>
        </w:tc>
        <w:tc>
          <w:tcPr>
            <w:tcW w:w="1520" w:type="dxa"/>
            <w:vAlign w:val="bottom"/>
            <w:gridSpan w:val="3"/>
          </w:tcPr>
          <w:p>
            <w:pPr>
              <w:jc w:val="right"/>
              <w:ind w:right="160"/>
              <w:spacing w:after="0"/>
              <w:rPr>
                <w:sz w:val="20"/>
                <w:szCs w:val="20"/>
                <w:color w:val="auto"/>
              </w:rPr>
            </w:pPr>
            <w:r>
              <w:rPr>
                <w:rFonts w:ascii="Arial" w:cs="Arial" w:eastAsia="Arial" w:hAnsi="Arial"/>
                <w:sz w:val="18"/>
                <w:szCs w:val="18"/>
                <w:color w:val="auto"/>
              </w:rPr>
              <w:t>4.1</w:t>
            </w:r>
          </w:p>
        </w:tc>
      </w:tr>
      <w:tr>
        <w:trPr>
          <w:trHeight w:val="21"/>
        </w:trPr>
        <w:tc>
          <w:tcPr>
            <w:tcW w:w="26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0"/>
        </w:trPr>
        <w:tc>
          <w:tcPr>
            <w:tcW w:w="26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Total</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2"/>
              </w:rPr>
              <w:t>124,044</w:t>
            </w:r>
          </w:p>
        </w:tc>
        <w:tc>
          <w:tcPr>
            <w:tcW w:w="200" w:type="dxa"/>
            <w:vAlign w:val="bottom"/>
            <w:shd w:val="clear" w:color="auto" w:fill="CCEEFF"/>
          </w:tcPr>
          <w:p>
            <w:pPr>
              <w:jc w:val="right"/>
              <w:ind w:right="22"/>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8"/>
              </w:rPr>
              <w:t>(119,151)</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4,893</w:t>
            </w: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7"/>
        </w:trPr>
        <w:tc>
          <w:tcPr>
            <w:tcW w:w="26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60" w:type="dxa"/>
            <w:vAlign w:val="bottom"/>
          </w:tcPr>
          <w:p>
            <w:pPr>
              <w:spacing w:after="0"/>
              <w:rPr>
                <w:sz w:val="2"/>
                <w:szCs w:val="2"/>
                <w:color w:val="auto"/>
              </w:rPr>
            </w:pPr>
          </w:p>
        </w:tc>
      </w:tr>
      <w:tr>
        <w:trPr>
          <w:trHeight w:val="20"/>
        </w:trPr>
        <w:tc>
          <w:tcPr>
            <w:tcW w:w="26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8" w:lineRule="exact"/>
        <w:rPr>
          <w:sz w:val="20"/>
          <w:szCs w:val="20"/>
          <w:color w:val="auto"/>
        </w:rPr>
      </w:pPr>
    </w:p>
    <w:p>
      <w:pPr>
        <w:ind w:firstLine="341"/>
        <w:spacing w:after="0" w:line="268" w:lineRule="auto"/>
        <w:rPr>
          <w:sz w:val="20"/>
          <w:szCs w:val="20"/>
          <w:color w:val="auto"/>
        </w:rPr>
      </w:pPr>
      <w:r>
        <w:rPr>
          <w:rFonts w:ascii="Arial" w:cs="Arial" w:eastAsia="Arial" w:hAnsi="Arial"/>
          <w:sz w:val="18"/>
          <w:szCs w:val="18"/>
          <w:color w:val="auto"/>
        </w:rPr>
        <w:t>Amortization of intangible assets with definite lives is computed on a straight-line basis and, based on September 30, 2010 balances, such amortization for the next five years is estimated to be as follows (in thousands):</w:t>
      </w:r>
    </w:p>
    <w:p>
      <w:pPr>
        <w:sectPr>
          <w:pgSz w:w="11900" w:h="16838" w:orient="portrait"/>
          <w:cols w:equalWidth="0" w:num="1">
            <w:col w:w="11200"/>
          </w:cols>
          <w:pgMar w:left="240" w:top="131" w:right="459" w:bottom="1440" w:gutter="0" w:footer="0" w:header="0"/>
        </w:sectPr>
      </w:pPr>
    </w:p>
    <w:p>
      <w:pPr>
        <w:spacing w:after="0" w:line="200" w:lineRule="exact"/>
        <w:rPr>
          <w:sz w:val="20"/>
          <w:szCs w:val="20"/>
          <w:color w:val="auto"/>
        </w:rPr>
      </w:pPr>
    </w:p>
    <w:p>
      <w:pPr>
        <w:spacing w:after="0" w:line="202" w:lineRule="exact"/>
        <w:rPr>
          <w:sz w:val="20"/>
          <w:szCs w:val="20"/>
          <w:color w:val="auto"/>
        </w:rPr>
      </w:pPr>
    </w:p>
    <w:p>
      <w:pPr>
        <w:ind w:left="2300"/>
        <w:spacing w:after="0"/>
        <w:rPr>
          <w:sz w:val="20"/>
          <w:szCs w:val="20"/>
          <w:color w:val="auto"/>
        </w:rPr>
      </w:pPr>
      <w:r>
        <w:rPr>
          <w:rFonts w:ascii="Arial" w:cs="Arial" w:eastAsia="Arial" w:hAnsi="Arial"/>
          <w:sz w:val="15"/>
          <w:szCs w:val="15"/>
          <w:color w:val="auto"/>
        </w:rPr>
        <w:t>Three months ending December 31, 2010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1454150</wp:posOffset>
            </wp:positionH>
            <wp:positionV relativeFrom="paragraph">
              <wp:posOffset>-103505</wp:posOffset>
            </wp:positionV>
            <wp:extent cx="4347845" cy="13716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4347845" cy="137160"/>
                    </a:xfrm>
                    <a:prstGeom prst="rect">
                      <a:avLst/>
                    </a:prstGeom>
                    <a:noFill/>
                  </pic:spPr>
                </pic:pic>
              </a:graphicData>
            </a:graphic>
          </wp:anchor>
        </w:drawing>
      </w:r>
    </w:p>
    <w:p>
      <w:pPr>
        <w:spacing w:after="0" w:line="30" w:lineRule="exact"/>
        <w:rPr>
          <w:sz w:val="20"/>
          <w:szCs w:val="20"/>
          <w:color w:val="auto"/>
        </w:rPr>
      </w:pPr>
    </w:p>
    <w:p>
      <w:pPr>
        <w:ind w:left="2300"/>
        <w:spacing w:after="0"/>
        <w:rPr>
          <w:sz w:val="20"/>
          <w:szCs w:val="20"/>
          <w:color w:val="auto"/>
        </w:rPr>
      </w:pPr>
      <w:r>
        <w:rPr>
          <w:rFonts w:ascii="Arial" w:cs="Arial" w:eastAsia="Arial" w:hAnsi="Arial"/>
          <w:sz w:val="18"/>
          <w:szCs w:val="18"/>
          <w:color w:val="auto"/>
        </w:rPr>
        <w:t>Year ending December 31, 2011</w:t>
      </w:r>
    </w:p>
    <w:p>
      <w:pPr>
        <w:spacing w:after="0" w:line="9" w:lineRule="exact"/>
        <w:rPr>
          <w:sz w:val="20"/>
          <w:szCs w:val="20"/>
          <w:color w:val="auto"/>
        </w:rPr>
      </w:pPr>
    </w:p>
    <w:p>
      <w:pPr>
        <w:ind w:left="2300"/>
        <w:spacing w:after="0"/>
        <w:rPr>
          <w:sz w:val="20"/>
          <w:szCs w:val="20"/>
          <w:color w:val="auto"/>
        </w:rPr>
      </w:pPr>
      <w:r>
        <w:rPr>
          <w:rFonts w:ascii="Arial" w:cs="Arial" w:eastAsia="Arial" w:hAnsi="Arial"/>
          <w:sz w:val="18"/>
          <w:szCs w:val="18"/>
          <w:color w:val="auto"/>
        </w:rPr>
        <w:t>Year ending December 31, 2012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1454150</wp:posOffset>
            </wp:positionH>
            <wp:positionV relativeFrom="paragraph">
              <wp:posOffset>-129540</wp:posOffset>
            </wp:positionV>
            <wp:extent cx="4347845" cy="13716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4347845" cy="137160"/>
                    </a:xfrm>
                    <a:prstGeom prst="rect">
                      <a:avLst/>
                    </a:prstGeom>
                    <a:noFill/>
                  </pic:spPr>
                </pic:pic>
              </a:graphicData>
            </a:graphic>
          </wp:anchor>
        </w:drawing>
      </w:r>
    </w:p>
    <w:p>
      <w:pPr>
        <w:ind w:left="2300"/>
        <w:spacing w:after="0"/>
        <w:rPr>
          <w:sz w:val="20"/>
          <w:szCs w:val="20"/>
          <w:color w:val="auto"/>
        </w:rPr>
      </w:pPr>
      <w:r>
        <w:rPr>
          <w:rFonts w:ascii="Arial" w:cs="Arial" w:eastAsia="Arial" w:hAnsi="Arial"/>
          <w:sz w:val="18"/>
          <w:szCs w:val="18"/>
          <w:color w:val="auto"/>
        </w:rPr>
        <w:t>Year ending December 31, 2013</w:t>
      </w:r>
    </w:p>
    <w:p>
      <w:pPr>
        <w:spacing w:after="0" w:line="9" w:lineRule="exact"/>
        <w:rPr>
          <w:sz w:val="20"/>
          <w:szCs w:val="20"/>
          <w:color w:val="auto"/>
        </w:rPr>
      </w:pPr>
    </w:p>
    <w:p>
      <w:pPr>
        <w:ind w:left="2300"/>
        <w:spacing w:after="0"/>
        <w:rPr>
          <w:sz w:val="20"/>
          <w:szCs w:val="20"/>
          <w:color w:val="auto"/>
        </w:rPr>
      </w:pPr>
      <w:r>
        <w:rPr>
          <w:rFonts w:ascii="Arial" w:cs="Arial" w:eastAsia="Arial" w:hAnsi="Arial"/>
          <w:sz w:val="18"/>
          <w:szCs w:val="18"/>
          <w:color w:val="auto"/>
        </w:rPr>
        <w:t>Year ending December 31, 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1454150</wp:posOffset>
            </wp:positionH>
            <wp:positionV relativeFrom="paragraph">
              <wp:posOffset>-129540</wp:posOffset>
            </wp:positionV>
            <wp:extent cx="4347845" cy="13716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4347845" cy="137160"/>
                    </a:xfrm>
                    <a:prstGeom prst="rect">
                      <a:avLst/>
                    </a:prstGeom>
                    <a:noFill/>
                  </pic:spPr>
                </pic:pic>
              </a:graphicData>
            </a:graphic>
          </wp:anchor>
        </w:drawing>
      </w:r>
    </w:p>
    <w:p>
      <w:pPr>
        <w:ind w:left="2300"/>
        <w:spacing w:after="0"/>
        <w:rPr>
          <w:sz w:val="20"/>
          <w:szCs w:val="20"/>
          <w:color w:val="auto"/>
        </w:rPr>
      </w:pPr>
      <w:r>
        <w:rPr>
          <w:rFonts w:ascii="Arial" w:cs="Arial" w:eastAsia="Arial" w:hAnsi="Arial"/>
          <w:sz w:val="18"/>
          <w:szCs w:val="18"/>
          <w:color w:val="auto"/>
        </w:rPr>
        <w:t>Thereafter</w:t>
      </w:r>
    </w:p>
    <w:p>
      <w:pPr>
        <w:spacing w:after="0" w:line="43" w:lineRule="exact"/>
        <w:rPr>
          <w:sz w:val="20"/>
          <w:szCs w:val="20"/>
          <w:color w:val="auto"/>
        </w:rPr>
      </w:pPr>
    </w:p>
    <w:p>
      <w:pPr>
        <w:ind w:left="2420"/>
        <w:spacing w:after="0"/>
        <w:rPr>
          <w:sz w:val="20"/>
          <w:szCs w:val="20"/>
          <w:color w:val="auto"/>
        </w:rPr>
      </w:pPr>
      <w:r>
        <w:rPr>
          <w:rFonts w:ascii="Arial" w:cs="Arial" w:eastAsia="Arial" w:hAnsi="Arial"/>
          <w:sz w:val="18"/>
          <w:szCs w:val="18"/>
          <w:color w:val="auto"/>
        </w:rPr>
        <w:t>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1454150</wp:posOffset>
            </wp:positionH>
            <wp:positionV relativeFrom="paragraph">
              <wp:posOffset>-125730</wp:posOffset>
            </wp:positionV>
            <wp:extent cx="4347845" cy="13716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4347845" cy="13716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16" w:lineRule="exact"/>
        <w:rPr>
          <w:sz w:val="20"/>
          <w:szCs w:val="20"/>
          <w:color w:val="auto"/>
        </w:rPr>
      </w:pPr>
    </w:p>
    <w:p>
      <w:pPr>
        <w:ind w:left="60"/>
        <w:spacing w:after="0"/>
        <w:rPr>
          <w:sz w:val="20"/>
          <w:szCs w:val="20"/>
          <w:color w:val="auto"/>
        </w:rPr>
      </w:pPr>
      <w:r>
        <w:rPr>
          <w:rFonts w:ascii="Arial" w:cs="Arial" w:eastAsia="Arial" w:hAnsi="Arial"/>
          <w:sz w:val="14"/>
          <w:szCs w:val="14"/>
          <w:b w:val="1"/>
          <w:bCs w:val="1"/>
          <w:color w:val="auto"/>
        </w:rPr>
        <w:t>Amount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0</wp:posOffset>
            </wp:positionV>
            <wp:extent cx="394335"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94335" cy="8890"/>
                    </a:xfrm>
                    <a:prstGeom prst="rect">
                      <a:avLst/>
                    </a:prstGeom>
                    <a:noFill/>
                  </pic:spPr>
                </pic:pic>
              </a:graphicData>
            </a:graphic>
          </wp:anchor>
        </w:drawing>
      </w:r>
    </w:p>
    <w:p>
      <w:pPr>
        <w:ind w:left="360" w:hanging="359"/>
        <w:spacing w:after="0"/>
        <w:tabs>
          <w:tab w:leader="none" w:pos="360" w:val="left"/>
        </w:tabs>
        <w:numPr>
          <w:ilvl w:val="0"/>
          <w:numId w:val="3"/>
        </w:numPr>
        <w:rPr>
          <w:rFonts w:ascii="Arial" w:cs="Arial" w:eastAsia="Arial" w:hAnsi="Arial"/>
          <w:sz w:val="15"/>
          <w:szCs w:val="15"/>
          <w:color w:val="auto"/>
        </w:rPr>
      </w:pPr>
      <w:r>
        <w:rPr>
          <w:rFonts w:ascii="Arial" w:cs="Arial" w:eastAsia="Arial" w:hAnsi="Arial"/>
          <w:sz w:val="15"/>
          <w:szCs w:val="15"/>
          <w:color w:val="auto"/>
        </w:rPr>
        <w:t>307</w:t>
      </w:r>
    </w:p>
    <w:p>
      <w:pPr>
        <w:spacing w:after="0" w:line="42" w:lineRule="exact"/>
        <w:rPr>
          <w:rFonts w:ascii="Arial" w:cs="Arial" w:eastAsia="Arial" w:hAnsi="Arial"/>
          <w:sz w:val="15"/>
          <w:szCs w:val="15"/>
          <w:color w:val="auto"/>
        </w:rPr>
      </w:pPr>
    </w:p>
    <w:p>
      <w:pPr>
        <w:ind w:left="220"/>
        <w:spacing w:after="0"/>
        <w:rPr>
          <w:rFonts w:ascii="Arial" w:cs="Arial" w:eastAsia="Arial" w:hAnsi="Arial"/>
          <w:sz w:val="15"/>
          <w:szCs w:val="15"/>
          <w:color w:val="auto"/>
        </w:rPr>
      </w:pPr>
      <w:r>
        <w:rPr>
          <w:rFonts w:ascii="Arial" w:cs="Arial" w:eastAsia="Arial" w:hAnsi="Arial"/>
          <w:sz w:val="15"/>
          <w:szCs w:val="15"/>
          <w:color w:val="auto"/>
        </w:rPr>
        <w:t>1,086</w:t>
      </w:r>
    </w:p>
    <w:p>
      <w:pPr>
        <w:spacing w:after="0" w:line="43" w:lineRule="exact"/>
        <w:rPr>
          <w:rFonts w:ascii="Arial" w:cs="Arial" w:eastAsia="Arial" w:hAnsi="Arial"/>
          <w:sz w:val="15"/>
          <w:szCs w:val="15"/>
          <w:color w:val="auto"/>
        </w:rPr>
      </w:pPr>
    </w:p>
    <w:p>
      <w:pPr>
        <w:ind w:left="360"/>
        <w:spacing w:after="0"/>
        <w:rPr>
          <w:rFonts w:ascii="Arial" w:cs="Arial" w:eastAsia="Arial" w:hAnsi="Arial"/>
          <w:sz w:val="15"/>
          <w:szCs w:val="15"/>
          <w:color w:val="auto"/>
        </w:rPr>
      </w:pPr>
      <w:r>
        <w:rPr>
          <w:rFonts w:ascii="Arial" w:cs="Arial" w:eastAsia="Arial" w:hAnsi="Arial"/>
          <w:sz w:val="15"/>
          <w:szCs w:val="15"/>
          <w:color w:val="auto"/>
        </w:rPr>
        <w:t>411</w:t>
      </w:r>
    </w:p>
    <w:p>
      <w:pPr>
        <w:spacing w:after="0" w:line="43" w:lineRule="exact"/>
        <w:rPr>
          <w:rFonts w:ascii="Arial" w:cs="Arial" w:eastAsia="Arial" w:hAnsi="Arial"/>
          <w:sz w:val="15"/>
          <w:szCs w:val="15"/>
          <w:color w:val="auto"/>
        </w:rPr>
      </w:pPr>
    </w:p>
    <w:p>
      <w:pPr>
        <w:ind w:left="360"/>
        <w:spacing w:after="0"/>
        <w:rPr>
          <w:rFonts w:ascii="Arial" w:cs="Arial" w:eastAsia="Arial" w:hAnsi="Arial"/>
          <w:sz w:val="15"/>
          <w:szCs w:val="15"/>
          <w:color w:val="auto"/>
        </w:rPr>
      </w:pPr>
      <w:r>
        <w:rPr>
          <w:rFonts w:ascii="Arial" w:cs="Arial" w:eastAsia="Arial" w:hAnsi="Arial"/>
          <w:sz w:val="15"/>
          <w:szCs w:val="15"/>
          <w:color w:val="auto"/>
        </w:rPr>
        <w:t>144</w:t>
      </w:r>
    </w:p>
    <w:p>
      <w:pPr>
        <w:spacing w:after="0" w:line="43" w:lineRule="exact"/>
        <w:rPr>
          <w:rFonts w:ascii="Arial" w:cs="Arial" w:eastAsia="Arial" w:hAnsi="Arial"/>
          <w:sz w:val="15"/>
          <w:szCs w:val="15"/>
          <w:color w:val="auto"/>
        </w:rPr>
      </w:pPr>
    </w:p>
    <w:p>
      <w:pPr>
        <w:ind w:left="440"/>
        <w:spacing w:after="0"/>
        <w:rPr>
          <w:rFonts w:ascii="Arial" w:cs="Arial" w:eastAsia="Arial" w:hAnsi="Arial"/>
          <w:sz w:val="15"/>
          <w:szCs w:val="15"/>
          <w:color w:val="auto"/>
        </w:rPr>
      </w:pPr>
      <w:r>
        <w:rPr>
          <w:rFonts w:ascii="Arial" w:cs="Arial" w:eastAsia="Arial" w:hAnsi="Arial"/>
          <w:sz w:val="16"/>
          <w:szCs w:val="16"/>
          <w:color w:val="auto"/>
        </w:rPr>
        <w:t>84</w:t>
      </w:r>
    </w:p>
    <w:p>
      <w:pPr>
        <w:spacing w:after="0" w:line="32" w:lineRule="exact"/>
        <w:rPr>
          <w:rFonts w:ascii="Arial" w:cs="Arial" w:eastAsia="Arial" w:hAnsi="Arial"/>
          <w:sz w:val="15"/>
          <w:szCs w:val="15"/>
          <w:color w:val="auto"/>
        </w:rPr>
      </w:pPr>
    </w:p>
    <w:p>
      <w:pPr>
        <w:ind w:left="360"/>
        <w:spacing w:after="0"/>
        <w:rPr>
          <w:rFonts w:ascii="Arial" w:cs="Arial" w:eastAsia="Arial" w:hAnsi="Arial"/>
          <w:sz w:val="15"/>
          <w:szCs w:val="15"/>
          <w:color w:val="auto"/>
        </w:rPr>
      </w:pPr>
      <w:r>
        <w:rPr>
          <w:rFonts w:ascii="Arial" w:cs="Arial" w:eastAsia="Arial" w:hAnsi="Arial"/>
          <w:sz w:val="15"/>
          <w:szCs w:val="15"/>
          <w:color w:val="auto"/>
        </w:rPr>
        <w:t>456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46355</wp:posOffset>
            </wp:positionV>
            <wp:extent cx="394335"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94335" cy="8890"/>
                    </a:xfrm>
                    <a:prstGeom prst="rect">
                      <a:avLst/>
                    </a:prstGeom>
                    <a:noFill/>
                  </pic:spPr>
                </pic:pic>
              </a:graphicData>
            </a:graphic>
          </wp:anchor>
        </w:drawing>
      </w:r>
    </w:p>
    <w:p>
      <w:pPr>
        <w:spacing w:after="0" w:line="58" w:lineRule="exact"/>
        <w:rPr>
          <w:sz w:val="20"/>
          <w:szCs w:val="20"/>
          <w:color w:val="auto"/>
        </w:rPr>
      </w:pPr>
    </w:p>
    <w:p>
      <w:pPr>
        <w:spacing w:after="0"/>
        <w:rPr>
          <w:sz w:val="20"/>
          <w:szCs w:val="20"/>
          <w:color w:val="auto"/>
        </w:rPr>
      </w:pPr>
      <w:r>
        <w:rPr>
          <w:rFonts w:ascii="Arial" w:cs="Arial" w:eastAsia="Arial" w:hAnsi="Arial"/>
          <w:sz w:val="16"/>
          <w:szCs w:val="16"/>
          <w:color w:val="auto"/>
        </w:rPr>
        <w:t>$  2,488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42545</wp:posOffset>
            </wp:positionV>
            <wp:extent cx="394335"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94335"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59690</wp:posOffset>
            </wp:positionV>
            <wp:extent cx="394335"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94335" cy="8890"/>
                    </a:xfrm>
                    <a:prstGeom prst="rect">
                      <a:avLst/>
                    </a:prstGeom>
                    <a:noFill/>
                  </pic:spPr>
                </pic:pic>
              </a:graphicData>
            </a:graphic>
          </wp:anchor>
        </w:drawing>
      </w:r>
    </w:p>
    <w:p>
      <w:pPr>
        <w:spacing w:after="0" w:line="222" w:lineRule="exact"/>
        <w:rPr>
          <w:sz w:val="20"/>
          <w:szCs w:val="20"/>
          <w:color w:val="auto"/>
        </w:rPr>
      </w:pPr>
    </w:p>
    <w:p>
      <w:pPr>
        <w:sectPr>
          <w:pgSz w:w="11900" w:h="16838" w:orient="portrait"/>
          <w:cols w:equalWidth="0" w:num="2">
            <w:col w:w="7640" w:space="720"/>
            <w:col w:w="2840"/>
          </w:cols>
          <w:pgMar w:left="240" w:top="131" w:right="459" w:bottom="1440" w:gutter="0" w:footer="0" w:header="0"/>
          <w:type w:val="continuous"/>
        </w:sectPr>
      </w:pPr>
    </w:p>
    <w:p>
      <w:pPr>
        <w:spacing w:after="0" w:line="93" w:lineRule="exact"/>
        <w:rPr>
          <w:sz w:val="20"/>
          <w:szCs w:val="20"/>
          <w:color w:val="auto"/>
        </w:rPr>
      </w:pPr>
    </w:p>
    <w:p>
      <w:pPr>
        <w:jc w:val="center"/>
        <w:ind w:right="-219"/>
        <w:spacing w:after="0"/>
        <w:rPr>
          <w:sz w:val="20"/>
          <w:szCs w:val="20"/>
          <w:color w:val="auto"/>
        </w:rPr>
      </w:pPr>
      <w:r>
        <w:rPr>
          <w:rFonts w:ascii="Arial" w:cs="Arial" w:eastAsia="Arial" w:hAnsi="Arial"/>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160655</wp:posOffset>
            </wp:positionV>
            <wp:extent cx="7250430" cy="215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00"/>
          </w:cols>
          <w:pgMar w:left="240" w:top="131" w:right="459" w:bottom="1440" w:gutter="0" w:footer="0" w:header="0"/>
          <w:type w:val="continuous"/>
        </w:sectPr>
      </w:pPr>
    </w:p>
    <w:bookmarkStart w:id="11" w:name="page12"/>
    <w:bookmarkEnd w:id="1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TREE.COM, INC. AND SUBSIDIARIES</w:t>
      </w:r>
    </w:p>
    <w:p>
      <w:pPr>
        <w:spacing w:after="0" w:line="225" w:lineRule="exact"/>
        <w:rPr>
          <w:sz w:val="20"/>
          <w:szCs w:val="20"/>
          <w:color w:val="auto"/>
        </w:rPr>
      </w:pPr>
    </w:p>
    <w:p>
      <w:pPr>
        <w:ind w:left="294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3—GOODWILL AND INTANGIBLE ASSETS (Continued)</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following table presents the balance of goodwill by segment (in thousands):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300" w:type="dxa"/>
            <w:vAlign w:val="bottom"/>
          </w:tcPr>
          <w:p>
            <w:pPr>
              <w:spacing w:after="0"/>
              <w:rPr>
                <w:sz w:val="14"/>
                <w:szCs w:val="14"/>
                <w:color w:val="auto"/>
              </w:rPr>
            </w:pPr>
          </w:p>
        </w:tc>
        <w:tc>
          <w:tcPr>
            <w:tcW w:w="2820" w:type="dxa"/>
            <w:vAlign w:val="bottom"/>
          </w:tcPr>
          <w:p>
            <w:pPr>
              <w:spacing w:after="0"/>
              <w:rPr>
                <w:sz w:val="14"/>
                <w:szCs w:val="14"/>
                <w:color w:val="auto"/>
              </w:rPr>
            </w:pPr>
          </w:p>
        </w:tc>
        <w:tc>
          <w:tcPr>
            <w:tcW w:w="1060" w:type="dxa"/>
            <w:vAlign w:val="bottom"/>
            <w:gridSpan w:val="3"/>
          </w:tcPr>
          <w:p>
            <w:pPr>
              <w:jc w:val="right"/>
              <w:ind w:right="240"/>
              <w:spacing w:after="0"/>
              <w:rPr>
                <w:sz w:val="20"/>
                <w:szCs w:val="20"/>
                <w:color w:val="auto"/>
              </w:rPr>
            </w:pPr>
            <w:r>
              <w:rPr>
                <w:rFonts w:ascii="Arial" w:cs="Arial" w:eastAsia="Arial" w:hAnsi="Arial"/>
                <w:sz w:val="14"/>
                <w:szCs w:val="14"/>
                <w:b w:val="1"/>
                <w:bCs w:val="1"/>
                <w:color w:val="auto"/>
                <w:w w:val="95"/>
              </w:rPr>
              <w:t>LendingTree</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gridSpan w:val="4"/>
          </w:tcPr>
          <w:p>
            <w:pPr>
              <w:jc w:val="right"/>
              <w:ind w:right="420"/>
              <w:spacing w:after="0"/>
              <w:rPr>
                <w:sz w:val="20"/>
                <w:szCs w:val="20"/>
                <w:color w:val="auto"/>
              </w:rPr>
            </w:pPr>
            <w:r>
              <w:rPr>
                <w:rFonts w:ascii="Arial" w:cs="Arial" w:eastAsia="Arial" w:hAnsi="Arial"/>
                <w:sz w:val="14"/>
                <w:szCs w:val="14"/>
                <w:b w:val="1"/>
                <w:bCs w:val="1"/>
                <w:color w:val="auto"/>
              </w:rPr>
              <w:t>Real</w:t>
            </w: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300" w:type="dxa"/>
            <w:vAlign w:val="bottom"/>
          </w:tcPr>
          <w:p>
            <w:pPr>
              <w:spacing w:after="0"/>
              <w:rPr>
                <w:sz w:val="14"/>
                <w:szCs w:val="14"/>
                <w:color w:val="auto"/>
              </w:rPr>
            </w:pPr>
          </w:p>
        </w:tc>
        <w:tc>
          <w:tcPr>
            <w:tcW w:w="28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Loans</w:t>
            </w:r>
          </w:p>
        </w:tc>
        <w:tc>
          <w:tcPr>
            <w:tcW w:w="20" w:type="dxa"/>
            <w:vAlign w:val="bottom"/>
          </w:tcPr>
          <w:p>
            <w:pPr>
              <w:spacing w:after="0"/>
              <w:rPr>
                <w:sz w:val="14"/>
                <w:szCs w:val="14"/>
                <w:color w:val="auto"/>
              </w:rPr>
            </w:pPr>
          </w:p>
        </w:tc>
        <w:tc>
          <w:tcPr>
            <w:tcW w:w="840" w:type="dxa"/>
            <w:vAlign w:val="bottom"/>
            <w:gridSpan w:val="2"/>
          </w:tcPr>
          <w:p>
            <w:pPr>
              <w:jc w:val="right"/>
              <w:ind w:right="34"/>
              <w:spacing w:after="0"/>
              <w:rPr>
                <w:sz w:val="20"/>
                <w:szCs w:val="20"/>
                <w:color w:val="auto"/>
              </w:rPr>
            </w:pPr>
            <w:r>
              <w:rPr>
                <w:rFonts w:ascii="Arial" w:cs="Arial" w:eastAsia="Arial" w:hAnsi="Arial"/>
                <w:sz w:val="14"/>
                <w:szCs w:val="14"/>
                <w:b w:val="1"/>
                <w:bCs w:val="1"/>
                <w:color w:val="auto"/>
                <w:w w:val="94"/>
              </w:rPr>
              <w:t>Exchanges</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gridSpan w:val="4"/>
          </w:tcPr>
          <w:p>
            <w:pPr>
              <w:jc w:val="right"/>
              <w:ind w:right="360"/>
              <w:spacing w:after="0"/>
              <w:rPr>
                <w:sz w:val="20"/>
                <w:szCs w:val="20"/>
                <w:color w:val="auto"/>
              </w:rPr>
            </w:pPr>
            <w:r>
              <w:rPr>
                <w:rFonts w:ascii="Arial" w:cs="Arial" w:eastAsia="Arial" w:hAnsi="Arial"/>
                <w:sz w:val="14"/>
                <w:szCs w:val="14"/>
                <w:b w:val="1"/>
                <w:bCs w:val="1"/>
                <w:color w:val="auto"/>
                <w:w w:val="95"/>
              </w:rPr>
              <w:t>Estate</w:t>
            </w:r>
          </w:p>
        </w:tc>
        <w:tc>
          <w:tcPr>
            <w:tcW w:w="160" w:type="dxa"/>
            <w:vAlign w:val="bottom"/>
          </w:tcPr>
          <w:p>
            <w:pPr>
              <w:spacing w:after="0"/>
              <w:rPr>
                <w:sz w:val="14"/>
                <w:szCs w:val="14"/>
                <w:color w:val="auto"/>
              </w:rPr>
            </w:pPr>
          </w:p>
        </w:tc>
        <w:tc>
          <w:tcPr>
            <w:tcW w:w="3140" w:type="dxa"/>
            <w:vAlign w:val="bottom"/>
            <w:gridSpan w:val="3"/>
          </w:tcPr>
          <w:p>
            <w:pPr>
              <w:ind w:left="1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10"/>
        </w:trPr>
        <w:tc>
          <w:tcPr>
            <w:tcW w:w="2300" w:type="dxa"/>
            <w:vAlign w:val="bottom"/>
          </w:tcPr>
          <w:p>
            <w:pPr>
              <w:spacing w:after="0"/>
              <w:rPr>
                <w:sz w:val="18"/>
                <w:szCs w:val="18"/>
                <w:color w:val="auto"/>
              </w:rPr>
            </w:pPr>
          </w:p>
        </w:tc>
        <w:tc>
          <w:tcPr>
            <w:tcW w:w="28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98"/>
              </w:rPr>
              <w:t>Balance as of December 31, 2009</w:t>
            </w:r>
          </w:p>
        </w:tc>
        <w:tc>
          <w:tcPr>
            <w:tcW w:w="18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00" w:type="dxa"/>
            <w:vAlign w:val="bottom"/>
          </w:tcPr>
          <w:p>
            <w:pPr>
              <w:spacing w:after="0"/>
              <w:rPr>
                <w:sz w:val="18"/>
                <w:szCs w:val="18"/>
                <w:color w:val="auto"/>
              </w:rPr>
            </w:pPr>
          </w:p>
        </w:tc>
        <w:tc>
          <w:tcPr>
            <w:tcW w:w="2820" w:type="dxa"/>
            <w:vAlign w:val="bottom"/>
          </w:tcPr>
          <w:p>
            <w:pPr>
              <w:ind w:left="120"/>
              <w:spacing w:after="0"/>
              <w:rPr>
                <w:sz w:val="20"/>
                <w:szCs w:val="20"/>
                <w:color w:val="auto"/>
              </w:rPr>
            </w:pPr>
            <w:r>
              <w:rPr>
                <w:rFonts w:ascii="Arial" w:cs="Arial" w:eastAsia="Arial" w:hAnsi="Arial"/>
                <w:sz w:val="18"/>
                <w:szCs w:val="18"/>
                <w:color w:val="auto"/>
              </w:rPr>
              <w:t>Goodwill</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46,526</w:t>
            </w:r>
          </w:p>
        </w:tc>
        <w:tc>
          <w:tcPr>
            <w:tcW w:w="160" w:type="dxa"/>
            <w:vAlign w:val="bottom"/>
          </w:tcPr>
          <w:p>
            <w:pPr>
              <w:spacing w:after="0"/>
              <w:rPr>
                <w:sz w:val="18"/>
                <w:szCs w:val="18"/>
                <w:color w:val="auto"/>
              </w:rPr>
            </w:pPr>
          </w:p>
        </w:tc>
        <w:tc>
          <w:tcPr>
            <w:tcW w:w="12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485,955</w:t>
            </w:r>
          </w:p>
        </w:tc>
        <w:tc>
          <w:tcPr>
            <w:tcW w:w="3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20" w:type="dxa"/>
            <w:vAlign w:val="bottom"/>
            <w:gridSpan w:val="3"/>
          </w:tcPr>
          <w:p>
            <w:pPr>
              <w:jc w:val="right"/>
              <w:spacing w:after="0"/>
              <w:rPr>
                <w:sz w:val="20"/>
                <w:szCs w:val="20"/>
                <w:color w:val="auto"/>
              </w:rPr>
            </w:pPr>
            <w:r>
              <w:rPr>
                <w:rFonts w:ascii="Arial" w:cs="Arial" w:eastAsia="Arial" w:hAnsi="Arial"/>
                <w:sz w:val="18"/>
                <w:szCs w:val="18"/>
                <w:color w:val="auto"/>
              </w:rPr>
              <w:t>70,091</w:t>
            </w:r>
          </w:p>
        </w:tc>
        <w:tc>
          <w:tcPr>
            <w:tcW w:w="16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602,572</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00" w:type="dxa"/>
            <w:vAlign w:val="bottom"/>
          </w:tcPr>
          <w:p>
            <w:pPr>
              <w:spacing w:after="0"/>
              <w:rPr>
                <w:sz w:val="18"/>
                <w:szCs w:val="18"/>
                <w:color w:val="auto"/>
              </w:rPr>
            </w:pPr>
          </w:p>
        </w:tc>
        <w:tc>
          <w:tcPr>
            <w:tcW w:w="28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Accumulated impairment losses</w:t>
            </w: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(46,526)</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2"/>
              <w:spacing w:after="0"/>
              <w:rPr>
                <w:sz w:val="20"/>
                <w:szCs w:val="20"/>
                <w:color w:val="auto"/>
              </w:rPr>
            </w:pPr>
            <w:r>
              <w:rPr>
                <w:rFonts w:ascii="Arial" w:cs="Arial" w:eastAsia="Arial" w:hAnsi="Arial"/>
                <w:sz w:val="18"/>
                <w:szCs w:val="18"/>
                <w:color w:val="auto"/>
                <w:w w:val="98"/>
              </w:rPr>
              <w:t>(483,088)</w:t>
            </w:r>
          </w:p>
        </w:tc>
        <w:tc>
          <w:tcPr>
            <w:tcW w:w="140" w:type="dxa"/>
            <w:vAlign w:val="bottom"/>
            <w:shd w:val="clear" w:color="auto" w:fill="CCEEFF"/>
          </w:tcPr>
          <w:p>
            <w:pPr>
              <w:spacing w:after="0"/>
              <w:rPr>
                <w:sz w:val="18"/>
                <w:szCs w:val="18"/>
                <w:color w:val="auto"/>
              </w:rPr>
            </w:pPr>
          </w:p>
        </w:tc>
        <w:tc>
          <w:tcPr>
            <w:tcW w:w="78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w w:val="98"/>
              </w:rPr>
              <w:t>(60,806)</w:t>
            </w: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(590,420)</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300" w:type="dxa"/>
            <w:vAlign w:val="bottom"/>
          </w:tcPr>
          <w:p>
            <w:pPr>
              <w:spacing w:after="0"/>
              <w:rPr>
                <w:sz w:val="2"/>
                <w:szCs w:val="2"/>
                <w:color w:val="auto"/>
              </w:rPr>
            </w:pPr>
          </w:p>
        </w:tc>
        <w:tc>
          <w:tcPr>
            <w:tcW w:w="28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gridSpan w:val="2"/>
          </w:tcPr>
          <w:p>
            <w:pPr>
              <w:spacing w:after="0"/>
              <w:rPr>
                <w:sz w:val="2"/>
                <w:szCs w:val="2"/>
                <w:color w:val="auto"/>
              </w:rPr>
            </w:pPr>
          </w:p>
        </w:tc>
        <w:tc>
          <w:tcPr>
            <w:tcW w:w="22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2300" w:type="dxa"/>
            <w:vAlign w:val="bottom"/>
          </w:tcPr>
          <w:p>
            <w:pPr>
              <w:spacing w:after="0"/>
              <w:rPr>
                <w:sz w:val="18"/>
                <w:szCs w:val="18"/>
                <w:color w:val="auto"/>
              </w:rPr>
            </w:pPr>
          </w:p>
        </w:tc>
        <w:tc>
          <w:tcPr>
            <w:tcW w:w="28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2,867</w:t>
            </w:r>
          </w:p>
        </w:tc>
        <w:tc>
          <w:tcPr>
            <w:tcW w:w="1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42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w w:val="88"/>
              </w:rPr>
              <w:t>9,285</w:t>
            </w:r>
          </w:p>
        </w:tc>
        <w:tc>
          <w:tcPr>
            <w:tcW w:w="16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12,152</w:t>
            </w:r>
          </w:p>
        </w:tc>
        <w:tc>
          <w:tcPr>
            <w:tcW w:w="16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30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300" w:type="dxa"/>
            <w:vAlign w:val="bottom"/>
          </w:tcPr>
          <w:p>
            <w:pPr>
              <w:spacing w:after="0"/>
              <w:rPr>
                <w:sz w:val="18"/>
                <w:szCs w:val="18"/>
                <w:color w:val="auto"/>
              </w:rPr>
            </w:pPr>
          </w:p>
        </w:tc>
        <w:tc>
          <w:tcPr>
            <w:tcW w:w="2820" w:type="dxa"/>
            <w:vAlign w:val="bottom"/>
            <w:shd w:val="clear" w:color="auto" w:fill="CCEEFF"/>
          </w:tcPr>
          <w:p>
            <w:pPr>
              <w:spacing w:after="0"/>
              <w:rPr>
                <w:sz w:val="20"/>
                <w:szCs w:val="20"/>
                <w:color w:val="auto"/>
              </w:rPr>
            </w:pPr>
            <w:r>
              <w:rPr>
                <w:rFonts w:ascii="Arial" w:cs="Arial" w:eastAsia="Arial" w:hAnsi="Arial"/>
                <w:sz w:val="18"/>
                <w:szCs w:val="18"/>
                <w:color w:val="auto"/>
              </w:rPr>
              <w:t>Goodwill acquired during the year</w:t>
            </w: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765</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765</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00" w:type="dxa"/>
            <w:vAlign w:val="bottom"/>
          </w:tcPr>
          <w:p>
            <w:pPr>
              <w:spacing w:after="0"/>
              <w:rPr>
                <w:sz w:val="18"/>
                <w:szCs w:val="18"/>
                <w:color w:val="auto"/>
              </w:rPr>
            </w:pPr>
          </w:p>
        </w:tc>
        <w:tc>
          <w:tcPr>
            <w:tcW w:w="2820" w:type="dxa"/>
            <w:vAlign w:val="bottom"/>
          </w:tcPr>
          <w:p>
            <w:pPr>
              <w:spacing w:after="0"/>
              <w:rPr>
                <w:sz w:val="20"/>
                <w:szCs w:val="20"/>
                <w:color w:val="auto"/>
              </w:rPr>
            </w:pPr>
            <w:r>
              <w:rPr>
                <w:rFonts w:ascii="Arial" w:cs="Arial" w:eastAsia="Arial" w:hAnsi="Arial"/>
                <w:sz w:val="18"/>
                <w:szCs w:val="18"/>
                <w:color w:val="auto"/>
              </w:rPr>
              <w:t>Impairment losses</w:t>
            </w:r>
          </w:p>
        </w:tc>
        <w:tc>
          <w:tcPr>
            <w:tcW w:w="18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00" w:type="dxa"/>
            <w:vAlign w:val="bottom"/>
          </w:tcPr>
          <w:p>
            <w:pPr>
              <w:spacing w:after="0"/>
              <w:rPr>
                <w:sz w:val="18"/>
                <w:szCs w:val="18"/>
                <w:color w:val="auto"/>
              </w:rPr>
            </w:pPr>
          </w:p>
        </w:tc>
        <w:tc>
          <w:tcPr>
            <w:tcW w:w="2820" w:type="dxa"/>
            <w:vAlign w:val="bottom"/>
            <w:shd w:val="clear" w:color="auto" w:fill="CCEEFF"/>
          </w:tcPr>
          <w:p>
            <w:pPr>
              <w:spacing w:after="0"/>
              <w:rPr>
                <w:sz w:val="20"/>
                <w:szCs w:val="20"/>
                <w:color w:val="auto"/>
              </w:rPr>
            </w:pPr>
            <w:r>
              <w:rPr>
                <w:rFonts w:ascii="Arial" w:cs="Arial" w:eastAsia="Arial" w:hAnsi="Arial"/>
                <w:sz w:val="18"/>
                <w:szCs w:val="18"/>
                <w:color w:val="auto"/>
              </w:rPr>
              <w:t>Other deductions</w:t>
            </w: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5120" w:type="dxa"/>
            <w:vAlign w:val="bottom"/>
            <w:gridSpan w:val="2"/>
            <w:vMerge w:val="restart"/>
          </w:tcPr>
          <w:p>
            <w:pPr>
              <w:ind w:left="2300"/>
              <w:spacing w:after="0"/>
              <w:rPr>
                <w:sz w:val="20"/>
                <w:szCs w:val="20"/>
                <w:color w:val="auto"/>
              </w:rPr>
            </w:pPr>
            <w:r>
              <w:rPr>
                <w:rFonts w:ascii="Arial" w:cs="Arial" w:eastAsia="Arial" w:hAnsi="Arial"/>
                <w:sz w:val="18"/>
                <w:szCs w:val="18"/>
                <w:b w:val="1"/>
                <w:bCs w:val="1"/>
                <w:color w:val="auto"/>
                <w:w w:val="96"/>
              </w:rPr>
              <w:t>Balance as of September 30, 2010</w:t>
            </w: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22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512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300" w:type="dxa"/>
            <w:vAlign w:val="bottom"/>
          </w:tcPr>
          <w:p>
            <w:pPr>
              <w:spacing w:after="0"/>
              <w:rPr>
                <w:sz w:val="18"/>
                <w:szCs w:val="18"/>
                <w:color w:val="auto"/>
              </w:rPr>
            </w:pPr>
          </w:p>
        </w:tc>
        <w:tc>
          <w:tcPr>
            <w:tcW w:w="28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Goodwill</w:t>
            </w: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46,526</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486,720</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70,091</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603,337</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300" w:type="dxa"/>
            <w:vAlign w:val="bottom"/>
          </w:tcPr>
          <w:p>
            <w:pPr>
              <w:spacing w:after="0"/>
              <w:rPr>
                <w:sz w:val="19"/>
                <w:szCs w:val="19"/>
                <w:color w:val="auto"/>
              </w:rPr>
            </w:pPr>
          </w:p>
        </w:tc>
        <w:tc>
          <w:tcPr>
            <w:tcW w:w="2820" w:type="dxa"/>
            <w:vAlign w:val="bottom"/>
          </w:tcPr>
          <w:p>
            <w:pPr>
              <w:ind w:left="120"/>
              <w:spacing w:after="0"/>
              <w:rPr>
                <w:sz w:val="20"/>
                <w:szCs w:val="20"/>
                <w:color w:val="auto"/>
              </w:rPr>
            </w:pPr>
            <w:r>
              <w:rPr>
                <w:rFonts w:ascii="Arial" w:cs="Arial" w:eastAsia="Arial" w:hAnsi="Arial"/>
                <w:sz w:val="18"/>
                <w:szCs w:val="18"/>
                <w:color w:val="auto"/>
              </w:rPr>
              <w:t>Accumulated impairment losses</w:t>
            </w:r>
          </w:p>
        </w:tc>
        <w:tc>
          <w:tcPr>
            <w:tcW w:w="180" w:type="dxa"/>
            <w:vAlign w:val="bottom"/>
          </w:tcPr>
          <w:p>
            <w:pPr>
              <w:spacing w:after="0"/>
              <w:rPr>
                <w:sz w:val="19"/>
                <w:szCs w:val="19"/>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(46,526)</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gridSpan w:val="2"/>
          </w:tcPr>
          <w:p>
            <w:pPr>
              <w:jc w:val="right"/>
              <w:ind w:right="32"/>
              <w:spacing w:after="0"/>
              <w:rPr>
                <w:sz w:val="20"/>
                <w:szCs w:val="20"/>
                <w:color w:val="auto"/>
              </w:rPr>
            </w:pPr>
            <w:r>
              <w:rPr>
                <w:rFonts w:ascii="Arial" w:cs="Arial" w:eastAsia="Arial" w:hAnsi="Arial"/>
                <w:sz w:val="18"/>
                <w:szCs w:val="18"/>
                <w:color w:val="auto"/>
                <w:w w:val="98"/>
              </w:rPr>
              <w:t>(483,088)</w:t>
            </w:r>
          </w:p>
        </w:tc>
        <w:tc>
          <w:tcPr>
            <w:tcW w:w="140" w:type="dxa"/>
            <w:vAlign w:val="bottom"/>
          </w:tcPr>
          <w:p>
            <w:pPr>
              <w:spacing w:after="0"/>
              <w:rPr>
                <w:sz w:val="19"/>
                <w:szCs w:val="19"/>
                <w:color w:val="auto"/>
              </w:rPr>
            </w:pPr>
          </w:p>
        </w:tc>
        <w:tc>
          <w:tcPr>
            <w:tcW w:w="780" w:type="dxa"/>
            <w:vAlign w:val="bottom"/>
            <w:gridSpan w:val="4"/>
          </w:tcPr>
          <w:p>
            <w:pPr>
              <w:jc w:val="right"/>
              <w:ind w:right="100"/>
              <w:spacing w:after="0"/>
              <w:rPr>
                <w:sz w:val="20"/>
                <w:szCs w:val="20"/>
                <w:color w:val="auto"/>
              </w:rPr>
            </w:pPr>
            <w:r>
              <w:rPr>
                <w:rFonts w:ascii="Arial" w:cs="Arial" w:eastAsia="Arial" w:hAnsi="Arial"/>
                <w:sz w:val="18"/>
                <w:szCs w:val="18"/>
                <w:color w:val="auto"/>
                <w:w w:val="98"/>
              </w:rPr>
              <w:t>(60,806)</w:t>
            </w:r>
          </w:p>
        </w:tc>
        <w:tc>
          <w:tcPr>
            <w:tcW w:w="160" w:type="dxa"/>
            <w:vAlign w:val="bottom"/>
          </w:tcPr>
          <w:p>
            <w:pPr>
              <w:spacing w:after="0"/>
              <w:rPr>
                <w:sz w:val="19"/>
                <w:szCs w:val="19"/>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(590,420)</w:t>
            </w:r>
          </w:p>
        </w:tc>
        <w:tc>
          <w:tcPr>
            <w:tcW w:w="2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30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300" w:type="dxa"/>
            <w:vAlign w:val="bottom"/>
          </w:tcPr>
          <w:p>
            <w:pPr>
              <w:spacing w:after="0"/>
              <w:rPr>
                <w:sz w:val="18"/>
                <w:szCs w:val="18"/>
                <w:color w:val="auto"/>
              </w:rPr>
            </w:pPr>
          </w:p>
        </w:tc>
        <w:tc>
          <w:tcPr>
            <w:tcW w:w="282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3,632</w:t>
            </w:r>
          </w:p>
        </w:tc>
        <w:tc>
          <w:tcPr>
            <w:tcW w:w="3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8"/>
              </w:rPr>
              <w:t>9,285</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12,917</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512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NOTE 4—PROPERTY AND EQUIPMENT</w:t>
            </w: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22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120" w:type="dxa"/>
            <w:vAlign w:val="bottom"/>
            <w:gridSpan w:val="2"/>
            <w:vMerge w:val="continue"/>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1"/>
        </w:trPr>
        <w:tc>
          <w:tcPr>
            <w:tcW w:w="5120" w:type="dxa"/>
            <w:vAlign w:val="bottom"/>
            <w:gridSpan w:val="2"/>
            <w:vMerge w:val="continue"/>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6180" w:type="dxa"/>
            <w:vAlign w:val="bottom"/>
            <w:gridSpan w:val="5"/>
          </w:tcPr>
          <w:p>
            <w:pPr>
              <w:jc w:val="right"/>
              <w:ind w:right="740"/>
              <w:spacing w:after="0"/>
              <w:rPr>
                <w:sz w:val="20"/>
                <w:szCs w:val="20"/>
                <w:color w:val="auto"/>
              </w:rPr>
            </w:pPr>
            <w:r>
              <w:rPr>
                <w:rFonts w:ascii="Arial" w:cs="Arial" w:eastAsia="Arial" w:hAnsi="Arial"/>
                <w:sz w:val="18"/>
                <w:szCs w:val="18"/>
                <w:color w:val="auto"/>
                <w:w w:val="94"/>
              </w:rPr>
              <w:t>The balance of property and equipment, net is as follows (in thousands):</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1"/>
        </w:trPr>
        <w:tc>
          <w:tcPr>
            <w:tcW w:w="2300" w:type="dxa"/>
            <w:vAlign w:val="bottom"/>
          </w:tcPr>
          <w:p>
            <w:pPr>
              <w:spacing w:after="0"/>
              <w:rPr>
                <w:sz w:val="24"/>
                <w:szCs w:val="24"/>
                <w:color w:val="auto"/>
              </w:rPr>
            </w:pPr>
          </w:p>
        </w:tc>
        <w:tc>
          <w:tcPr>
            <w:tcW w:w="28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gridSpan w:val="4"/>
          </w:tcPr>
          <w:p>
            <w:pPr>
              <w:jc w:val="right"/>
              <w:ind w:right="19"/>
              <w:spacing w:after="0"/>
              <w:rPr>
                <w:sz w:val="20"/>
                <w:szCs w:val="20"/>
                <w:color w:val="auto"/>
              </w:rPr>
            </w:pPr>
            <w:r>
              <w:rPr>
                <w:rFonts w:ascii="Arial" w:cs="Arial" w:eastAsia="Arial" w:hAnsi="Arial"/>
                <w:sz w:val="14"/>
                <w:szCs w:val="14"/>
                <w:b w:val="1"/>
                <w:bCs w:val="1"/>
                <w:color w:val="auto"/>
                <w:w w:val="85"/>
              </w:rPr>
              <w:t>September 30, 2010</w:t>
            </w:r>
          </w:p>
        </w:tc>
        <w:tc>
          <w:tcPr>
            <w:tcW w:w="160" w:type="dxa"/>
            <w:vAlign w:val="bottom"/>
          </w:tcPr>
          <w:p>
            <w:pPr>
              <w:spacing w:after="0"/>
              <w:rPr>
                <w:sz w:val="24"/>
                <w:szCs w:val="24"/>
                <w:color w:val="auto"/>
              </w:rPr>
            </w:pPr>
          </w:p>
        </w:tc>
        <w:tc>
          <w:tcPr>
            <w:tcW w:w="1280" w:type="dxa"/>
            <w:vAlign w:val="bottom"/>
            <w:tcBorders>
              <w:bottom w:val="single" w:sz="8" w:color="auto"/>
            </w:tcBorders>
            <w:gridSpan w:val="4"/>
          </w:tcPr>
          <w:p>
            <w:pPr>
              <w:jc w:val="right"/>
              <w:ind w:right="13"/>
              <w:spacing w:after="0"/>
              <w:rPr>
                <w:sz w:val="20"/>
                <w:szCs w:val="20"/>
                <w:color w:val="auto"/>
              </w:rPr>
            </w:pPr>
            <w:r>
              <w:rPr>
                <w:rFonts w:ascii="Arial" w:cs="Arial" w:eastAsia="Arial" w:hAnsi="Arial"/>
                <w:sz w:val="14"/>
                <w:szCs w:val="14"/>
                <w:b w:val="1"/>
                <w:bCs w:val="1"/>
                <w:color w:val="auto"/>
                <w:w w:val="91"/>
              </w:rPr>
              <w:t>December 31, 2009</w:t>
            </w:r>
          </w:p>
        </w:tc>
        <w:tc>
          <w:tcPr>
            <w:tcW w:w="244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2300" w:type="dxa"/>
            <w:vAlign w:val="bottom"/>
          </w:tcPr>
          <w:p>
            <w:pPr>
              <w:spacing w:after="0"/>
              <w:rPr>
                <w:sz w:val="18"/>
                <w:szCs w:val="18"/>
                <w:color w:val="auto"/>
              </w:rPr>
            </w:pPr>
          </w:p>
        </w:tc>
        <w:tc>
          <w:tcPr>
            <w:tcW w:w="388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Computer equipment and capitalized software</w:t>
            </w: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shd w:val="clear" w:color="auto" w:fill="CCEEFF"/>
          </w:tcPr>
          <w:p>
            <w:pPr>
              <w:spacing w:after="0"/>
              <w:rPr>
                <w:sz w:val="18"/>
                <w:szCs w:val="18"/>
                <w:color w:val="auto"/>
              </w:rPr>
            </w:pPr>
          </w:p>
        </w:tc>
        <w:tc>
          <w:tcPr>
            <w:tcW w:w="5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87"/>
              </w:rPr>
              <w:t>39,367</w:t>
            </w:r>
          </w:p>
        </w:tc>
        <w:tc>
          <w:tcPr>
            <w:tcW w:w="420" w:type="dxa"/>
            <w:vAlign w:val="bottom"/>
            <w:gridSpan w:val="2"/>
            <w:shd w:val="clear" w:color="auto" w:fill="CCEEFF"/>
          </w:tcPr>
          <w:p>
            <w:pPr>
              <w:jc w:val="right"/>
              <w:ind w:right="97"/>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35,881</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00" w:type="dxa"/>
            <w:vAlign w:val="bottom"/>
          </w:tcPr>
          <w:p>
            <w:pPr>
              <w:spacing w:after="0"/>
              <w:rPr>
                <w:sz w:val="18"/>
                <w:szCs w:val="18"/>
                <w:color w:val="auto"/>
              </w:rPr>
            </w:pPr>
          </w:p>
        </w:tc>
        <w:tc>
          <w:tcPr>
            <w:tcW w:w="2820" w:type="dxa"/>
            <w:vAlign w:val="bottom"/>
          </w:tcPr>
          <w:p>
            <w:pPr>
              <w:spacing w:after="0"/>
              <w:rPr>
                <w:sz w:val="20"/>
                <w:szCs w:val="20"/>
                <w:color w:val="auto"/>
              </w:rPr>
            </w:pPr>
            <w:r>
              <w:rPr>
                <w:rFonts w:ascii="Arial" w:cs="Arial" w:eastAsia="Arial" w:hAnsi="Arial"/>
                <w:sz w:val="18"/>
                <w:szCs w:val="18"/>
                <w:color w:val="auto"/>
              </w:rPr>
              <w:t>Leasehold improvements</w:t>
            </w: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00" w:type="dxa"/>
            <w:vAlign w:val="bottom"/>
            <w:gridSpan w:val="3"/>
          </w:tcPr>
          <w:p>
            <w:pPr>
              <w:jc w:val="right"/>
              <w:spacing w:after="0"/>
              <w:rPr>
                <w:sz w:val="20"/>
                <w:szCs w:val="20"/>
                <w:color w:val="auto"/>
              </w:rPr>
            </w:pPr>
            <w:r>
              <w:rPr>
                <w:rFonts w:ascii="Arial" w:cs="Arial" w:eastAsia="Arial" w:hAnsi="Arial"/>
                <w:sz w:val="18"/>
                <w:szCs w:val="18"/>
                <w:color w:val="auto"/>
              </w:rPr>
              <w:t>2,503</w:t>
            </w: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2,888</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00" w:type="dxa"/>
            <w:vAlign w:val="bottom"/>
          </w:tcPr>
          <w:p>
            <w:pPr>
              <w:spacing w:after="0"/>
              <w:rPr>
                <w:sz w:val="18"/>
                <w:szCs w:val="18"/>
                <w:color w:val="auto"/>
              </w:rPr>
            </w:pPr>
          </w:p>
        </w:tc>
        <w:tc>
          <w:tcPr>
            <w:tcW w:w="2820" w:type="dxa"/>
            <w:vAlign w:val="bottom"/>
            <w:shd w:val="clear" w:color="auto" w:fill="CCEEFF"/>
          </w:tcPr>
          <w:p>
            <w:pPr>
              <w:spacing w:after="0"/>
              <w:rPr>
                <w:sz w:val="20"/>
                <w:szCs w:val="20"/>
                <w:color w:val="auto"/>
              </w:rPr>
            </w:pPr>
            <w:r>
              <w:rPr>
                <w:rFonts w:ascii="Arial" w:cs="Arial" w:eastAsia="Arial" w:hAnsi="Arial"/>
                <w:sz w:val="18"/>
                <w:szCs w:val="18"/>
                <w:color w:val="auto"/>
              </w:rPr>
              <w:t>Furniture and other equipment</w:t>
            </w: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5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3,834</w:t>
            </w: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4,096</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300" w:type="dxa"/>
            <w:vAlign w:val="bottom"/>
          </w:tcPr>
          <w:p>
            <w:pPr>
              <w:spacing w:after="0"/>
              <w:rPr>
                <w:sz w:val="19"/>
                <w:szCs w:val="19"/>
                <w:color w:val="auto"/>
              </w:rPr>
            </w:pPr>
          </w:p>
        </w:tc>
        <w:tc>
          <w:tcPr>
            <w:tcW w:w="2820" w:type="dxa"/>
            <w:vAlign w:val="bottom"/>
          </w:tcPr>
          <w:p>
            <w:pPr>
              <w:spacing w:after="0"/>
              <w:rPr>
                <w:sz w:val="20"/>
                <w:szCs w:val="20"/>
                <w:color w:val="auto"/>
              </w:rPr>
            </w:pPr>
            <w:r>
              <w:rPr>
                <w:rFonts w:ascii="Arial" w:cs="Arial" w:eastAsia="Arial" w:hAnsi="Arial"/>
                <w:sz w:val="18"/>
                <w:szCs w:val="18"/>
                <w:color w:val="auto"/>
              </w:rPr>
              <w:t>Projects in progress</w:t>
            </w:r>
          </w:p>
        </w:tc>
        <w:tc>
          <w:tcPr>
            <w:tcW w:w="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500" w:type="dxa"/>
            <w:vAlign w:val="bottom"/>
            <w:gridSpan w:val="3"/>
          </w:tcPr>
          <w:p>
            <w:pPr>
              <w:jc w:val="right"/>
              <w:spacing w:after="0"/>
              <w:rPr>
                <w:sz w:val="20"/>
                <w:szCs w:val="20"/>
                <w:color w:val="auto"/>
              </w:rPr>
            </w:pPr>
            <w:r>
              <w:rPr>
                <w:rFonts w:ascii="Arial" w:cs="Arial" w:eastAsia="Arial" w:hAnsi="Arial"/>
                <w:sz w:val="18"/>
                <w:szCs w:val="18"/>
                <w:color w:val="auto"/>
              </w:rPr>
              <w:t>2,629</w:t>
            </w: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1,532</w:t>
            </w:r>
          </w:p>
        </w:tc>
        <w:tc>
          <w:tcPr>
            <w:tcW w:w="2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30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300" w:type="dxa"/>
            <w:vAlign w:val="bottom"/>
          </w:tcPr>
          <w:p>
            <w:pPr>
              <w:spacing w:after="0"/>
              <w:rPr>
                <w:sz w:val="18"/>
                <w:szCs w:val="18"/>
                <w:color w:val="auto"/>
              </w:rPr>
            </w:pPr>
          </w:p>
        </w:tc>
        <w:tc>
          <w:tcPr>
            <w:tcW w:w="2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5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87"/>
              </w:rPr>
              <w:t>48,333</w:t>
            </w: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44,397</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300" w:type="dxa"/>
            <w:vAlign w:val="bottom"/>
          </w:tcPr>
          <w:p>
            <w:pPr>
              <w:spacing w:after="0"/>
              <w:rPr>
                <w:sz w:val="19"/>
                <w:szCs w:val="19"/>
                <w:color w:val="auto"/>
              </w:rPr>
            </w:pPr>
          </w:p>
        </w:tc>
        <w:tc>
          <w:tcPr>
            <w:tcW w:w="3880" w:type="dxa"/>
            <w:vAlign w:val="bottom"/>
            <w:gridSpan w:val="4"/>
          </w:tcPr>
          <w:p>
            <w:pPr>
              <w:spacing w:after="0"/>
              <w:rPr>
                <w:sz w:val="20"/>
                <w:szCs w:val="20"/>
                <w:color w:val="auto"/>
              </w:rPr>
            </w:pPr>
            <w:r>
              <w:rPr>
                <w:rFonts w:ascii="Arial" w:cs="Arial" w:eastAsia="Arial" w:hAnsi="Arial"/>
                <w:sz w:val="18"/>
                <w:szCs w:val="18"/>
                <w:color w:val="auto"/>
                <w:w w:val="98"/>
              </w:rPr>
              <w:t>Less: accumulated depreciation and amortization</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0" w:type="dxa"/>
            <w:vAlign w:val="bottom"/>
            <w:gridSpan w:val="5"/>
          </w:tcPr>
          <w:p>
            <w:pPr>
              <w:jc w:val="right"/>
              <w:ind w:right="32"/>
              <w:spacing w:after="0"/>
              <w:rPr>
                <w:sz w:val="20"/>
                <w:szCs w:val="20"/>
                <w:color w:val="auto"/>
              </w:rPr>
            </w:pPr>
            <w:r>
              <w:rPr>
                <w:rFonts w:ascii="Arial" w:cs="Arial" w:eastAsia="Arial" w:hAnsi="Arial"/>
                <w:sz w:val="18"/>
                <w:szCs w:val="18"/>
                <w:color w:val="auto"/>
              </w:rPr>
              <w:t>(35,790)</w:t>
            </w: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(32,140)</w:t>
            </w:r>
          </w:p>
        </w:tc>
        <w:tc>
          <w:tcPr>
            <w:tcW w:w="2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30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300" w:type="dxa"/>
            <w:vAlign w:val="bottom"/>
          </w:tcPr>
          <w:p>
            <w:pPr>
              <w:spacing w:after="0"/>
              <w:rPr>
                <w:sz w:val="18"/>
                <w:szCs w:val="18"/>
                <w:color w:val="auto"/>
              </w:rPr>
            </w:pPr>
          </w:p>
        </w:tc>
        <w:tc>
          <w:tcPr>
            <w:tcW w:w="2820" w:type="dxa"/>
            <w:vAlign w:val="bottom"/>
            <w:shd w:val="clear" w:color="auto" w:fill="CCEEFF"/>
          </w:tcPr>
          <w:p>
            <w:pPr>
              <w:ind w:left="120"/>
              <w:spacing w:after="0"/>
              <w:rPr>
                <w:sz w:val="20"/>
                <w:szCs w:val="20"/>
                <w:color w:val="auto"/>
              </w:rPr>
            </w:pPr>
            <w:r>
              <w:rPr>
                <w:rFonts w:ascii="Arial" w:cs="Arial" w:eastAsia="Arial" w:hAnsi="Arial"/>
                <w:sz w:val="18"/>
                <w:szCs w:val="18"/>
                <w:color w:val="auto"/>
                <w:w w:val="99"/>
              </w:rPr>
              <w:t>Total property and equipment, net</w:t>
            </w: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shd w:val="clear" w:color="auto" w:fill="CCEEFF"/>
          </w:tcPr>
          <w:p>
            <w:pPr>
              <w:spacing w:after="0"/>
              <w:rPr>
                <w:sz w:val="18"/>
                <w:szCs w:val="18"/>
                <w:color w:val="auto"/>
              </w:rPr>
            </w:pPr>
          </w:p>
        </w:tc>
        <w:tc>
          <w:tcPr>
            <w:tcW w:w="5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87"/>
              </w:rPr>
              <w:t>12,543</w:t>
            </w:r>
          </w:p>
        </w:tc>
        <w:tc>
          <w:tcPr>
            <w:tcW w:w="420" w:type="dxa"/>
            <w:vAlign w:val="bottom"/>
            <w:gridSpan w:val="2"/>
            <w:shd w:val="clear" w:color="auto" w:fill="CCEEFF"/>
          </w:tcPr>
          <w:p>
            <w:pPr>
              <w:jc w:val="right"/>
              <w:ind w:right="97"/>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12,257</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300" w:type="dxa"/>
            <w:vAlign w:val="bottom"/>
          </w:tcPr>
          <w:p>
            <w:pPr>
              <w:spacing w:after="0"/>
              <w:rPr>
                <w:sz w:val="2"/>
                <w:szCs w:val="2"/>
                <w:color w:val="auto"/>
              </w:rPr>
            </w:pPr>
          </w:p>
        </w:tc>
        <w:tc>
          <w:tcPr>
            <w:tcW w:w="28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vMerge w:val="restart"/>
          </w:tcPr>
          <w:p>
            <w:pPr>
              <w:jc w:val="right"/>
              <w:ind w:right="134"/>
              <w:spacing w:after="0"/>
              <w:rPr>
                <w:sz w:val="20"/>
                <w:szCs w:val="20"/>
                <w:color w:val="auto"/>
              </w:rPr>
            </w:pPr>
            <w:r>
              <w:rPr>
                <w:rFonts w:ascii="Arial" w:cs="Arial" w:eastAsia="Arial" w:hAnsi="Arial"/>
                <w:sz w:val="18"/>
                <w:szCs w:val="18"/>
                <w:color w:val="auto"/>
              </w:rPr>
              <w:t>11</w:t>
            </w:r>
          </w:p>
        </w:tc>
        <w:tc>
          <w:tcPr>
            <w:tcW w:w="16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22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30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vMerge w:val="continu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1"/>
        </w:trPr>
        <w:tc>
          <w:tcPr>
            <w:tcW w:w="2300" w:type="dxa"/>
            <w:vAlign w:val="bottom"/>
          </w:tcPr>
          <w:p>
            <w:pPr>
              <w:spacing w:after="0"/>
              <w:rPr>
                <w:sz w:val="24"/>
                <w:szCs w:val="24"/>
                <w:color w:val="auto"/>
              </w:rPr>
            </w:pPr>
          </w:p>
        </w:tc>
        <w:tc>
          <w:tcPr>
            <w:tcW w:w="28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2300" w:type="dxa"/>
            <w:vAlign w:val="bottom"/>
            <w:tcBorders>
              <w:bottom w:val="single" w:sz="8" w:color="808080"/>
            </w:tcBorders>
          </w:tcPr>
          <w:p>
            <w:pPr>
              <w:spacing w:after="0"/>
              <w:rPr>
                <w:sz w:val="19"/>
                <w:szCs w:val="19"/>
                <w:color w:val="auto"/>
              </w:rPr>
            </w:pPr>
          </w:p>
        </w:tc>
        <w:tc>
          <w:tcPr>
            <w:tcW w:w="282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72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74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26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70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228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2" w:name="page13"/>
    <w:bookmarkEnd w:id="1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TREE.COM, INC. AND SUBSIDIARIES</w:t>
      </w:r>
    </w:p>
    <w:p>
      <w:pPr>
        <w:spacing w:after="0" w:line="225" w:lineRule="exact"/>
        <w:rPr>
          <w:sz w:val="20"/>
          <w:szCs w:val="20"/>
          <w:color w:val="auto"/>
        </w:rPr>
      </w:pPr>
    </w:p>
    <w:p>
      <w:pPr>
        <w:ind w:left="294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5—ACCRUED EXPENSES AND OTHER CURRENT LIABILITIES</w:t>
      </w:r>
    </w:p>
    <w:p>
      <w:pPr>
        <w:spacing w:after="0" w:line="23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Accrued expenses and other current liabilities consist of the following (in thousands):</w:t>
      </w:r>
    </w:p>
    <w:p>
      <w:pPr>
        <w:spacing w:after="0" w:line="275" w:lineRule="exact"/>
        <w:rPr>
          <w:sz w:val="20"/>
          <w:szCs w:val="20"/>
          <w:color w:val="auto"/>
        </w:rPr>
      </w:pPr>
    </w:p>
    <w:tbl>
      <w:tblPr>
        <w:tblLayout w:type="fixed"/>
        <w:tblInd w:w="2300" w:type="dxa"/>
        <w:tblCellMar>
          <w:top w:w="0" w:type="dxa"/>
          <w:left w:w="0" w:type="dxa"/>
          <w:bottom w:w="0" w:type="dxa"/>
          <w:right w:w="0" w:type="dxa"/>
        </w:tblCellMar>
      </w:tblPr>
      <w:tr>
        <w:trPr>
          <w:trHeight w:val="161"/>
        </w:trPr>
        <w:tc>
          <w:tcPr>
            <w:tcW w:w="3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tcPr>
          <w:p>
            <w:pPr>
              <w:jc w:val="right"/>
              <w:ind w:right="14"/>
              <w:spacing w:after="0"/>
              <w:rPr>
                <w:sz w:val="20"/>
                <w:szCs w:val="20"/>
                <w:color w:val="auto"/>
              </w:rPr>
            </w:pPr>
            <w:r>
              <w:rPr>
                <w:rFonts w:ascii="Arial" w:cs="Arial" w:eastAsia="Arial" w:hAnsi="Arial"/>
                <w:sz w:val="14"/>
                <w:szCs w:val="14"/>
                <w:b w:val="1"/>
                <w:bCs w:val="1"/>
                <w:color w:val="auto"/>
                <w:w w:val="85"/>
              </w:rPr>
              <w:t>September 30, 2010</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60" w:type="dxa"/>
            <w:vAlign w:val="bottom"/>
            <w:gridSpan w:val="2"/>
          </w:tcPr>
          <w:p>
            <w:pPr>
              <w:spacing w:after="0"/>
              <w:rPr>
                <w:sz w:val="20"/>
                <w:szCs w:val="20"/>
                <w:color w:val="auto"/>
              </w:rPr>
            </w:pPr>
            <w:r>
              <w:rPr>
                <w:rFonts w:ascii="Arial" w:cs="Arial" w:eastAsia="Arial" w:hAnsi="Arial"/>
                <w:sz w:val="14"/>
                <w:szCs w:val="14"/>
                <w:b w:val="1"/>
                <w:bCs w:val="1"/>
                <w:color w:val="auto"/>
              </w:rPr>
              <w:t>December 31, 2009</w:t>
            </w:r>
          </w:p>
        </w:tc>
        <w:tc>
          <w:tcPr>
            <w:tcW w:w="0" w:type="dxa"/>
            <w:vAlign w:val="bottom"/>
          </w:tcPr>
          <w:p>
            <w:pPr>
              <w:spacing w:after="0"/>
              <w:rPr>
                <w:sz w:val="1"/>
                <w:szCs w:val="1"/>
                <w:color w:val="auto"/>
              </w:rPr>
            </w:pPr>
          </w:p>
        </w:tc>
      </w:tr>
      <w:tr>
        <w:trPr>
          <w:trHeight w:val="201"/>
        </w:trPr>
        <w:tc>
          <w:tcPr>
            <w:tcW w:w="39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3"/>
              </w:rPr>
              <w:t>Accrued loan loss liability related to loans previously</w:t>
            </w:r>
          </w:p>
        </w:tc>
        <w:tc>
          <w:tcPr>
            <w:tcW w:w="100" w:type="dxa"/>
            <w:vAlign w:val="bottom"/>
            <w:tcBorders>
              <w:top w:val="single" w:sz="8" w:color="auto"/>
            </w:tcBorders>
            <w:shd w:val="clear" w:color="auto" w:fill="CCEEFF"/>
          </w:tcPr>
          <w:p>
            <w:pPr>
              <w:spacing w:after="0"/>
              <w:rPr>
                <w:sz w:val="17"/>
                <w:szCs w:val="17"/>
                <w:color w:val="auto"/>
              </w:rPr>
            </w:pPr>
          </w:p>
        </w:tc>
        <w:tc>
          <w:tcPr>
            <w:tcW w:w="1240" w:type="dxa"/>
            <w:vAlign w:val="bottom"/>
            <w:tcBorders>
              <w:top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1200" w:type="dxa"/>
            <w:vAlign w:val="bottom"/>
            <w:tcBorders>
              <w:top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39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sold</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6,609</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6,115</w:t>
            </w:r>
          </w:p>
        </w:tc>
        <w:tc>
          <w:tcPr>
            <w:tcW w:w="0" w:type="dxa"/>
            <w:vAlign w:val="bottom"/>
          </w:tcPr>
          <w:p>
            <w:pPr>
              <w:spacing w:after="0"/>
              <w:rPr>
                <w:sz w:val="1"/>
                <w:szCs w:val="1"/>
                <w:color w:val="auto"/>
              </w:rPr>
            </w:pPr>
          </w:p>
        </w:tc>
      </w:tr>
      <w:tr>
        <w:trPr>
          <w:trHeight w:val="208"/>
        </w:trPr>
        <w:tc>
          <w:tcPr>
            <w:tcW w:w="3900" w:type="dxa"/>
            <w:vAlign w:val="bottom"/>
          </w:tcPr>
          <w:p>
            <w:pPr>
              <w:spacing w:after="0"/>
              <w:rPr>
                <w:sz w:val="20"/>
                <w:szCs w:val="20"/>
                <w:color w:val="auto"/>
              </w:rPr>
            </w:pPr>
            <w:r>
              <w:rPr>
                <w:rFonts w:ascii="Arial" w:cs="Arial" w:eastAsia="Arial" w:hAnsi="Arial"/>
                <w:sz w:val="18"/>
                <w:szCs w:val="18"/>
                <w:color w:val="auto"/>
              </w:rPr>
              <w:t>Loan loss settlement liability related to loans</w:t>
            </w: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900" w:type="dxa"/>
            <w:vAlign w:val="bottom"/>
          </w:tcPr>
          <w:p>
            <w:pPr>
              <w:ind w:left="180"/>
              <w:spacing w:after="0"/>
              <w:rPr>
                <w:sz w:val="20"/>
                <w:szCs w:val="20"/>
                <w:color w:val="auto"/>
              </w:rPr>
            </w:pPr>
            <w:r>
              <w:rPr>
                <w:rFonts w:ascii="Arial" w:cs="Arial" w:eastAsia="Arial" w:hAnsi="Arial"/>
                <w:sz w:val="18"/>
                <w:szCs w:val="18"/>
                <w:color w:val="auto"/>
              </w:rPr>
              <w:t>previously sold</w:t>
            </w:r>
          </w:p>
        </w:tc>
        <w:tc>
          <w:tcPr>
            <w:tcW w:w="1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1,350</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4,500</w:t>
            </w:r>
          </w:p>
        </w:tc>
        <w:tc>
          <w:tcPr>
            <w:tcW w:w="0" w:type="dxa"/>
            <w:vAlign w:val="bottom"/>
          </w:tcPr>
          <w:p>
            <w:pPr>
              <w:spacing w:after="0"/>
              <w:rPr>
                <w:sz w:val="1"/>
                <w:szCs w:val="1"/>
                <w:color w:val="auto"/>
              </w:rPr>
            </w:pPr>
          </w:p>
        </w:tc>
      </w:tr>
      <w:tr>
        <w:trPr>
          <w:trHeight w:val="218"/>
        </w:trPr>
        <w:tc>
          <w:tcPr>
            <w:tcW w:w="3900" w:type="dxa"/>
            <w:vAlign w:val="bottom"/>
            <w:shd w:val="clear" w:color="auto" w:fill="CCEEFF"/>
          </w:tcPr>
          <w:p>
            <w:pPr>
              <w:spacing w:after="0"/>
              <w:rPr>
                <w:sz w:val="20"/>
                <w:szCs w:val="20"/>
                <w:color w:val="auto"/>
              </w:rPr>
            </w:pPr>
            <w:r>
              <w:rPr>
                <w:rFonts w:ascii="Arial" w:cs="Arial" w:eastAsia="Arial" w:hAnsi="Arial"/>
                <w:sz w:val="18"/>
                <w:szCs w:val="18"/>
                <w:color w:val="auto"/>
              </w:rPr>
              <w:t>Litigation accruals</w:t>
            </w:r>
          </w:p>
        </w:tc>
        <w:tc>
          <w:tcPr>
            <w:tcW w:w="1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1,500</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12,750</w:t>
            </w:r>
          </w:p>
        </w:tc>
        <w:tc>
          <w:tcPr>
            <w:tcW w:w="0" w:type="dxa"/>
            <w:vAlign w:val="bottom"/>
          </w:tcPr>
          <w:p>
            <w:pPr>
              <w:spacing w:after="0"/>
              <w:rPr>
                <w:sz w:val="1"/>
                <w:szCs w:val="1"/>
                <w:color w:val="auto"/>
              </w:rPr>
            </w:pPr>
          </w:p>
        </w:tc>
      </w:tr>
      <w:tr>
        <w:trPr>
          <w:trHeight w:val="216"/>
        </w:trPr>
        <w:tc>
          <w:tcPr>
            <w:tcW w:w="3900" w:type="dxa"/>
            <w:vAlign w:val="bottom"/>
          </w:tcPr>
          <w:p>
            <w:pPr>
              <w:spacing w:after="0"/>
              <w:rPr>
                <w:sz w:val="20"/>
                <w:szCs w:val="20"/>
                <w:color w:val="auto"/>
              </w:rPr>
            </w:pPr>
            <w:r>
              <w:rPr>
                <w:rFonts w:ascii="Arial" w:cs="Arial" w:eastAsia="Arial" w:hAnsi="Arial"/>
                <w:sz w:val="18"/>
                <w:szCs w:val="18"/>
                <w:color w:val="auto"/>
              </w:rPr>
              <w:t>Accrued advertising expense</w:t>
            </w:r>
          </w:p>
        </w:tc>
        <w:tc>
          <w:tcPr>
            <w:tcW w:w="1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8,027</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8,095</w:t>
            </w:r>
          </w:p>
        </w:tc>
        <w:tc>
          <w:tcPr>
            <w:tcW w:w="0" w:type="dxa"/>
            <w:vAlign w:val="bottom"/>
          </w:tcPr>
          <w:p>
            <w:pPr>
              <w:spacing w:after="0"/>
              <w:rPr>
                <w:sz w:val="1"/>
                <w:szCs w:val="1"/>
                <w:color w:val="auto"/>
              </w:rPr>
            </w:pPr>
          </w:p>
        </w:tc>
      </w:tr>
      <w:tr>
        <w:trPr>
          <w:trHeight w:val="216"/>
        </w:trPr>
        <w:tc>
          <w:tcPr>
            <w:tcW w:w="3900" w:type="dxa"/>
            <w:vAlign w:val="bottom"/>
            <w:shd w:val="clear" w:color="auto" w:fill="CCEEFF"/>
          </w:tcPr>
          <w:p>
            <w:pPr>
              <w:spacing w:after="0"/>
              <w:rPr>
                <w:sz w:val="20"/>
                <w:szCs w:val="20"/>
                <w:color w:val="auto"/>
              </w:rPr>
            </w:pPr>
            <w:r>
              <w:rPr>
                <w:rFonts w:ascii="Arial" w:cs="Arial" w:eastAsia="Arial" w:hAnsi="Arial"/>
                <w:sz w:val="18"/>
                <w:szCs w:val="18"/>
                <w:color w:val="auto"/>
              </w:rPr>
              <w:t>Accrued compensation and benefits</w:t>
            </w:r>
          </w:p>
        </w:tc>
        <w:tc>
          <w:tcPr>
            <w:tcW w:w="1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6,701</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7,525</w:t>
            </w:r>
          </w:p>
        </w:tc>
        <w:tc>
          <w:tcPr>
            <w:tcW w:w="0" w:type="dxa"/>
            <w:vAlign w:val="bottom"/>
          </w:tcPr>
          <w:p>
            <w:pPr>
              <w:spacing w:after="0"/>
              <w:rPr>
                <w:sz w:val="1"/>
                <w:szCs w:val="1"/>
                <w:color w:val="auto"/>
              </w:rPr>
            </w:pPr>
          </w:p>
        </w:tc>
      </w:tr>
      <w:tr>
        <w:trPr>
          <w:trHeight w:val="216"/>
        </w:trPr>
        <w:tc>
          <w:tcPr>
            <w:tcW w:w="3900" w:type="dxa"/>
            <w:vAlign w:val="bottom"/>
          </w:tcPr>
          <w:p>
            <w:pPr>
              <w:spacing w:after="0"/>
              <w:rPr>
                <w:sz w:val="20"/>
                <w:szCs w:val="20"/>
                <w:color w:val="auto"/>
              </w:rPr>
            </w:pPr>
            <w:r>
              <w:rPr>
                <w:rFonts w:ascii="Arial" w:cs="Arial" w:eastAsia="Arial" w:hAnsi="Arial"/>
                <w:sz w:val="18"/>
                <w:szCs w:val="18"/>
                <w:color w:val="auto"/>
              </w:rPr>
              <w:t>Accrued professional fees</w:t>
            </w:r>
          </w:p>
        </w:tc>
        <w:tc>
          <w:tcPr>
            <w:tcW w:w="1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1,026</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1,528</w:t>
            </w:r>
          </w:p>
        </w:tc>
        <w:tc>
          <w:tcPr>
            <w:tcW w:w="0" w:type="dxa"/>
            <w:vAlign w:val="bottom"/>
          </w:tcPr>
          <w:p>
            <w:pPr>
              <w:spacing w:after="0"/>
              <w:rPr>
                <w:sz w:val="1"/>
                <w:szCs w:val="1"/>
                <w:color w:val="auto"/>
              </w:rPr>
            </w:pPr>
          </w:p>
        </w:tc>
      </w:tr>
      <w:tr>
        <w:trPr>
          <w:trHeight w:val="216"/>
        </w:trPr>
        <w:tc>
          <w:tcPr>
            <w:tcW w:w="3900" w:type="dxa"/>
            <w:vAlign w:val="bottom"/>
            <w:shd w:val="clear" w:color="auto" w:fill="CCEEFF"/>
          </w:tcPr>
          <w:p>
            <w:pPr>
              <w:spacing w:after="0"/>
              <w:rPr>
                <w:sz w:val="20"/>
                <w:szCs w:val="20"/>
                <w:color w:val="auto"/>
              </w:rPr>
            </w:pPr>
            <w:r>
              <w:rPr>
                <w:rFonts w:ascii="Arial" w:cs="Arial" w:eastAsia="Arial" w:hAnsi="Arial"/>
                <w:sz w:val="18"/>
                <w:szCs w:val="18"/>
                <w:color w:val="auto"/>
              </w:rPr>
              <w:t>Accrued restructuring costs</w:t>
            </w:r>
          </w:p>
        </w:tc>
        <w:tc>
          <w:tcPr>
            <w:tcW w:w="1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910</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1,848</w:t>
            </w:r>
          </w:p>
        </w:tc>
        <w:tc>
          <w:tcPr>
            <w:tcW w:w="0" w:type="dxa"/>
            <w:vAlign w:val="bottom"/>
          </w:tcPr>
          <w:p>
            <w:pPr>
              <w:spacing w:after="0"/>
              <w:rPr>
                <w:sz w:val="1"/>
                <w:szCs w:val="1"/>
                <w:color w:val="auto"/>
              </w:rPr>
            </w:pPr>
          </w:p>
        </w:tc>
      </w:tr>
      <w:tr>
        <w:trPr>
          <w:trHeight w:val="216"/>
        </w:trPr>
        <w:tc>
          <w:tcPr>
            <w:tcW w:w="3900" w:type="dxa"/>
            <w:vAlign w:val="bottom"/>
          </w:tcPr>
          <w:p>
            <w:pPr>
              <w:spacing w:after="0"/>
              <w:rPr>
                <w:sz w:val="20"/>
                <w:szCs w:val="20"/>
                <w:color w:val="auto"/>
              </w:rPr>
            </w:pPr>
            <w:r>
              <w:rPr>
                <w:rFonts w:ascii="Arial" w:cs="Arial" w:eastAsia="Arial" w:hAnsi="Arial"/>
                <w:sz w:val="18"/>
                <w:szCs w:val="18"/>
                <w:color w:val="auto"/>
              </w:rPr>
              <w:t>Derivative liabilities</w:t>
            </w:r>
          </w:p>
        </w:tc>
        <w:tc>
          <w:tcPr>
            <w:tcW w:w="1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832</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356</w:t>
            </w:r>
          </w:p>
        </w:tc>
        <w:tc>
          <w:tcPr>
            <w:tcW w:w="0" w:type="dxa"/>
            <w:vAlign w:val="bottom"/>
          </w:tcPr>
          <w:p>
            <w:pPr>
              <w:spacing w:after="0"/>
              <w:rPr>
                <w:sz w:val="1"/>
                <w:szCs w:val="1"/>
                <w:color w:val="auto"/>
              </w:rPr>
            </w:pPr>
          </w:p>
        </w:tc>
      </w:tr>
      <w:tr>
        <w:trPr>
          <w:trHeight w:val="216"/>
        </w:trPr>
        <w:tc>
          <w:tcPr>
            <w:tcW w:w="3900" w:type="dxa"/>
            <w:vAlign w:val="bottom"/>
            <w:shd w:val="clear" w:color="auto" w:fill="CCEEFF"/>
          </w:tcPr>
          <w:p>
            <w:pPr>
              <w:spacing w:after="0"/>
              <w:rPr>
                <w:sz w:val="20"/>
                <w:szCs w:val="20"/>
                <w:color w:val="auto"/>
              </w:rPr>
            </w:pPr>
            <w:r>
              <w:rPr>
                <w:rFonts w:ascii="Arial" w:cs="Arial" w:eastAsia="Arial" w:hAnsi="Arial"/>
                <w:sz w:val="18"/>
                <w:szCs w:val="18"/>
                <w:color w:val="auto"/>
              </w:rPr>
              <w:t>Customer deposits and escrows</w:t>
            </w:r>
          </w:p>
        </w:tc>
        <w:tc>
          <w:tcPr>
            <w:tcW w:w="1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4,088</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3,387</w:t>
            </w:r>
          </w:p>
        </w:tc>
        <w:tc>
          <w:tcPr>
            <w:tcW w:w="0" w:type="dxa"/>
            <w:vAlign w:val="bottom"/>
          </w:tcPr>
          <w:p>
            <w:pPr>
              <w:spacing w:after="0"/>
              <w:rPr>
                <w:sz w:val="1"/>
                <w:szCs w:val="1"/>
                <w:color w:val="auto"/>
              </w:rPr>
            </w:pPr>
          </w:p>
        </w:tc>
      </w:tr>
      <w:tr>
        <w:trPr>
          <w:trHeight w:val="216"/>
        </w:trPr>
        <w:tc>
          <w:tcPr>
            <w:tcW w:w="3900" w:type="dxa"/>
            <w:vAlign w:val="bottom"/>
          </w:tcPr>
          <w:p>
            <w:pPr>
              <w:spacing w:after="0"/>
              <w:rPr>
                <w:sz w:val="20"/>
                <w:szCs w:val="20"/>
                <w:color w:val="auto"/>
              </w:rPr>
            </w:pPr>
            <w:r>
              <w:rPr>
                <w:rFonts w:ascii="Arial" w:cs="Arial" w:eastAsia="Arial" w:hAnsi="Arial"/>
                <w:sz w:val="18"/>
                <w:szCs w:val="18"/>
                <w:color w:val="auto"/>
              </w:rPr>
              <w:t>Deferred rent</w:t>
            </w:r>
          </w:p>
        </w:tc>
        <w:tc>
          <w:tcPr>
            <w:tcW w:w="1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486</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793</w:t>
            </w:r>
          </w:p>
        </w:tc>
        <w:tc>
          <w:tcPr>
            <w:tcW w:w="0" w:type="dxa"/>
            <w:vAlign w:val="bottom"/>
          </w:tcPr>
          <w:p>
            <w:pPr>
              <w:spacing w:after="0"/>
              <w:rPr>
                <w:sz w:val="1"/>
                <w:szCs w:val="1"/>
                <w:color w:val="auto"/>
              </w:rPr>
            </w:pPr>
          </w:p>
        </w:tc>
      </w:tr>
      <w:tr>
        <w:trPr>
          <w:trHeight w:val="216"/>
        </w:trPr>
        <w:tc>
          <w:tcPr>
            <w:tcW w:w="390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1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8,277</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7,797</w:t>
            </w:r>
          </w:p>
        </w:tc>
        <w:tc>
          <w:tcPr>
            <w:tcW w:w="0" w:type="dxa"/>
            <w:vAlign w:val="bottom"/>
          </w:tcPr>
          <w:p>
            <w:pPr>
              <w:spacing w:after="0"/>
              <w:rPr>
                <w:sz w:val="1"/>
                <w:szCs w:val="1"/>
                <w:color w:val="auto"/>
              </w:rPr>
            </w:pPr>
          </w:p>
        </w:tc>
      </w:tr>
      <w:tr>
        <w:trPr>
          <w:trHeight w:val="27"/>
        </w:trPr>
        <w:tc>
          <w:tcPr>
            <w:tcW w:w="3900" w:type="dxa"/>
            <w:vAlign w:val="bottom"/>
            <w:vMerge w:val="restart"/>
          </w:tcPr>
          <w:p>
            <w:pPr>
              <w:ind w:left="120"/>
              <w:spacing w:after="0"/>
              <w:rPr>
                <w:sz w:val="20"/>
                <w:szCs w:val="20"/>
                <w:color w:val="auto"/>
              </w:rPr>
            </w:pPr>
            <w:r>
              <w:rPr>
                <w:rFonts w:ascii="Arial" w:cs="Arial" w:eastAsia="Arial" w:hAnsi="Arial"/>
                <w:sz w:val="18"/>
                <w:szCs w:val="18"/>
                <w:color w:val="auto"/>
                <w:w w:val="92"/>
              </w:rPr>
              <w:t>Total accrued expenses and other current liabilities</w:t>
            </w: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40" w:type="dxa"/>
            <w:vAlign w:val="bottom"/>
            <w:gridSpan w:val="2"/>
          </w:tcPr>
          <w:p>
            <w:pPr>
              <w:spacing w:after="0"/>
              <w:rPr>
                <w:sz w:val="2"/>
                <w:szCs w:val="2"/>
                <w:color w:val="auto"/>
              </w:rPr>
            </w:pPr>
          </w:p>
        </w:tc>
        <w:tc>
          <w:tcPr>
            <w:tcW w:w="136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3900" w:type="dxa"/>
            <w:vAlign w:val="bottom"/>
            <w:vMerge w:val="continue"/>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39,806</w:t>
            </w:r>
          </w:p>
        </w:tc>
        <w:tc>
          <w:tcPr>
            <w:tcW w:w="160" w:type="dxa"/>
            <w:vAlign w:val="bottom"/>
          </w:tcPr>
          <w:p>
            <w:pPr>
              <w:spacing w:after="0"/>
              <w:rPr>
                <w:sz w:val="18"/>
                <w:szCs w:val="18"/>
                <w:color w:val="auto"/>
              </w:rPr>
            </w:pP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54,694</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39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39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ind w:right="260" w:firstLine="348"/>
        <w:spacing w:after="0" w:line="268" w:lineRule="auto"/>
        <w:rPr>
          <w:sz w:val="20"/>
          <w:szCs w:val="20"/>
          <w:color w:val="auto"/>
        </w:rPr>
      </w:pPr>
      <w:r>
        <w:rPr>
          <w:rFonts w:ascii="Arial" w:cs="Arial" w:eastAsia="Arial" w:hAnsi="Arial"/>
          <w:sz w:val="18"/>
          <w:szCs w:val="18"/>
          <w:color w:val="auto"/>
        </w:rPr>
        <w:t>The other category above reflects an earnout payable related to an acquisition, franchise taxes, self-insured health claims and other miscellaneous accrued expenses.</w:t>
      </w:r>
    </w:p>
    <w:p>
      <w:pPr>
        <w:spacing w:after="0" w:line="186" w:lineRule="exact"/>
        <w:rPr>
          <w:sz w:val="20"/>
          <w:szCs w:val="20"/>
          <w:color w:val="auto"/>
        </w:rPr>
      </w:pPr>
    </w:p>
    <w:p>
      <w:pPr>
        <w:ind w:right="600" w:firstLine="341"/>
        <w:spacing w:after="0" w:line="268" w:lineRule="auto"/>
        <w:rPr>
          <w:sz w:val="20"/>
          <w:szCs w:val="20"/>
          <w:color w:val="auto"/>
        </w:rPr>
      </w:pPr>
      <w:r>
        <w:rPr>
          <w:rFonts w:ascii="Arial" w:cs="Arial" w:eastAsia="Arial" w:hAnsi="Arial"/>
          <w:sz w:val="18"/>
          <w:szCs w:val="18"/>
          <w:color w:val="auto"/>
        </w:rPr>
        <w:t>An additional $8.3 million and $6.4 million of accrued loan loss liability related to loans previously sold are classified in other long term liabilities at September 30, 2010 and December 31, 2009, respectively.</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6—WAREHOUSE LINES OF CREDIT</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6"/>
          <w:szCs w:val="16"/>
          <w:color w:val="auto"/>
        </w:rPr>
        <w:t>Borrowings on warehouse lines of credit were $140.1 million and $78.5 million at September 30, 2010 and December 31, 2009, respectively.</w:t>
      </w:r>
    </w:p>
    <w:p>
      <w:pPr>
        <w:spacing w:after="0" w:line="248" w:lineRule="exact"/>
        <w:rPr>
          <w:sz w:val="20"/>
          <w:szCs w:val="20"/>
          <w:color w:val="auto"/>
        </w:rPr>
      </w:pPr>
    </w:p>
    <w:p>
      <w:pPr>
        <w:ind w:firstLine="341"/>
        <w:spacing w:after="0" w:line="298" w:lineRule="auto"/>
        <w:rPr>
          <w:sz w:val="20"/>
          <w:szCs w:val="20"/>
          <w:color w:val="auto"/>
        </w:rPr>
      </w:pPr>
      <w:r>
        <w:rPr>
          <w:rFonts w:ascii="Arial" w:cs="Arial" w:eastAsia="Arial" w:hAnsi="Arial"/>
          <w:sz w:val="16"/>
          <w:szCs w:val="16"/>
          <w:color w:val="auto"/>
        </w:rPr>
        <w:t>As of September 30, 2010, LendingTree Loans had two committed lines of credit totaling $125.0 million of borrowing capacity. The total borrowing capacity under these lines was increased to $150.0 million effective October 29, 2010 upon renewal of the second line. LendingTree Loans also has a $25.0 million uncommitted line with one of these lenders. Borrowings under these lines of credit are used to fund, and are secured by, consumer residential loans that are held for sale. Loans under these lines of credit are repaid using proceeds from the sales of loans held for sale by LendingTree Loans.</w:t>
      </w:r>
    </w:p>
    <w:p>
      <w:pPr>
        <w:spacing w:after="0" w:line="167" w:lineRule="exact"/>
        <w:rPr>
          <w:sz w:val="20"/>
          <w:szCs w:val="20"/>
          <w:color w:val="auto"/>
        </w:rPr>
      </w:pPr>
    </w:p>
    <w:p>
      <w:pPr>
        <w:ind w:right="40" w:firstLine="348"/>
        <w:spacing w:after="0" w:line="284" w:lineRule="auto"/>
        <w:rPr>
          <w:sz w:val="20"/>
          <w:szCs w:val="20"/>
          <w:color w:val="auto"/>
        </w:rPr>
      </w:pPr>
      <w:r>
        <w:rPr>
          <w:rFonts w:ascii="Arial" w:cs="Arial" w:eastAsia="Arial" w:hAnsi="Arial"/>
          <w:sz w:val="16"/>
          <w:szCs w:val="16"/>
          <w:color w:val="auto"/>
        </w:rPr>
        <w:t>The $50.0 million first line is scheduled to expire June 29, 2011. This line can be cancelled at the option of the lender without default upon sixty days notice. This first line includes an additional uncommitted credit facility of $25.0 million. This first line is also guaranteed by Tree.com, Inc., LendingTree, LLC and LendingTree Holdings Corp. The interest rate under the first line is 2.25% plus the greater of (a) 30-day LIBOR or (b) 2.00%. The interest rate under the</w:t>
      </w:r>
    </w:p>
    <w:p>
      <w:pPr>
        <w:spacing w:after="0" w:line="1" w:lineRule="exact"/>
        <w:rPr>
          <w:sz w:val="20"/>
          <w:szCs w:val="20"/>
          <w:color w:val="auto"/>
        </w:rPr>
      </w:pPr>
    </w:p>
    <w:p>
      <w:pPr>
        <w:ind w:right="40"/>
        <w:spacing w:after="0" w:line="261" w:lineRule="auto"/>
        <w:rPr>
          <w:sz w:val="20"/>
          <w:szCs w:val="20"/>
          <w:color w:val="auto"/>
        </w:rPr>
      </w:pPr>
      <w:r>
        <w:rPr>
          <w:rFonts w:ascii="Arial" w:cs="Arial" w:eastAsia="Arial" w:hAnsi="Arial"/>
          <w:sz w:val="18"/>
          <w:szCs w:val="18"/>
          <w:color w:val="auto"/>
        </w:rPr>
        <w:t>$25.0 million uncommitted line is 30-day LIBOR plus 1.50%. LendingTree Loans is also required to sell at least 25% of the loans it originates to the lender under this line or pay a "pair-off fee" of 0.25% on the difference between the required and actual volume of loans sold.</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3" w:name="page14"/>
    <w:bookmarkEnd w:id="1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TREE.COM, INC. AND SUBSIDIARIES</w:t>
      </w:r>
    </w:p>
    <w:p>
      <w:pPr>
        <w:spacing w:after="0" w:line="225" w:lineRule="exact"/>
        <w:rPr>
          <w:sz w:val="20"/>
          <w:szCs w:val="20"/>
          <w:color w:val="auto"/>
        </w:rPr>
      </w:pPr>
    </w:p>
    <w:p>
      <w:pPr>
        <w:ind w:left="294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6—WAREHOUSE LINES OF CREDIT (Continued)</w:t>
      </w:r>
    </w:p>
    <w:p>
      <w:pPr>
        <w:spacing w:after="0" w:line="231" w:lineRule="exact"/>
        <w:rPr>
          <w:sz w:val="20"/>
          <w:szCs w:val="20"/>
          <w:color w:val="auto"/>
        </w:rPr>
      </w:pPr>
    </w:p>
    <w:p>
      <w:pPr>
        <w:ind w:right="80" w:firstLine="348"/>
        <w:spacing w:after="0" w:line="254" w:lineRule="auto"/>
        <w:rPr>
          <w:sz w:val="20"/>
          <w:szCs w:val="20"/>
          <w:color w:val="auto"/>
        </w:rPr>
      </w:pPr>
      <w:r>
        <w:rPr>
          <w:rFonts w:ascii="Arial" w:cs="Arial" w:eastAsia="Arial" w:hAnsi="Arial"/>
          <w:sz w:val="18"/>
          <w:szCs w:val="18"/>
          <w:color w:val="auto"/>
        </w:rPr>
        <w:t>The borrowing capacity of the second line was increased from $75.0 million to $100.0 million upon renewal of the line effective October 29, 2010. The expiration date of this line is October 28, 2011. This second line is also guaranteed by Tree.com, Inc., LendingTree, LLC and LendingTree Holdings Corp. The interest rate under this line was decreased from 30-day Adjusted LIBOR or 2.0% (whichever is greater) plus 2.50% to 3.0% prior to renewal, to 30-day Adjusted LIBOR or 2.0% (whichever is greater) plus 2.25% to 2.5% after renewal, for loans being sold to the lender. Additionally, the interest rate for loans not being sold to the lender was decreased from 30-day Adjusted LIBOR or 2.0% (whichever is greater) plus 2.75% prior to renewal, to 30-day Adjusted LIBOR or 2.0% (whichever is greater) plus 2.25% after renewal.</w:t>
      </w:r>
    </w:p>
    <w:p>
      <w:pPr>
        <w:spacing w:after="0" w:line="198" w:lineRule="exact"/>
        <w:rPr>
          <w:sz w:val="20"/>
          <w:szCs w:val="20"/>
          <w:color w:val="auto"/>
        </w:rPr>
      </w:pPr>
    </w:p>
    <w:p>
      <w:pPr>
        <w:ind w:firstLine="351"/>
        <w:spacing w:after="0" w:line="298" w:lineRule="auto"/>
        <w:rPr>
          <w:sz w:val="20"/>
          <w:szCs w:val="20"/>
          <w:color w:val="auto"/>
        </w:rPr>
      </w:pPr>
      <w:r>
        <w:rPr>
          <w:rFonts w:ascii="Arial" w:cs="Arial" w:eastAsia="Arial" w:hAnsi="Arial"/>
          <w:sz w:val="16"/>
          <w:szCs w:val="16"/>
          <w:color w:val="auto"/>
        </w:rPr>
        <w:t>Under the terms of these warehouse lines, LendingTree Loans is required to maintain various financial and other covenants. These financial covenants include, but are not limited to, maintaining (i) minimum tangible net worth of $25.0 million, (ii) minimum liquidity, (iii) a minimum current ratio, (iv) a maximum ratio of total liabilities to net worth, (v) a maximum leverage ratio, (vi) pre-tax net income requirements and (vii) a maximum warehouse capacity ratio. During the quarter ended September 30, 2010, LendingTree Loans was in compliance with the covenants under the lines.</w:t>
      </w:r>
    </w:p>
    <w:p>
      <w:pPr>
        <w:spacing w:after="0" w:line="167" w:lineRule="exact"/>
        <w:rPr>
          <w:sz w:val="20"/>
          <w:szCs w:val="20"/>
          <w:color w:val="auto"/>
        </w:rPr>
      </w:pPr>
    </w:p>
    <w:p>
      <w:pPr>
        <w:ind w:right="40" w:firstLine="348"/>
        <w:spacing w:after="0" w:line="256" w:lineRule="auto"/>
        <w:rPr>
          <w:sz w:val="20"/>
          <w:szCs w:val="20"/>
          <w:color w:val="auto"/>
        </w:rPr>
      </w:pPr>
      <w:r>
        <w:rPr>
          <w:rFonts w:ascii="Arial" w:cs="Arial" w:eastAsia="Arial" w:hAnsi="Arial"/>
          <w:sz w:val="18"/>
          <w:szCs w:val="18"/>
          <w:color w:val="auto"/>
        </w:rPr>
        <w:t>The LendingTree Loans business is highly dependent on the availability of these warehouse lines. Although we believe that our existing lines of credit are adequate for our current operations, reductions in our available credit, or the inability to renew or replace these lines, would have a material adverse effect on our business, financial condition and results of operations. Management has determined that it could continue to operate the LendingTree Loans business at a reduced capacity if one, but not both, of the warehouse lines were lost.</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7—SEGMENT INFORMATION</w:t>
      </w:r>
    </w:p>
    <w:p>
      <w:pPr>
        <w:spacing w:after="0" w:line="231" w:lineRule="exact"/>
        <w:rPr>
          <w:sz w:val="20"/>
          <w:szCs w:val="20"/>
          <w:color w:val="auto"/>
        </w:rPr>
      </w:pPr>
    </w:p>
    <w:p>
      <w:pPr>
        <w:ind w:right="20" w:firstLine="348"/>
        <w:spacing w:after="0" w:line="306" w:lineRule="auto"/>
        <w:rPr>
          <w:sz w:val="20"/>
          <w:szCs w:val="20"/>
          <w:color w:val="auto"/>
        </w:rPr>
      </w:pPr>
      <w:r>
        <w:rPr>
          <w:rFonts w:ascii="Arial" w:cs="Arial" w:eastAsia="Arial" w:hAnsi="Arial"/>
          <w:sz w:val="16"/>
          <w:szCs w:val="16"/>
          <w:color w:val="auto"/>
        </w:rPr>
        <w:t>The overall concept that Tree.com employs in determining its reportable segments and related financial information is to present them in a manner consistent with how the chief operating decision maker and executive management view the Tree.com businesses, how the businesses are organized as to segment management, and the focus of the Tree.com businesses with regards to the types of products or services offered or the target market.</w:t>
      </w:r>
    </w:p>
    <w:p>
      <w:pPr>
        <w:spacing w:after="0" w:line="161" w:lineRule="exact"/>
        <w:rPr>
          <w:sz w:val="20"/>
          <w:szCs w:val="20"/>
          <w:color w:val="auto"/>
        </w:rPr>
      </w:pPr>
    </w:p>
    <w:p>
      <w:pPr>
        <w:ind w:right="100" w:firstLine="348"/>
        <w:spacing w:after="0" w:line="306" w:lineRule="auto"/>
        <w:rPr>
          <w:sz w:val="20"/>
          <w:szCs w:val="20"/>
          <w:color w:val="auto"/>
        </w:rPr>
      </w:pPr>
      <w:r>
        <w:rPr>
          <w:rFonts w:ascii="Arial" w:cs="Arial" w:eastAsia="Arial" w:hAnsi="Arial"/>
          <w:sz w:val="16"/>
          <w:szCs w:val="16"/>
          <w:color w:val="auto"/>
        </w:rPr>
        <w:t>The expenses presented below for each of the business segments include an allocation of certain corporate expenses that are identifiable and directly benefit those segments. The unallocated expenses are those corporate overhead expenses that are not directly attributable to a segment and include: corporate expenses such as finance, legal, executive, technology support, and human resources, as well as elimination of inter-segment revenue and costs.</w:t>
      </w:r>
    </w:p>
    <w:p>
      <w:pPr>
        <w:spacing w:after="0" w:line="161" w:lineRule="exact"/>
        <w:rPr>
          <w:sz w:val="20"/>
          <w:szCs w:val="20"/>
          <w:color w:val="auto"/>
        </w:rPr>
      </w:pPr>
    </w:p>
    <w:p>
      <w:pPr>
        <w:ind w:right="560" w:firstLine="348"/>
        <w:spacing w:after="0" w:line="286" w:lineRule="auto"/>
        <w:rPr>
          <w:sz w:val="20"/>
          <w:szCs w:val="20"/>
          <w:color w:val="auto"/>
        </w:rPr>
      </w:pPr>
      <w:r>
        <w:rPr>
          <w:rFonts w:ascii="Arial" w:cs="Arial" w:eastAsia="Arial" w:hAnsi="Arial"/>
          <w:sz w:val="16"/>
          <w:szCs w:val="16"/>
          <w:color w:val="auto"/>
        </w:rPr>
        <w:t>Tree.com's primary performance metrics are EBITDA and Adjusted EBITDA. EBITDA is defined as earnings before interest, taxes, depreciation and amortization. Adjusted EBITDA is defined as EBITDA excluding (1) non-cash compensation expense, (2) non-cash intangible asset impairment charges,</w:t>
      </w:r>
    </w:p>
    <w:p>
      <w:pPr>
        <w:ind w:right="200" w:firstLine="8"/>
        <w:spacing w:after="0" w:line="253" w:lineRule="auto"/>
        <w:tabs>
          <w:tab w:leader="none" w:pos="249" w:val="left"/>
        </w:tabs>
        <w:numPr>
          <w:ilvl w:val="0"/>
          <w:numId w:val="4"/>
        </w:numPr>
        <w:rPr>
          <w:rFonts w:ascii="Arial" w:cs="Arial" w:eastAsia="Arial" w:hAnsi="Arial"/>
          <w:sz w:val="18"/>
          <w:szCs w:val="18"/>
          <w:color w:val="auto"/>
        </w:rPr>
      </w:pPr>
      <w:r>
        <w:rPr>
          <w:rFonts w:ascii="Arial" w:cs="Arial" w:eastAsia="Arial" w:hAnsi="Arial"/>
          <w:sz w:val="18"/>
          <w:szCs w:val="18"/>
          <w:color w:val="auto"/>
        </w:rPr>
        <w:t>gain/loss on disposal of assets, (4) restructuring expenses, (5) litigation loss contingencies and settlements, (6) pro forma adjustments for significant acquisitions, and (7) one-time items, which are truly one-time in nature and non-recurring, infrequent or unusual, and have not occurred in the past two years or are not expected to recur in the next two years, in accordance with SEC rules. For the periods presented in this report, there are no one-time items. These measures are two of the primary metrics by which Tree.com evaluates the performance of its businesses, on which its internal budgets are based and by which management is compensated. Tree.com believes that investors should</w:t>
      </w:r>
    </w:p>
    <w:p>
      <w:pPr>
        <w:spacing w:after="0" w:line="1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4" w:name="page15"/>
    <w:bookmarkEnd w:id="1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TREE.COM, INC. AND SUBSIDIARIES</w:t>
      </w:r>
    </w:p>
    <w:p>
      <w:pPr>
        <w:spacing w:after="0" w:line="225" w:lineRule="exact"/>
        <w:rPr>
          <w:sz w:val="20"/>
          <w:szCs w:val="20"/>
          <w:color w:val="auto"/>
        </w:rPr>
      </w:pPr>
    </w:p>
    <w:p>
      <w:pPr>
        <w:ind w:left="294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7—SEGMENT INFORMATION (Continued)</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right="60"/>
        <w:spacing w:after="0" w:line="298" w:lineRule="auto"/>
        <w:rPr>
          <w:sz w:val="20"/>
          <w:szCs w:val="20"/>
          <w:color w:val="auto"/>
        </w:rPr>
      </w:pPr>
      <w:r>
        <w:rPr>
          <w:rFonts w:ascii="Arial" w:cs="Arial" w:eastAsia="Arial" w:hAnsi="Arial"/>
          <w:sz w:val="16"/>
          <w:szCs w:val="16"/>
          <w:color w:val="auto"/>
        </w:rPr>
        <w:t>have access to the same set of tools that it uses in analyzing its results. EBITDA and Adjusted EBITDA have certain limitations in that they do not take into account the impact to Tree.com's statement of operations of certain expenses, including depreciation, non-cash compensation and acquisition related accounting. Tree.com endeavors to compensate for the limitations of the non-GAAP measure presented by also providing the comparable GAAP measure with equal or greater prominence and descriptions of the reconciling items, including quantifying such items, to derive the non-GAAP measure.</w:t>
      </w:r>
    </w:p>
    <w:p>
      <w:pPr>
        <w:spacing w:after="0" w:line="167" w:lineRule="exact"/>
        <w:rPr>
          <w:sz w:val="20"/>
          <w:szCs w:val="20"/>
          <w:color w:val="auto"/>
        </w:rPr>
      </w:pPr>
    </w:p>
    <w:p>
      <w:pPr>
        <w:jc w:val="both"/>
        <w:ind w:right="100" w:firstLine="351"/>
        <w:spacing w:after="0" w:line="370" w:lineRule="auto"/>
        <w:rPr>
          <w:sz w:val="20"/>
          <w:szCs w:val="20"/>
          <w:color w:val="auto"/>
        </w:rPr>
      </w:pPr>
      <w:r>
        <w:rPr>
          <w:rFonts w:ascii="Arial" w:cs="Arial" w:eastAsia="Arial" w:hAnsi="Arial"/>
          <w:sz w:val="15"/>
          <w:szCs w:val="15"/>
          <w:color w:val="auto"/>
        </w:rPr>
        <w:t>During the third quarter of 2010, the Company changed its accounting policy for inter-segment revenue and inter-segment marketing expense between the LendingTree Loans and Exchanges segments. This change only impacts the segment results, and does not impact the consolidated financial results of Tree.com.</w:t>
      </w:r>
    </w:p>
    <w:p>
      <w:pPr>
        <w:spacing w:after="0" w:line="116" w:lineRule="exact"/>
        <w:rPr>
          <w:sz w:val="20"/>
          <w:szCs w:val="20"/>
          <w:color w:val="auto"/>
        </w:rPr>
      </w:pPr>
    </w:p>
    <w:p>
      <w:pPr>
        <w:ind w:right="120" w:firstLine="351"/>
        <w:spacing w:after="0" w:line="255" w:lineRule="auto"/>
        <w:rPr>
          <w:sz w:val="20"/>
          <w:szCs w:val="20"/>
          <w:color w:val="auto"/>
        </w:rPr>
      </w:pPr>
      <w:r>
        <w:rPr>
          <w:rFonts w:ascii="Arial" w:cs="Arial" w:eastAsia="Arial" w:hAnsi="Arial"/>
          <w:sz w:val="18"/>
          <w:szCs w:val="18"/>
          <w:color w:val="auto"/>
        </w:rPr>
        <w:t>Marketing expense for the Exchanges is primarily the building and maintaining of the Company's core brands, using both online and offline spending, and generates leads not only for the Exchanges but for other segments as well. Previously, marketing expense for LendingTree Loans was primarily comprised of inter-segment purchases of leads from the Exchanges, leveraging the LendingTree and GetSmart brands. The Exchanges received inter-segment revenue for the sale of these leads, and that revenue and the related marketing expense at LendingTree Loans would then be eliminated in consolidation of the total Company results.</w:t>
      </w:r>
    </w:p>
    <w:p>
      <w:pPr>
        <w:spacing w:after="0" w:line="197" w:lineRule="exact"/>
        <w:rPr>
          <w:sz w:val="20"/>
          <w:szCs w:val="20"/>
          <w:color w:val="auto"/>
        </w:rPr>
      </w:pPr>
    </w:p>
    <w:p>
      <w:pPr>
        <w:ind w:firstLine="348"/>
        <w:spacing w:after="0" w:line="255" w:lineRule="auto"/>
        <w:rPr>
          <w:sz w:val="20"/>
          <w:szCs w:val="20"/>
          <w:color w:val="auto"/>
        </w:rPr>
      </w:pPr>
      <w:r>
        <w:rPr>
          <w:rFonts w:ascii="Arial" w:cs="Arial" w:eastAsia="Arial" w:hAnsi="Arial"/>
          <w:sz w:val="18"/>
          <w:szCs w:val="18"/>
          <w:color w:val="auto"/>
        </w:rPr>
        <w:t>The Company now uses a cost sharing approach for these marketing expenses, whereby LendingTree Loans and the Exchanges now share the marketing expense on a pro rata basis, based on the quantity of leads received by each segment. There is no longer inter-segment revenue or inter-segment marketing expense related to these leads. Management believes that this cost sharing approach is preferable because it more closely aligns the overall goals of the Company with the goals of segment management, and will ultimately drive the Company to better performance. Segment reporting results for prior periods have been restated to conform to the new presentation.</w:t>
      </w:r>
    </w:p>
    <w:p>
      <w:pPr>
        <w:spacing w:after="0" w:line="19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131" w:right="319" w:bottom="1440" w:gutter="0" w:footer="0" w:header="0"/>
        </w:sectPr>
      </w:pPr>
    </w:p>
    <w:bookmarkStart w:id="15" w:name="page16"/>
    <w:bookmarkEnd w:id="1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TREE.COM, INC. AND SUBSIDIARIES</w:t>
      </w:r>
    </w:p>
    <w:p>
      <w:pPr>
        <w:spacing w:after="0" w:line="225" w:lineRule="exact"/>
        <w:rPr>
          <w:sz w:val="20"/>
          <w:szCs w:val="20"/>
          <w:color w:val="auto"/>
        </w:rPr>
      </w:pPr>
    </w:p>
    <w:p>
      <w:pPr>
        <w:ind w:left="294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7—SEGMENT INFORMATION (Continued)</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Summarized information by segment and reconciliation to EBITDA and Adjusted EBITDA is as follows (in thousands):</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39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3100" w:type="dxa"/>
            <w:vAlign w:val="bottom"/>
            <w:tcBorders>
              <w:bottom w:val="single" w:sz="8" w:color="auto"/>
            </w:tcBorders>
            <w:gridSpan w:val="11"/>
          </w:tcPr>
          <w:p>
            <w:pPr>
              <w:jc w:val="center"/>
              <w:ind w:right="200"/>
              <w:spacing w:after="0"/>
              <w:rPr>
                <w:sz w:val="20"/>
                <w:szCs w:val="20"/>
                <w:color w:val="auto"/>
              </w:rPr>
            </w:pPr>
            <w:r>
              <w:rPr>
                <w:rFonts w:ascii="Arial" w:cs="Arial" w:eastAsia="Arial" w:hAnsi="Arial"/>
                <w:sz w:val="14"/>
                <w:szCs w:val="14"/>
                <w:b w:val="1"/>
                <w:bCs w:val="1"/>
                <w:color w:val="auto"/>
                <w:w w:val="88"/>
              </w:rPr>
              <w:t>For the Three Months Ended September 30, 2010:</w:t>
            </w:r>
          </w:p>
        </w:tc>
        <w:tc>
          <w:tcPr>
            <w:tcW w:w="16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1160" w:type="dxa"/>
            <w:vAlign w:val="bottom"/>
          </w:tcPr>
          <w:p>
            <w:pPr>
              <w:spacing w:after="0"/>
              <w:rPr>
                <w:sz w:val="11"/>
                <w:szCs w:val="11"/>
                <w:color w:val="auto"/>
              </w:rPr>
            </w:pPr>
          </w:p>
        </w:tc>
        <w:tc>
          <w:tcPr>
            <w:tcW w:w="39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80" w:type="dxa"/>
            <w:vAlign w:val="bottom"/>
            <w:gridSpan w:val="3"/>
          </w:tcPr>
          <w:p>
            <w:pPr>
              <w:jc w:val="right"/>
              <w:ind w:right="112"/>
              <w:spacing w:after="0" w:line="129" w:lineRule="exact"/>
              <w:rPr>
                <w:sz w:val="20"/>
                <w:szCs w:val="20"/>
                <w:color w:val="auto"/>
              </w:rPr>
            </w:pPr>
            <w:r>
              <w:rPr>
                <w:rFonts w:ascii="Arial" w:cs="Arial" w:eastAsia="Arial" w:hAnsi="Arial"/>
                <w:sz w:val="14"/>
                <w:szCs w:val="14"/>
                <w:b w:val="1"/>
                <w:bCs w:val="1"/>
                <w:color w:val="auto"/>
                <w:w w:val="92"/>
              </w:rPr>
              <w:t>LendingTree</w:t>
            </w: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gridSpan w:val="2"/>
          </w:tcPr>
          <w:p>
            <w:pPr>
              <w:jc w:val="center"/>
              <w:ind w:right="300"/>
              <w:spacing w:after="0" w:line="129" w:lineRule="exact"/>
              <w:rPr>
                <w:sz w:val="20"/>
                <w:szCs w:val="20"/>
                <w:color w:val="auto"/>
              </w:rPr>
            </w:pPr>
            <w:r>
              <w:rPr>
                <w:rFonts w:ascii="Arial" w:cs="Arial" w:eastAsia="Arial" w:hAnsi="Arial"/>
                <w:sz w:val="14"/>
                <w:szCs w:val="14"/>
                <w:b w:val="1"/>
                <w:bCs w:val="1"/>
                <w:color w:val="auto"/>
                <w:w w:val="87"/>
              </w:rPr>
              <w:t>Real</w:t>
            </w:r>
          </w:p>
        </w:tc>
        <w:tc>
          <w:tcPr>
            <w:tcW w:w="1160" w:type="dxa"/>
            <w:vAlign w:val="bottom"/>
            <w:gridSpan w:val="3"/>
          </w:tcPr>
          <w:p>
            <w:pPr>
              <w:jc w:val="right"/>
              <w:ind w:right="240"/>
              <w:spacing w:after="0" w:line="129" w:lineRule="exact"/>
              <w:rPr>
                <w:sz w:val="20"/>
                <w:szCs w:val="20"/>
                <w:color w:val="auto"/>
              </w:rPr>
            </w:pPr>
            <w:r>
              <w:rPr>
                <w:rFonts w:ascii="Arial" w:cs="Arial" w:eastAsia="Arial" w:hAnsi="Arial"/>
                <w:sz w:val="14"/>
                <w:szCs w:val="14"/>
                <w:b w:val="1"/>
                <w:bCs w:val="1"/>
                <w:color w:val="auto"/>
                <w:w w:val="96"/>
              </w:rPr>
              <w:t>Unallocated—</w:t>
            </w: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1160" w:type="dxa"/>
            <w:vAlign w:val="bottom"/>
          </w:tcPr>
          <w:p>
            <w:pPr>
              <w:spacing w:after="0"/>
              <w:rPr>
                <w:sz w:val="14"/>
                <w:szCs w:val="14"/>
                <w:color w:val="auto"/>
              </w:rPr>
            </w:pPr>
          </w:p>
        </w:tc>
        <w:tc>
          <w:tcPr>
            <w:tcW w:w="39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Loans</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80" w:type="dxa"/>
            <w:vAlign w:val="bottom"/>
            <w:tcBorders>
              <w:bottom w:val="single" w:sz="8" w:color="auto"/>
            </w:tcBorders>
            <w:gridSpan w:val="2"/>
          </w:tcPr>
          <w:p>
            <w:pPr>
              <w:jc w:val="right"/>
              <w:ind w:right="12"/>
              <w:spacing w:after="0"/>
              <w:rPr>
                <w:sz w:val="20"/>
                <w:szCs w:val="20"/>
                <w:color w:val="auto"/>
              </w:rPr>
            </w:pPr>
            <w:r>
              <w:rPr>
                <w:rFonts w:ascii="Arial" w:cs="Arial" w:eastAsia="Arial" w:hAnsi="Arial"/>
                <w:sz w:val="14"/>
                <w:szCs w:val="14"/>
                <w:b w:val="1"/>
                <w:bCs w:val="1"/>
                <w:color w:val="auto"/>
                <w:w w:val="89"/>
              </w:rPr>
              <w:t>Exchanges</w:t>
            </w:r>
          </w:p>
        </w:tc>
        <w:tc>
          <w:tcPr>
            <w:tcW w:w="1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center"/>
              <w:ind w:right="34"/>
              <w:spacing w:after="0"/>
              <w:rPr>
                <w:sz w:val="20"/>
                <w:szCs w:val="20"/>
                <w:color w:val="auto"/>
              </w:rPr>
            </w:pPr>
            <w:r>
              <w:rPr>
                <w:rFonts w:ascii="Arial" w:cs="Arial" w:eastAsia="Arial" w:hAnsi="Arial"/>
                <w:sz w:val="14"/>
                <w:szCs w:val="14"/>
                <w:b w:val="1"/>
                <w:bCs w:val="1"/>
                <w:color w:val="auto"/>
                <w:w w:val="85"/>
              </w:rPr>
              <w:t>Estate</w:t>
            </w:r>
          </w:p>
        </w:tc>
        <w:tc>
          <w:tcPr>
            <w:tcW w:w="1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113"/>
              <w:spacing w:after="0"/>
              <w:rPr>
                <w:sz w:val="20"/>
                <w:szCs w:val="20"/>
                <w:color w:val="auto"/>
              </w:rPr>
            </w:pPr>
            <w:r>
              <w:rPr>
                <w:rFonts w:ascii="Arial" w:cs="Arial" w:eastAsia="Arial" w:hAnsi="Arial"/>
                <w:sz w:val="14"/>
                <w:szCs w:val="14"/>
                <w:b w:val="1"/>
                <w:bCs w:val="1"/>
                <w:color w:val="auto"/>
                <w:w w:val="95"/>
              </w:rPr>
              <w:t>Corporate</w:t>
            </w:r>
          </w:p>
        </w:tc>
        <w:tc>
          <w:tcPr>
            <w:tcW w:w="1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133"/>
              <w:spacing w:after="0"/>
              <w:rPr>
                <w:sz w:val="20"/>
                <w:szCs w:val="20"/>
                <w:color w:val="auto"/>
              </w:rPr>
            </w:pPr>
            <w:r>
              <w:rPr>
                <w:rFonts w:ascii="Arial" w:cs="Arial" w:eastAsia="Arial" w:hAnsi="Arial"/>
                <w:sz w:val="14"/>
                <w:szCs w:val="14"/>
                <w:b w:val="1"/>
                <w:bCs w:val="1"/>
                <w:color w:val="auto"/>
                <w:w w:val="95"/>
              </w:rPr>
              <w:t>Total</w:t>
            </w:r>
          </w:p>
        </w:tc>
        <w:tc>
          <w:tcPr>
            <w:tcW w:w="126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34,760</w:t>
            </w:r>
          </w:p>
        </w:tc>
        <w:tc>
          <w:tcPr>
            <w:tcW w:w="10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ind w:right="2"/>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15,307</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3,213</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(103)</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53,177</w:t>
            </w:r>
          </w:p>
        </w:tc>
        <w:tc>
          <w:tcPr>
            <w:tcW w:w="160" w:type="dxa"/>
            <w:vAlign w:val="bottom"/>
            <w:shd w:val="clear" w:color="auto" w:fill="CCEEFF"/>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1160" w:type="dxa"/>
            <w:vAlign w:val="bottom"/>
          </w:tcPr>
          <w:p>
            <w:pPr>
              <w:spacing w:after="0"/>
              <w:rPr>
                <w:sz w:val="18"/>
                <w:szCs w:val="18"/>
                <w:color w:val="auto"/>
              </w:rPr>
            </w:pPr>
          </w:p>
        </w:tc>
        <w:tc>
          <w:tcPr>
            <w:tcW w:w="3940" w:type="dxa"/>
            <w:vAlign w:val="bottom"/>
          </w:tcPr>
          <w:p>
            <w:pPr>
              <w:spacing w:after="0"/>
              <w:rPr>
                <w:sz w:val="20"/>
                <w:szCs w:val="20"/>
                <w:color w:val="auto"/>
              </w:rPr>
            </w:pPr>
            <w:r>
              <w:rPr>
                <w:rFonts w:ascii="Arial" w:cs="Arial" w:eastAsia="Arial" w:hAnsi="Arial"/>
                <w:sz w:val="18"/>
                <w:szCs w:val="18"/>
                <w:color w:val="auto"/>
                <w:w w:val="99"/>
              </w:rPr>
              <w:t>Cost of revenue (exclusive of depreciation shown</w:t>
            </w: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1160" w:type="dxa"/>
            <w:vAlign w:val="bottom"/>
          </w:tcPr>
          <w:p>
            <w:pPr>
              <w:spacing w:after="0"/>
              <w:rPr>
                <w:sz w:val="19"/>
                <w:szCs w:val="19"/>
                <w:color w:val="auto"/>
              </w:rPr>
            </w:pPr>
          </w:p>
        </w:tc>
        <w:tc>
          <w:tcPr>
            <w:tcW w:w="3940" w:type="dxa"/>
            <w:vAlign w:val="bottom"/>
          </w:tcPr>
          <w:p>
            <w:pPr>
              <w:ind w:left="160"/>
              <w:spacing w:after="0"/>
              <w:rPr>
                <w:sz w:val="20"/>
                <w:szCs w:val="20"/>
                <w:color w:val="auto"/>
              </w:rPr>
            </w:pPr>
            <w:r>
              <w:rPr>
                <w:rFonts w:ascii="Arial" w:cs="Arial" w:eastAsia="Arial" w:hAnsi="Arial"/>
                <w:sz w:val="18"/>
                <w:szCs w:val="18"/>
                <w:color w:val="auto"/>
              </w:rPr>
              <w:t>separately below)</w:t>
            </w:r>
          </w:p>
        </w:tc>
        <w:tc>
          <w:tcPr>
            <w:tcW w:w="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11,049</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1,312</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2,074</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34</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4"/>
              </w:rPr>
              <w:t>14,469</w:t>
            </w: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9"/>
        </w:trPr>
        <w:tc>
          <w:tcPr>
            <w:tcW w:w="1160" w:type="dxa"/>
            <w:vAlign w:val="bottom"/>
          </w:tcPr>
          <w:p>
            <w:pPr>
              <w:spacing w:after="0"/>
              <w:rPr>
                <w:sz w:val="2"/>
                <w:szCs w:val="2"/>
                <w:color w:val="auto"/>
              </w:rPr>
            </w:pPr>
          </w:p>
        </w:tc>
        <w:tc>
          <w:tcPr>
            <w:tcW w:w="39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39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Gross margin</w:t>
            </w: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23,711</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13,995</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1,139</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(137)</w:t>
            </w: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38,708</w:t>
            </w:r>
          </w:p>
        </w:tc>
        <w:tc>
          <w:tcPr>
            <w:tcW w:w="160" w:type="dxa"/>
            <w:vAlign w:val="bottom"/>
            <w:shd w:val="clear" w:color="auto" w:fill="CCEEFF"/>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940" w:type="dxa"/>
            <w:vAlign w:val="bottom"/>
          </w:tcPr>
          <w:p>
            <w:pPr>
              <w:spacing w:after="0"/>
              <w:rPr>
                <w:sz w:val="20"/>
                <w:szCs w:val="20"/>
                <w:color w:val="auto"/>
              </w:rPr>
            </w:pPr>
            <w:r>
              <w:rPr>
                <w:rFonts w:ascii="Arial" w:cs="Arial" w:eastAsia="Arial" w:hAnsi="Arial"/>
                <w:sz w:val="18"/>
                <w:szCs w:val="18"/>
                <w:color w:val="auto"/>
              </w:rPr>
              <w:t>Operating expenses:</w:t>
            </w: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9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Selling and marketing expense</w:t>
            </w: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4,432</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12,944</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454</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17,830</w:t>
            </w:r>
          </w:p>
        </w:tc>
        <w:tc>
          <w:tcPr>
            <w:tcW w:w="160" w:type="dxa"/>
            <w:vAlign w:val="bottom"/>
            <w:shd w:val="clear" w:color="auto" w:fill="CCEEFF"/>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940" w:type="dxa"/>
            <w:vAlign w:val="bottom"/>
          </w:tcPr>
          <w:p>
            <w:pPr>
              <w:ind w:left="120"/>
              <w:spacing w:after="0"/>
              <w:rPr>
                <w:sz w:val="20"/>
                <w:szCs w:val="20"/>
                <w:color w:val="auto"/>
              </w:rPr>
            </w:pPr>
            <w:r>
              <w:rPr>
                <w:rFonts w:ascii="Arial" w:cs="Arial" w:eastAsia="Arial" w:hAnsi="Arial"/>
                <w:sz w:val="18"/>
                <w:szCs w:val="18"/>
                <w:color w:val="auto"/>
              </w:rPr>
              <w:t>General and administrative expense</w:t>
            </w: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6,714</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669</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951</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5,701</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4"/>
              </w:rPr>
              <w:t>14,035</w:t>
            </w: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9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Product development</w:t>
            </w: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804</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1,013</w:t>
            </w:r>
          </w:p>
        </w:tc>
        <w:tc>
          <w:tcPr>
            <w:tcW w:w="160" w:type="dxa"/>
            <w:vAlign w:val="bottom"/>
            <w:shd w:val="clear" w:color="auto" w:fill="CCEEFF"/>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940" w:type="dxa"/>
            <w:vAlign w:val="bottom"/>
          </w:tcPr>
          <w:p>
            <w:pPr>
              <w:ind w:left="120"/>
              <w:spacing w:after="0"/>
              <w:rPr>
                <w:sz w:val="20"/>
                <w:szCs w:val="20"/>
                <w:color w:val="auto"/>
              </w:rPr>
            </w:pPr>
            <w:r>
              <w:rPr>
                <w:rFonts w:ascii="Arial" w:cs="Arial" w:eastAsia="Arial" w:hAnsi="Arial"/>
                <w:sz w:val="18"/>
                <w:szCs w:val="18"/>
                <w:color w:val="auto"/>
              </w:rPr>
              <w:t>Litigation settlements and contingencies</w:t>
            </w: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1,510</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36</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1,546</w:t>
            </w: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9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Restructuring expense</w:t>
            </w: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288</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321</w:t>
            </w:r>
          </w:p>
        </w:tc>
        <w:tc>
          <w:tcPr>
            <w:tcW w:w="160" w:type="dxa"/>
            <w:vAlign w:val="bottom"/>
            <w:shd w:val="clear" w:color="auto" w:fill="CCEEFF"/>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940" w:type="dxa"/>
            <w:vAlign w:val="bottom"/>
          </w:tcPr>
          <w:p>
            <w:pPr>
              <w:ind w:left="120"/>
              <w:spacing w:after="0"/>
              <w:rPr>
                <w:sz w:val="20"/>
                <w:szCs w:val="20"/>
                <w:color w:val="auto"/>
              </w:rPr>
            </w:pPr>
            <w:r>
              <w:rPr>
                <w:rFonts w:ascii="Arial" w:cs="Arial" w:eastAsia="Arial" w:hAnsi="Arial"/>
                <w:sz w:val="18"/>
                <w:szCs w:val="18"/>
                <w:color w:val="auto"/>
              </w:rPr>
              <w:t>Amortization of intangibles</w:t>
            </w: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32"/>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294</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212</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13</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519</w:t>
            </w: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9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Depreciation</w:t>
            </w: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395</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559</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306</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263</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1,523</w:t>
            </w:r>
          </w:p>
        </w:tc>
        <w:tc>
          <w:tcPr>
            <w:tcW w:w="160" w:type="dxa"/>
            <w:vAlign w:val="bottom"/>
            <w:shd w:val="clear" w:color="auto" w:fill="CCEEFF"/>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1160" w:type="dxa"/>
            <w:vAlign w:val="bottom"/>
          </w:tcPr>
          <w:p>
            <w:pPr>
              <w:spacing w:after="0"/>
              <w:rPr>
                <w:sz w:val="2"/>
                <w:szCs w:val="2"/>
                <w:color w:val="auto"/>
              </w:rPr>
            </w:pPr>
          </w:p>
        </w:tc>
        <w:tc>
          <w:tcPr>
            <w:tcW w:w="3940" w:type="dxa"/>
            <w:vAlign w:val="bottom"/>
            <w:vMerge w:val="restart"/>
          </w:tcPr>
          <w:p>
            <w:pPr>
              <w:ind w:left="120"/>
              <w:spacing w:after="0"/>
              <w:rPr>
                <w:sz w:val="20"/>
                <w:szCs w:val="20"/>
                <w:color w:val="auto"/>
              </w:rPr>
            </w:pPr>
            <w:r>
              <w:rPr>
                <w:rFonts w:ascii="Arial" w:cs="Arial" w:eastAsia="Arial" w:hAnsi="Arial"/>
                <w:sz w:val="18"/>
                <w:szCs w:val="18"/>
                <w:color w:val="auto"/>
              </w:rPr>
              <w:t>Total operating expenses</w:t>
            </w:r>
          </w:p>
        </w:tc>
        <w:tc>
          <w:tcPr>
            <w:tcW w:w="3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940" w:type="dxa"/>
            <w:vAlign w:val="bottom"/>
            <w:vMerge w:val="continue"/>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13,172</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15,314</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2,321</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5,980</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4"/>
              </w:rPr>
              <w:t>36,787</w:t>
            </w: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1160" w:type="dxa"/>
            <w:vAlign w:val="bottom"/>
          </w:tcPr>
          <w:p>
            <w:pPr>
              <w:spacing w:after="0" w:line="20" w:lineRule="exact"/>
              <w:rPr>
                <w:sz w:val="1"/>
                <w:szCs w:val="1"/>
                <w:color w:val="auto"/>
              </w:rPr>
            </w:pPr>
          </w:p>
        </w:tc>
        <w:tc>
          <w:tcPr>
            <w:tcW w:w="39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 (loss)</w:t>
            </w: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10,539</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(1,319)</w:t>
            </w: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(1,182)</w:t>
            </w: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(6,117)</w:t>
            </w: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1,921</w:t>
            </w:r>
          </w:p>
        </w:tc>
        <w:tc>
          <w:tcPr>
            <w:tcW w:w="160" w:type="dxa"/>
            <w:vAlign w:val="bottom"/>
            <w:shd w:val="clear" w:color="auto" w:fill="CCEEFF"/>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1160" w:type="dxa"/>
            <w:vAlign w:val="bottom"/>
          </w:tcPr>
          <w:p>
            <w:pPr>
              <w:spacing w:after="0"/>
              <w:rPr>
                <w:sz w:val="18"/>
                <w:szCs w:val="18"/>
                <w:color w:val="auto"/>
              </w:rPr>
            </w:pPr>
          </w:p>
        </w:tc>
        <w:tc>
          <w:tcPr>
            <w:tcW w:w="3940" w:type="dxa"/>
            <w:vAlign w:val="bottom"/>
          </w:tcPr>
          <w:p>
            <w:pPr>
              <w:spacing w:after="0"/>
              <w:rPr>
                <w:sz w:val="20"/>
                <w:szCs w:val="20"/>
                <w:color w:val="auto"/>
              </w:rPr>
            </w:pPr>
            <w:r>
              <w:rPr>
                <w:rFonts w:ascii="Arial" w:cs="Arial" w:eastAsia="Arial" w:hAnsi="Arial"/>
                <w:sz w:val="18"/>
                <w:szCs w:val="18"/>
                <w:color w:val="auto"/>
                <w:w w:val="98"/>
              </w:rPr>
              <w:t>Adjustments to reconcile to EBITDA and Adjusted</w:t>
            </w: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160" w:type="dxa"/>
            <w:vAlign w:val="bottom"/>
          </w:tcPr>
          <w:p>
            <w:pPr>
              <w:spacing w:after="0"/>
              <w:rPr>
                <w:sz w:val="19"/>
                <w:szCs w:val="19"/>
                <w:color w:val="auto"/>
              </w:rPr>
            </w:pPr>
          </w:p>
        </w:tc>
        <w:tc>
          <w:tcPr>
            <w:tcW w:w="3940" w:type="dxa"/>
            <w:vAlign w:val="bottom"/>
          </w:tcPr>
          <w:p>
            <w:pPr>
              <w:ind w:left="160"/>
              <w:spacing w:after="0"/>
              <w:rPr>
                <w:sz w:val="20"/>
                <w:szCs w:val="20"/>
                <w:color w:val="auto"/>
              </w:rPr>
            </w:pPr>
            <w:r>
              <w:rPr>
                <w:rFonts w:ascii="Arial" w:cs="Arial" w:eastAsia="Arial" w:hAnsi="Arial"/>
                <w:sz w:val="18"/>
                <w:szCs w:val="18"/>
                <w:color w:val="auto"/>
              </w:rPr>
              <w:t>EBITDA:</w:t>
            </w:r>
          </w:p>
        </w:tc>
        <w:tc>
          <w:tcPr>
            <w:tcW w:w="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1160" w:type="dxa"/>
            <w:vAlign w:val="bottom"/>
          </w:tcPr>
          <w:p>
            <w:pPr>
              <w:spacing w:after="0"/>
              <w:rPr>
                <w:sz w:val="18"/>
                <w:szCs w:val="18"/>
                <w:color w:val="auto"/>
              </w:rPr>
            </w:pPr>
          </w:p>
        </w:tc>
        <w:tc>
          <w:tcPr>
            <w:tcW w:w="39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Amortization of intangibles</w:t>
            </w: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294</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519</w:t>
            </w:r>
          </w:p>
        </w:tc>
        <w:tc>
          <w:tcPr>
            <w:tcW w:w="160" w:type="dxa"/>
            <w:vAlign w:val="bottom"/>
            <w:shd w:val="clear" w:color="auto" w:fill="CCEEFF"/>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1160" w:type="dxa"/>
            <w:vAlign w:val="bottom"/>
          </w:tcPr>
          <w:p>
            <w:pPr>
              <w:spacing w:after="0"/>
              <w:rPr>
                <w:sz w:val="19"/>
                <w:szCs w:val="19"/>
                <w:color w:val="auto"/>
              </w:rPr>
            </w:pPr>
          </w:p>
        </w:tc>
        <w:tc>
          <w:tcPr>
            <w:tcW w:w="3940" w:type="dxa"/>
            <w:vAlign w:val="bottom"/>
          </w:tcPr>
          <w:p>
            <w:pPr>
              <w:ind w:left="120"/>
              <w:spacing w:after="0"/>
              <w:rPr>
                <w:sz w:val="20"/>
                <w:szCs w:val="20"/>
                <w:color w:val="auto"/>
              </w:rPr>
            </w:pPr>
            <w:r>
              <w:rPr>
                <w:rFonts w:ascii="Arial" w:cs="Arial" w:eastAsia="Arial" w:hAnsi="Arial"/>
                <w:sz w:val="18"/>
                <w:szCs w:val="18"/>
                <w:color w:val="auto"/>
              </w:rPr>
              <w:t>Depreciation</w:t>
            </w:r>
          </w:p>
        </w:tc>
        <w:tc>
          <w:tcPr>
            <w:tcW w:w="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395</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559</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306</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263</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1,523</w:t>
            </w: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1160" w:type="dxa"/>
            <w:vAlign w:val="bottom"/>
          </w:tcPr>
          <w:p>
            <w:pPr>
              <w:spacing w:after="0" w:line="20" w:lineRule="exact"/>
              <w:rPr>
                <w:sz w:val="1"/>
                <w:szCs w:val="1"/>
                <w:color w:val="auto"/>
              </w:rPr>
            </w:pPr>
          </w:p>
        </w:tc>
        <w:tc>
          <w:tcPr>
            <w:tcW w:w="39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EBITDA</w:t>
            </w: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10,934</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(466)</w:t>
            </w: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(664)</w:t>
            </w: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(5,841)</w:t>
            </w: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3,963</w:t>
            </w:r>
          </w:p>
        </w:tc>
        <w:tc>
          <w:tcPr>
            <w:tcW w:w="160" w:type="dxa"/>
            <w:vAlign w:val="bottom"/>
            <w:shd w:val="clear" w:color="auto" w:fill="CCEEFF"/>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940" w:type="dxa"/>
            <w:vAlign w:val="bottom"/>
          </w:tcPr>
          <w:p>
            <w:pPr>
              <w:ind w:left="120"/>
              <w:spacing w:after="0"/>
              <w:rPr>
                <w:sz w:val="20"/>
                <w:szCs w:val="20"/>
                <w:color w:val="auto"/>
              </w:rPr>
            </w:pPr>
            <w:r>
              <w:rPr>
                <w:rFonts w:ascii="Arial" w:cs="Arial" w:eastAsia="Arial" w:hAnsi="Arial"/>
                <w:sz w:val="18"/>
                <w:szCs w:val="18"/>
                <w:color w:val="auto"/>
              </w:rPr>
              <w:t>Restructuring expense</w:t>
            </w: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(14)</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44</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288</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321</w:t>
            </w: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9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Non-cash compensation</w:t>
            </w: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583</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778</w:t>
            </w:r>
          </w:p>
        </w:tc>
        <w:tc>
          <w:tcPr>
            <w:tcW w:w="160" w:type="dxa"/>
            <w:vAlign w:val="bottom"/>
            <w:shd w:val="clear" w:color="auto" w:fill="CCEEFF"/>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940" w:type="dxa"/>
            <w:vAlign w:val="bottom"/>
          </w:tcPr>
          <w:p>
            <w:pPr>
              <w:ind w:left="120"/>
              <w:spacing w:after="0"/>
              <w:rPr>
                <w:sz w:val="20"/>
                <w:szCs w:val="20"/>
                <w:color w:val="auto"/>
              </w:rPr>
            </w:pPr>
            <w:r>
              <w:rPr>
                <w:rFonts w:ascii="Arial" w:cs="Arial" w:eastAsia="Arial" w:hAnsi="Arial"/>
                <w:sz w:val="18"/>
                <w:szCs w:val="18"/>
                <w:color w:val="auto"/>
              </w:rPr>
              <w:t>Litigation settlements and contingencies</w:t>
            </w: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1,510</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36</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1,546</w:t>
            </w: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9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Post acquisition adjustments</w:t>
            </w: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(849)</w:t>
            </w: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(221)</w:t>
            </w: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(1,070)</w:t>
            </w: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5100" w:type="dxa"/>
            <w:vAlign w:val="bottom"/>
            <w:gridSpan w:val="2"/>
            <w:vMerge w:val="restart"/>
          </w:tcPr>
          <w:p>
            <w:pPr>
              <w:ind w:left="1140"/>
              <w:spacing w:after="0"/>
              <w:rPr>
                <w:sz w:val="20"/>
                <w:szCs w:val="20"/>
                <w:color w:val="auto"/>
              </w:rPr>
            </w:pPr>
            <w:r>
              <w:rPr>
                <w:rFonts w:ascii="Arial" w:cs="Arial" w:eastAsia="Arial" w:hAnsi="Arial"/>
                <w:sz w:val="18"/>
                <w:szCs w:val="18"/>
                <w:color w:val="auto"/>
              </w:rPr>
              <w:t>Adjusted EBITDA</w:t>
            </w:r>
          </w:p>
        </w:tc>
        <w:tc>
          <w:tcPr>
            <w:tcW w:w="480" w:type="dxa"/>
            <w:vAlign w:val="bottom"/>
            <w:gridSpan w:val="2"/>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gridSpan w:val="2"/>
          </w:tcPr>
          <w:p>
            <w:pPr>
              <w:spacing w:after="0"/>
              <w:rPr>
                <w:sz w:val="2"/>
                <w:szCs w:val="2"/>
                <w:color w:val="auto"/>
              </w:rPr>
            </w:pPr>
          </w:p>
        </w:tc>
        <w:tc>
          <w:tcPr>
            <w:tcW w:w="76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5100" w:type="dxa"/>
            <w:vAlign w:val="bottom"/>
            <w:gridSpan w:val="2"/>
            <w:vMerge w:val="continue"/>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12,524</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Borders>
              <w:top w:val="single" w:sz="8" w:color="auto"/>
            </w:tcBorders>
          </w:tcPr>
          <w:p>
            <w:pPr>
              <w:jc w:val="right"/>
              <w:ind w:right="2"/>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(1,198)</w:t>
            </w:r>
          </w:p>
        </w:tc>
        <w:tc>
          <w:tcPr>
            <w:tcW w:w="16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(533)</w:t>
            </w:r>
          </w:p>
        </w:tc>
        <w:tc>
          <w:tcPr>
            <w:tcW w:w="16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(5,255)</w:t>
            </w:r>
          </w:p>
        </w:tc>
        <w:tc>
          <w:tcPr>
            <w:tcW w:w="16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5,538</w:t>
            </w: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1160" w:type="dxa"/>
            <w:vAlign w:val="bottom"/>
          </w:tcPr>
          <w:p>
            <w:pPr>
              <w:spacing w:after="0" w:line="20" w:lineRule="exact"/>
              <w:rPr>
                <w:sz w:val="1"/>
                <w:szCs w:val="1"/>
                <w:color w:val="auto"/>
              </w:rPr>
            </w:pPr>
          </w:p>
        </w:tc>
        <w:tc>
          <w:tcPr>
            <w:tcW w:w="39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39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1160" w:type="dxa"/>
            <w:vAlign w:val="bottom"/>
          </w:tcPr>
          <w:p>
            <w:pPr>
              <w:spacing w:after="0"/>
              <w:rPr>
                <w:sz w:val="17"/>
                <w:szCs w:val="17"/>
                <w:color w:val="auto"/>
              </w:rPr>
            </w:pPr>
          </w:p>
        </w:tc>
        <w:tc>
          <w:tcPr>
            <w:tcW w:w="39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Reconciliation to net income in total:</w:t>
            </w:r>
          </w:p>
        </w:tc>
        <w:tc>
          <w:tcPr>
            <w:tcW w:w="3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940" w:type="dxa"/>
            <w:vAlign w:val="bottom"/>
          </w:tcPr>
          <w:p>
            <w:pPr>
              <w:spacing w:after="0"/>
              <w:rPr>
                <w:sz w:val="20"/>
                <w:szCs w:val="20"/>
                <w:color w:val="auto"/>
              </w:rPr>
            </w:pPr>
            <w:r>
              <w:rPr>
                <w:rFonts w:ascii="Arial" w:cs="Arial" w:eastAsia="Arial" w:hAnsi="Arial"/>
                <w:sz w:val="18"/>
                <w:szCs w:val="18"/>
                <w:color w:val="auto"/>
              </w:rPr>
              <w:t>Operating income per above</w:t>
            </w: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1,921</w:t>
            </w: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Other expense, net</w:t>
            </w: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(60)</w:t>
            </w: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5100" w:type="dxa"/>
            <w:vAlign w:val="bottom"/>
            <w:gridSpan w:val="2"/>
            <w:vMerge w:val="restart"/>
          </w:tcPr>
          <w:p>
            <w:pPr>
              <w:ind w:left="1140"/>
              <w:spacing w:after="0"/>
              <w:rPr>
                <w:sz w:val="20"/>
                <w:szCs w:val="20"/>
                <w:color w:val="auto"/>
              </w:rPr>
            </w:pPr>
            <w:r>
              <w:rPr>
                <w:rFonts w:ascii="Arial" w:cs="Arial" w:eastAsia="Arial" w:hAnsi="Arial"/>
                <w:sz w:val="18"/>
                <w:szCs w:val="18"/>
                <w:color w:val="auto"/>
              </w:rPr>
              <w:t>Income before income taxes</w:t>
            </w:r>
          </w:p>
        </w:tc>
        <w:tc>
          <w:tcPr>
            <w:tcW w:w="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5100" w:type="dxa"/>
            <w:vAlign w:val="bottom"/>
            <w:gridSpan w:val="2"/>
            <w:vMerge w:val="continue"/>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1,861</w:t>
            </w: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Income tax provision</w:t>
            </w: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(42)</w:t>
            </w: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5100" w:type="dxa"/>
            <w:vAlign w:val="bottom"/>
            <w:gridSpan w:val="2"/>
            <w:vMerge w:val="restart"/>
          </w:tcPr>
          <w:p>
            <w:pPr>
              <w:ind w:left="1140"/>
              <w:spacing w:after="0"/>
              <w:rPr>
                <w:sz w:val="20"/>
                <w:szCs w:val="20"/>
                <w:color w:val="auto"/>
              </w:rPr>
            </w:pPr>
            <w:r>
              <w:rPr>
                <w:rFonts w:ascii="Arial" w:cs="Arial" w:eastAsia="Arial" w:hAnsi="Arial"/>
                <w:sz w:val="18"/>
                <w:szCs w:val="18"/>
                <w:color w:val="auto"/>
              </w:rPr>
              <w:t>Net income</w:t>
            </w:r>
          </w:p>
        </w:tc>
        <w:tc>
          <w:tcPr>
            <w:tcW w:w="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5100" w:type="dxa"/>
            <w:vAlign w:val="bottom"/>
            <w:gridSpan w:val="2"/>
            <w:vMerge w:val="continue"/>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1,819</w:t>
            </w: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1160" w:type="dxa"/>
            <w:vAlign w:val="bottom"/>
          </w:tcPr>
          <w:p>
            <w:pPr>
              <w:spacing w:after="0" w:line="20" w:lineRule="exact"/>
              <w:rPr>
                <w:sz w:val="1"/>
                <w:szCs w:val="1"/>
                <w:color w:val="auto"/>
              </w:rPr>
            </w:pPr>
          </w:p>
        </w:tc>
        <w:tc>
          <w:tcPr>
            <w:tcW w:w="39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vMerge w:val="restart"/>
          </w:tcPr>
          <w:p>
            <w:pPr>
              <w:jc w:val="right"/>
              <w:ind w:right="453"/>
              <w:spacing w:after="0"/>
              <w:rPr>
                <w:sz w:val="20"/>
                <w:szCs w:val="20"/>
                <w:color w:val="auto"/>
              </w:rPr>
            </w:pPr>
            <w:r>
              <w:rPr>
                <w:rFonts w:ascii="Arial" w:cs="Arial" w:eastAsia="Arial" w:hAnsi="Arial"/>
                <w:sz w:val="18"/>
                <w:szCs w:val="18"/>
                <w:color w:val="auto"/>
                <w:w w:val="99"/>
              </w:rPr>
              <w:t>15</w:t>
            </w: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39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vMerge w:val="continu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1"/>
        </w:trPr>
        <w:tc>
          <w:tcPr>
            <w:tcW w:w="1160" w:type="dxa"/>
            <w:vAlign w:val="bottom"/>
          </w:tcPr>
          <w:p>
            <w:pPr>
              <w:spacing w:after="0"/>
              <w:rPr>
                <w:sz w:val="24"/>
                <w:szCs w:val="24"/>
                <w:color w:val="auto"/>
              </w:rPr>
            </w:pPr>
          </w:p>
        </w:tc>
        <w:tc>
          <w:tcPr>
            <w:tcW w:w="39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1160" w:type="dxa"/>
            <w:vAlign w:val="bottom"/>
            <w:tcBorders>
              <w:bottom w:val="single" w:sz="8" w:color="808080"/>
            </w:tcBorders>
          </w:tcPr>
          <w:p>
            <w:pPr>
              <w:spacing w:after="0"/>
              <w:rPr>
                <w:sz w:val="19"/>
                <w:szCs w:val="19"/>
                <w:color w:val="auto"/>
              </w:rPr>
            </w:pPr>
          </w:p>
        </w:tc>
        <w:tc>
          <w:tcPr>
            <w:tcW w:w="3940" w:type="dxa"/>
            <w:vAlign w:val="bottom"/>
            <w:tcBorders>
              <w:bottom w:val="single" w:sz="8" w:color="808080"/>
            </w:tcBorders>
          </w:tcPr>
          <w:p>
            <w:pPr>
              <w:spacing w:after="0"/>
              <w:rPr>
                <w:sz w:val="19"/>
                <w:szCs w:val="19"/>
                <w:color w:val="auto"/>
              </w:rPr>
            </w:pPr>
          </w:p>
        </w:tc>
        <w:tc>
          <w:tcPr>
            <w:tcW w:w="36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76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6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60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56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86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56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1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6" w:name="page17"/>
    <w:bookmarkEnd w:id="1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TREE.COM, INC. AND SUBSIDIARIES</w:t>
      </w:r>
    </w:p>
    <w:p>
      <w:pPr>
        <w:spacing w:after="0" w:line="225" w:lineRule="exact"/>
        <w:rPr>
          <w:sz w:val="20"/>
          <w:szCs w:val="20"/>
          <w:color w:val="auto"/>
        </w:rPr>
      </w:pPr>
    </w:p>
    <w:p>
      <w:pPr>
        <w:ind w:left="294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7—SEGMENT INFORMATION (Continued)</w:t>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39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3100" w:type="dxa"/>
            <w:vAlign w:val="bottom"/>
            <w:tcBorders>
              <w:bottom w:val="single" w:sz="8" w:color="auto"/>
            </w:tcBorders>
            <w:gridSpan w:val="11"/>
          </w:tcPr>
          <w:p>
            <w:pPr>
              <w:jc w:val="center"/>
              <w:ind w:right="200"/>
              <w:spacing w:after="0"/>
              <w:rPr>
                <w:sz w:val="20"/>
                <w:szCs w:val="20"/>
                <w:color w:val="auto"/>
              </w:rPr>
            </w:pPr>
            <w:r>
              <w:rPr>
                <w:rFonts w:ascii="Arial" w:cs="Arial" w:eastAsia="Arial" w:hAnsi="Arial"/>
                <w:sz w:val="14"/>
                <w:szCs w:val="14"/>
                <w:b w:val="1"/>
                <w:bCs w:val="1"/>
                <w:color w:val="auto"/>
                <w:w w:val="88"/>
              </w:rPr>
              <w:t>For the Three Months Ended September 30, 2009:</w:t>
            </w:r>
          </w:p>
        </w:tc>
        <w:tc>
          <w:tcPr>
            <w:tcW w:w="16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1160" w:type="dxa"/>
            <w:vAlign w:val="bottom"/>
          </w:tcPr>
          <w:p>
            <w:pPr>
              <w:spacing w:after="0"/>
              <w:rPr>
                <w:sz w:val="11"/>
                <w:szCs w:val="11"/>
                <w:color w:val="auto"/>
              </w:rPr>
            </w:pPr>
          </w:p>
        </w:tc>
        <w:tc>
          <w:tcPr>
            <w:tcW w:w="39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80" w:type="dxa"/>
            <w:vAlign w:val="bottom"/>
            <w:gridSpan w:val="3"/>
          </w:tcPr>
          <w:p>
            <w:pPr>
              <w:jc w:val="right"/>
              <w:ind w:right="112"/>
              <w:spacing w:after="0" w:line="129" w:lineRule="exact"/>
              <w:rPr>
                <w:sz w:val="20"/>
                <w:szCs w:val="20"/>
                <w:color w:val="auto"/>
              </w:rPr>
            </w:pPr>
            <w:r>
              <w:rPr>
                <w:rFonts w:ascii="Arial" w:cs="Arial" w:eastAsia="Arial" w:hAnsi="Arial"/>
                <w:sz w:val="14"/>
                <w:szCs w:val="14"/>
                <w:b w:val="1"/>
                <w:bCs w:val="1"/>
                <w:color w:val="auto"/>
                <w:w w:val="92"/>
              </w:rPr>
              <w:t>LendingTree</w:t>
            </w: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gridSpan w:val="2"/>
          </w:tcPr>
          <w:p>
            <w:pPr>
              <w:jc w:val="center"/>
              <w:ind w:right="300"/>
              <w:spacing w:after="0" w:line="129" w:lineRule="exact"/>
              <w:rPr>
                <w:sz w:val="20"/>
                <w:szCs w:val="20"/>
                <w:color w:val="auto"/>
              </w:rPr>
            </w:pPr>
            <w:r>
              <w:rPr>
                <w:rFonts w:ascii="Arial" w:cs="Arial" w:eastAsia="Arial" w:hAnsi="Arial"/>
                <w:sz w:val="14"/>
                <w:szCs w:val="14"/>
                <w:b w:val="1"/>
                <w:bCs w:val="1"/>
                <w:color w:val="auto"/>
                <w:w w:val="87"/>
              </w:rPr>
              <w:t>Real</w:t>
            </w:r>
          </w:p>
        </w:tc>
        <w:tc>
          <w:tcPr>
            <w:tcW w:w="1160" w:type="dxa"/>
            <w:vAlign w:val="bottom"/>
            <w:gridSpan w:val="3"/>
          </w:tcPr>
          <w:p>
            <w:pPr>
              <w:jc w:val="right"/>
              <w:ind w:right="240"/>
              <w:spacing w:after="0" w:line="129" w:lineRule="exact"/>
              <w:rPr>
                <w:sz w:val="20"/>
                <w:szCs w:val="20"/>
                <w:color w:val="auto"/>
              </w:rPr>
            </w:pPr>
            <w:r>
              <w:rPr>
                <w:rFonts w:ascii="Arial" w:cs="Arial" w:eastAsia="Arial" w:hAnsi="Arial"/>
                <w:sz w:val="14"/>
                <w:szCs w:val="14"/>
                <w:b w:val="1"/>
                <w:bCs w:val="1"/>
                <w:color w:val="auto"/>
                <w:w w:val="96"/>
              </w:rPr>
              <w:t>Unallocated—</w:t>
            </w: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1160" w:type="dxa"/>
            <w:vAlign w:val="bottom"/>
          </w:tcPr>
          <w:p>
            <w:pPr>
              <w:spacing w:after="0"/>
              <w:rPr>
                <w:sz w:val="14"/>
                <w:szCs w:val="14"/>
                <w:color w:val="auto"/>
              </w:rPr>
            </w:pPr>
          </w:p>
        </w:tc>
        <w:tc>
          <w:tcPr>
            <w:tcW w:w="39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Loans</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80" w:type="dxa"/>
            <w:vAlign w:val="bottom"/>
            <w:tcBorders>
              <w:bottom w:val="single" w:sz="8" w:color="auto"/>
            </w:tcBorders>
            <w:gridSpan w:val="2"/>
          </w:tcPr>
          <w:p>
            <w:pPr>
              <w:jc w:val="right"/>
              <w:ind w:right="12"/>
              <w:spacing w:after="0"/>
              <w:rPr>
                <w:sz w:val="20"/>
                <w:szCs w:val="20"/>
                <w:color w:val="auto"/>
              </w:rPr>
            </w:pPr>
            <w:r>
              <w:rPr>
                <w:rFonts w:ascii="Arial" w:cs="Arial" w:eastAsia="Arial" w:hAnsi="Arial"/>
                <w:sz w:val="14"/>
                <w:szCs w:val="14"/>
                <w:b w:val="1"/>
                <w:bCs w:val="1"/>
                <w:color w:val="auto"/>
                <w:w w:val="89"/>
              </w:rPr>
              <w:t>Exchanges</w:t>
            </w:r>
          </w:p>
        </w:tc>
        <w:tc>
          <w:tcPr>
            <w:tcW w:w="1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center"/>
              <w:ind w:right="34"/>
              <w:spacing w:after="0"/>
              <w:rPr>
                <w:sz w:val="20"/>
                <w:szCs w:val="20"/>
                <w:color w:val="auto"/>
              </w:rPr>
            </w:pPr>
            <w:r>
              <w:rPr>
                <w:rFonts w:ascii="Arial" w:cs="Arial" w:eastAsia="Arial" w:hAnsi="Arial"/>
                <w:sz w:val="14"/>
                <w:szCs w:val="14"/>
                <w:b w:val="1"/>
                <w:bCs w:val="1"/>
                <w:color w:val="auto"/>
                <w:w w:val="85"/>
              </w:rPr>
              <w:t>Estate</w:t>
            </w:r>
          </w:p>
        </w:tc>
        <w:tc>
          <w:tcPr>
            <w:tcW w:w="1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113"/>
              <w:spacing w:after="0"/>
              <w:rPr>
                <w:sz w:val="20"/>
                <w:szCs w:val="20"/>
                <w:color w:val="auto"/>
              </w:rPr>
            </w:pPr>
            <w:r>
              <w:rPr>
                <w:rFonts w:ascii="Arial" w:cs="Arial" w:eastAsia="Arial" w:hAnsi="Arial"/>
                <w:sz w:val="14"/>
                <w:szCs w:val="14"/>
                <w:b w:val="1"/>
                <w:bCs w:val="1"/>
                <w:color w:val="auto"/>
                <w:w w:val="95"/>
              </w:rPr>
              <w:t>Corporate</w:t>
            </w:r>
          </w:p>
        </w:tc>
        <w:tc>
          <w:tcPr>
            <w:tcW w:w="1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133"/>
              <w:spacing w:after="0"/>
              <w:rPr>
                <w:sz w:val="20"/>
                <w:szCs w:val="20"/>
                <w:color w:val="auto"/>
              </w:rPr>
            </w:pPr>
            <w:r>
              <w:rPr>
                <w:rFonts w:ascii="Arial" w:cs="Arial" w:eastAsia="Arial" w:hAnsi="Arial"/>
                <w:sz w:val="14"/>
                <w:szCs w:val="14"/>
                <w:b w:val="1"/>
                <w:bCs w:val="1"/>
                <w:color w:val="auto"/>
                <w:w w:val="95"/>
              </w:rPr>
              <w:t>Total</w:t>
            </w:r>
          </w:p>
        </w:tc>
        <w:tc>
          <w:tcPr>
            <w:tcW w:w="126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24,109</w:t>
            </w:r>
          </w:p>
        </w:tc>
        <w:tc>
          <w:tcPr>
            <w:tcW w:w="10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18,610</w:t>
            </w:r>
          </w:p>
        </w:tc>
        <w:tc>
          <w:tcPr>
            <w:tcW w:w="2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7,997</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50,716</w:t>
            </w:r>
          </w:p>
        </w:tc>
        <w:tc>
          <w:tcPr>
            <w:tcW w:w="160" w:type="dxa"/>
            <w:vAlign w:val="bottom"/>
            <w:shd w:val="clear" w:color="auto" w:fill="CCEEFF"/>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1160" w:type="dxa"/>
            <w:vAlign w:val="bottom"/>
          </w:tcPr>
          <w:p>
            <w:pPr>
              <w:spacing w:after="0"/>
              <w:rPr>
                <w:sz w:val="18"/>
                <w:szCs w:val="18"/>
                <w:color w:val="auto"/>
              </w:rPr>
            </w:pPr>
          </w:p>
        </w:tc>
        <w:tc>
          <w:tcPr>
            <w:tcW w:w="3940" w:type="dxa"/>
            <w:vAlign w:val="bottom"/>
          </w:tcPr>
          <w:p>
            <w:pPr>
              <w:spacing w:after="0"/>
              <w:rPr>
                <w:sz w:val="20"/>
                <w:szCs w:val="20"/>
                <w:color w:val="auto"/>
              </w:rPr>
            </w:pPr>
            <w:r>
              <w:rPr>
                <w:rFonts w:ascii="Arial" w:cs="Arial" w:eastAsia="Arial" w:hAnsi="Arial"/>
                <w:sz w:val="18"/>
                <w:szCs w:val="18"/>
                <w:color w:val="auto"/>
                <w:w w:val="99"/>
              </w:rPr>
              <w:t>Cost of revenue (exclusive of depreciation shown</w:t>
            </w: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1160" w:type="dxa"/>
            <w:vAlign w:val="bottom"/>
          </w:tcPr>
          <w:p>
            <w:pPr>
              <w:spacing w:after="0"/>
              <w:rPr>
                <w:sz w:val="19"/>
                <w:szCs w:val="19"/>
                <w:color w:val="auto"/>
              </w:rPr>
            </w:pPr>
          </w:p>
        </w:tc>
        <w:tc>
          <w:tcPr>
            <w:tcW w:w="3940" w:type="dxa"/>
            <w:vAlign w:val="bottom"/>
          </w:tcPr>
          <w:p>
            <w:pPr>
              <w:ind w:left="160"/>
              <w:spacing w:after="0"/>
              <w:rPr>
                <w:sz w:val="20"/>
                <w:szCs w:val="20"/>
                <w:color w:val="auto"/>
              </w:rPr>
            </w:pPr>
            <w:r>
              <w:rPr>
                <w:rFonts w:ascii="Arial" w:cs="Arial" w:eastAsia="Arial" w:hAnsi="Arial"/>
                <w:sz w:val="18"/>
                <w:szCs w:val="18"/>
                <w:color w:val="auto"/>
              </w:rPr>
              <w:t>separately below)</w:t>
            </w:r>
          </w:p>
        </w:tc>
        <w:tc>
          <w:tcPr>
            <w:tcW w:w="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11,685</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1,409</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5,056</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540</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4"/>
              </w:rPr>
              <w:t>18,690</w:t>
            </w: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9"/>
        </w:trPr>
        <w:tc>
          <w:tcPr>
            <w:tcW w:w="1160" w:type="dxa"/>
            <w:vAlign w:val="bottom"/>
          </w:tcPr>
          <w:p>
            <w:pPr>
              <w:spacing w:after="0"/>
              <w:rPr>
                <w:sz w:val="2"/>
                <w:szCs w:val="2"/>
                <w:color w:val="auto"/>
              </w:rPr>
            </w:pPr>
          </w:p>
        </w:tc>
        <w:tc>
          <w:tcPr>
            <w:tcW w:w="39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39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Gross margin</w:t>
            </w: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12,424</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17,201</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2,941</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(540)</w:t>
            </w: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32,026</w:t>
            </w:r>
          </w:p>
        </w:tc>
        <w:tc>
          <w:tcPr>
            <w:tcW w:w="160" w:type="dxa"/>
            <w:vAlign w:val="bottom"/>
            <w:shd w:val="clear" w:color="auto" w:fill="CCEEFF"/>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940" w:type="dxa"/>
            <w:vAlign w:val="bottom"/>
          </w:tcPr>
          <w:p>
            <w:pPr>
              <w:spacing w:after="0"/>
              <w:rPr>
                <w:sz w:val="20"/>
                <w:szCs w:val="20"/>
                <w:color w:val="auto"/>
              </w:rPr>
            </w:pPr>
            <w:r>
              <w:rPr>
                <w:rFonts w:ascii="Arial" w:cs="Arial" w:eastAsia="Arial" w:hAnsi="Arial"/>
                <w:sz w:val="18"/>
                <w:szCs w:val="18"/>
                <w:color w:val="auto"/>
              </w:rPr>
              <w:t>Operating expenses:</w:t>
            </w: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9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Selling and marketing expense</w:t>
            </w: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3,235</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12,978</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1,221</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17,435</w:t>
            </w:r>
          </w:p>
        </w:tc>
        <w:tc>
          <w:tcPr>
            <w:tcW w:w="160" w:type="dxa"/>
            <w:vAlign w:val="bottom"/>
            <w:shd w:val="clear" w:color="auto" w:fill="CCEEFF"/>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940" w:type="dxa"/>
            <w:vAlign w:val="bottom"/>
          </w:tcPr>
          <w:p>
            <w:pPr>
              <w:ind w:left="120"/>
              <w:spacing w:after="0"/>
              <w:rPr>
                <w:sz w:val="20"/>
                <w:szCs w:val="20"/>
                <w:color w:val="auto"/>
              </w:rPr>
            </w:pPr>
            <w:r>
              <w:rPr>
                <w:rFonts w:ascii="Arial" w:cs="Arial" w:eastAsia="Arial" w:hAnsi="Arial"/>
                <w:sz w:val="18"/>
                <w:szCs w:val="18"/>
                <w:color w:val="auto"/>
              </w:rPr>
              <w:t>General and administrative expense</w:t>
            </w: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5,270</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1,934</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2,067</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8,244</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4"/>
              </w:rPr>
              <w:t>17,515</w:t>
            </w: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9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Product development</w:t>
            </w: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762</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363</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383</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1,673</w:t>
            </w:r>
          </w:p>
        </w:tc>
        <w:tc>
          <w:tcPr>
            <w:tcW w:w="160" w:type="dxa"/>
            <w:vAlign w:val="bottom"/>
            <w:shd w:val="clear" w:color="auto" w:fill="CCEEFF"/>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940" w:type="dxa"/>
            <w:vAlign w:val="bottom"/>
          </w:tcPr>
          <w:p>
            <w:pPr>
              <w:ind w:left="120"/>
              <w:spacing w:after="0"/>
              <w:rPr>
                <w:sz w:val="20"/>
                <w:szCs w:val="20"/>
                <w:color w:val="auto"/>
              </w:rPr>
            </w:pPr>
            <w:r>
              <w:rPr>
                <w:rFonts w:ascii="Arial" w:cs="Arial" w:eastAsia="Arial" w:hAnsi="Arial"/>
                <w:sz w:val="18"/>
                <w:szCs w:val="18"/>
                <w:color w:val="auto"/>
              </w:rPr>
              <w:t>Litigation settlements and contingencies</w:t>
            </w: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8</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14</w:t>
            </w: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9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Restructuring expense</w:t>
            </w: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w:t>
            </w:r>
          </w:p>
        </w:tc>
        <w:tc>
          <w:tcPr>
            <w:tcW w:w="160" w:type="dxa"/>
            <w:vAlign w:val="bottom"/>
            <w:shd w:val="clear" w:color="auto" w:fill="CCEEFF"/>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940" w:type="dxa"/>
            <w:vAlign w:val="bottom"/>
          </w:tcPr>
          <w:p>
            <w:pPr>
              <w:ind w:left="120"/>
              <w:spacing w:after="0"/>
              <w:rPr>
                <w:sz w:val="20"/>
                <w:szCs w:val="20"/>
                <w:color w:val="auto"/>
              </w:rPr>
            </w:pPr>
            <w:r>
              <w:rPr>
                <w:rFonts w:ascii="Arial" w:cs="Arial" w:eastAsia="Arial" w:hAnsi="Arial"/>
                <w:sz w:val="18"/>
                <w:szCs w:val="18"/>
                <w:color w:val="auto"/>
              </w:rPr>
              <w:t>Amortization of intangibles</w:t>
            </w: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70</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337</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641</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7</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1,055</w:t>
            </w: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9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Depreciation</w:t>
            </w: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741</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246</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302</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409</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1,698</w:t>
            </w:r>
          </w:p>
        </w:tc>
        <w:tc>
          <w:tcPr>
            <w:tcW w:w="160" w:type="dxa"/>
            <w:vAlign w:val="bottom"/>
            <w:shd w:val="clear" w:color="auto" w:fill="CCEEFF"/>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1160" w:type="dxa"/>
            <w:vAlign w:val="bottom"/>
          </w:tcPr>
          <w:p>
            <w:pPr>
              <w:spacing w:after="0"/>
              <w:rPr>
                <w:sz w:val="2"/>
                <w:szCs w:val="2"/>
                <w:color w:val="auto"/>
              </w:rPr>
            </w:pPr>
          </w:p>
        </w:tc>
        <w:tc>
          <w:tcPr>
            <w:tcW w:w="3940" w:type="dxa"/>
            <w:vAlign w:val="bottom"/>
            <w:vMerge w:val="restart"/>
          </w:tcPr>
          <w:p>
            <w:pPr>
              <w:ind w:left="120"/>
              <w:spacing w:after="0"/>
              <w:rPr>
                <w:sz w:val="20"/>
                <w:szCs w:val="20"/>
                <w:color w:val="auto"/>
              </w:rPr>
            </w:pPr>
            <w:r>
              <w:rPr>
                <w:rFonts w:ascii="Arial" w:cs="Arial" w:eastAsia="Arial" w:hAnsi="Arial"/>
                <w:sz w:val="18"/>
                <w:szCs w:val="18"/>
                <w:color w:val="auto"/>
              </w:rPr>
              <w:t>Total operating expenses</w:t>
            </w:r>
          </w:p>
        </w:tc>
        <w:tc>
          <w:tcPr>
            <w:tcW w:w="3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940" w:type="dxa"/>
            <w:vAlign w:val="bottom"/>
            <w:vMerge w:val="continue"/>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9,433</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16,307</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4,655</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9,073</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4"/>
              </w:rPr>
              <w:t>39,468</w:t>
            </w: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1160" w:type="dxa"/>
            <w:vAlign w:val="bottom"/>
          </w:tcPr>
          <w:p>
            <w:pPr>
              <w:spacing w:after="0" w:line="20" w:lineRule="exact"/>
              <w:rPr>
                <w:sz w:val="1"/>
                <w:szCs w:val="1"/>
                <w:color w:val="auto"/>
              </w:rPr>
            </w:pPr>
          </w:p>
        </w:tc>
        <w:tc>
          <w:tcPr>
            <w:tcW w:w="39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 (loss)</w:t>
            </w: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2,991</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894</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(1,714)</w:t>
            </w: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(9,613)</w:t>
            </w: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(7,442)</w:t>
            </w: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1160" w:type="dxa"/>
            <w:vAlign w:val="bottom"/>
          </w:tcPr>
          <w:p>
            <w:pPr>
              <w:spacing w:after="0"/>
              <w:rPr>
                <w:sz w:val="18"/>
                <w:szCs w:val="18"/>
                <w:color w:val="auto"/>
              </w:rPr>
            </w:pPr>
          </w:p>
        </w:tc>
        <w:tc>
          <w:tcPr>
            <w:tcW w:w="3940" w:type="dxa"/>
            <w:vAlign w:val="bottom"/>
          </w:tcPr>
          <w:p>
            <w:pPr>
              <w:spacing w:after="0"/>
              <w:rPr>
                <w:sz w:val="20"/>
                <w:szCs w:val="20"/>
                <w:color w:val="auto"/>
              </w:rPr>
            </w:pPr>
            <w:r>
              <w:rPr>
                <w:rFonts w:ascii="Arial" w:cs="Arial" w:eastAsia="Arial" w:hAnsi="Arial"/>
                <w:sz w:val="18"/>
                <w:szCs w:val="18"/>
                <w:color w:val="auto"/>
                <w:w w:val="98"/>
              </w:rPr>
              <w:t>Adjustments to reconcile to EBITDA and Adjusted</w:t>
            </w: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160" w:type="dxa"/>
            <w:vAlign w:val="bottom"/>
          </w:tcPr>
          <w:p>
            <w:pPr>
              <w:spacing w:after="0"/>
              <w:rPr>
                <w:sz w:val="19"/>
                <w:szCs w:val="19"/>
                <w:color w:val="auto"/>
              </w:rPr>
            </w:pPr>
          </w:p>
        </w:tc>
        <w:tc>
          <w:tcPr>
            <w:tcW w:w="3940" w:type="dxa"/>
            <w:vAlign w:val="bottom"/>
          </w:tcPr>
          <w:p>
            <w:pPr>
              <w:ind w:left="160"/>
              <w:spacing w:after="0"/>
              <w:rPr>
                <w:sz w:val="20"/>
                <w:szCs w:val="20"/>
                <w:color w:val="auto"/>
              </w:rPr>
            </w:pPr>
            <w:r>
              <w:rPr>
                <w:rFonts w:ascii="Arial" w:cs="Arial" w:eastAsia="Arial" w:hAnsi="Arial"/>
                <w:sz w:val="18"/>
                <w:szCs w:val="18"/>
                <w:color w:val="auto"/>
              </w:rPr>
              <w:t>EBITDA:</w:t>
            </w:r>
          </w:p>
        </w:tc>
        <w:tc>
          <w:tcPr>
            <w:tcW w:w="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1160" w:type="dxa"/>
            <w:vAlign w:val="bottom"/>
          </w:tcPr>
          <w:p>
            <w:pPr>
              <w:spacing w:after="0"/>
              <w:rPr>
                <w:sz w:val="18"/>
                <w:szCs w:val="18"/>
                <w:color w:val="auto"/>
              </w:rPr>
            </w:pPr>
          </w:p>
        </w:tc>
        <w:tc>
          <w:tcPr>
            <w:tcW w:w="39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Amortization of intangibles</w:t>
            </w: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337</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641</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1,055</w:t>
            </w:r>
          </w:p>
        </w:tc>
        <w:tc>
          <w:tcPr>
            <w:tcW w:w="160" w:type="dxa"/>
            <w:vAlign w:val="bottom"/>
            <w:shd w:val="clear" w:color="auto" w:fill="CCEEFF"/>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1160" w:type="dxa"/>
            <w:vAlign w:val="bottom"/>
          </w:tcPr>
          <w:p>
            <w:pPr>
              <w:spacing w:after="0"/>
              <w:rPr>
                <w:sz w:val="19"/>
                <w:szCs w:val="19"/>
                <w:color w:val="auto"/>
              </w:rPr>
            </w:pPr>
          </w:p>
        </w:tc>
        <w:tc>
          <w:tcPr>
            <w:tcW w:w="3940" w:type="dxa"/>
            <w:vAlign w:val="bottom"/>
          </w:tcPr>
          <w:p>
            <w:pPr>
              <w:ind w:left="120"/>
              <w:spacing w:after="0"/>
              <w:rPr>
                <w:sz w:val="20"/>
                <w:szCs w:val="20"/>
                <w:color w:val="auto"/>
              </w:rPr>
            </w:pPr>
            <w:r>
              <w:rPr>
                <w:rFonts w:ascii="Arial" w:cs="Arial" w:eastAsia="Arial" w:hAnsi="Arial"/>
                <w:sz w:val="18"/>
                <w:szCs w:val="18"/>
                <w:color w:val="auto"/>
              </w:rPr>
              <w:t>Depreciation</w:t>
            </w:r>
          </w:p>
        </w:tc>
        <w:tc>
          <w:tcPr>
            <w:tcW w:w="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741</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246</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302</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409</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1,698</w:t>
            </w: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1160" w:type="dxa"/>
            <w:vAlign w:val="bottom"/>
          </w:tcPr>
          <w:p>
            <w:pPr>
              <w:spacing w:after="0" w:line="20" w:lineRule="exact"/>
              <w:rPr>
                <w:sz w:val="1"/>
                <w:szCs w:val="1"/>
                <w:color w:val="auto"/>
              </w:rPr>
            </w:pPr>
          </w:p>
        </w:tc>
        <w:tc>
          <w:tcPr>
            <w:tcW w:w="39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EBITDA</w:t>
            </w: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3,802</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1,477</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(771)</w:t>
            </w: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(9,197)</w:t>
            </w: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(4,689)</w:t>
            </w: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940" w:type="dxa"/>
            <w:vAlign w:val="bottom"/>
          </w:tcPr>
          <w:p>
            <w:pPr>
              <w:ind w:left="120"/>
              <w:spacing w:after="0"/>
              <w:rPr>
                <w:sz w:val="20"/>
                <w:szCs w:val="20"/>
                <w:color w:val="auto"/>
              </w:rPr>
            </w:pPr>
            <w:r>
              <w:rPr>
                <w:rFonts w:ascii="Arial" w:cs="Arial" w:eastAsia="Arial" w:hAnsi="Arial"/>
                <w:sz w:val="18"/>
                <w:szCs w:val="18"/>
                <w:color w:val="auto"/>
              </w:rPr>
              <w:t>Restructuring expense</w:t>
            </w: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(54)</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50</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53</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29</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78</w:t>
            </w: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9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Non-cash compensation</w:t>
            </w: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877</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1,067</w:t>
            </w:r>
          </w:p>
        </w:tc>
        <w:tc>
          <w:tcPr>
            <w:tcW w:w="160" w:type="dxa"/>
            <w:vAlign w:val="bottom"/>
            <w:shd w:val="clear" w:color="auto" w:fill="CCEEFF"/>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1160" w:type="dxa"/>
            <w:vAlign w:val="bottom"/>
          </w:tcPr>
          <w:p>
            <w:pPr>
              <w:spacing w:after="0"/>
              <w:rPr>
                <w:sz w:val="19"/>
                <w:szCs w:val="19"/>
                <w:color w:val="auto"/>
              </w:rPr>
            </w:pPr>
          </w:p>
        </w:tc>
        <w:tc>
          <w:tcPr>
            <w:tcW w:w="3940" w:type="dxa"/>
            <w:vAlign w:val="bottom"/>
          </w:tcPr>
          <w:p>
            <w:pPr>
              <w:ind w:left="120"/>
              <w:spacing w:after="0"/>
              <w:rPr>
                <w:sz w:val="20"/>
                <w:szCs w:val="20"/>
                <w:color w:val="auto"/>
              </w:rPr>
            </w:pPr>
            <w:r>
              <w:rPr>
                <w:rFonts w:ascii="Arial" w:cs="Arial" w:eastAsia="Arial" w:hAnsi="Arial"/>
                <w:sz w:val="18"/>
                <w:szCs w:val="18"/>
                <w:color w:val="auto"/>
              </w:rPr>
              <w:t>Litigation settlements and contingencies</w:t>
            </w:r>
          </w:p>
        </w:tc>
        <w:tc>
          <w:tcPr>
            <w:tcW w:w="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8</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14</w:t>
            </w: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1160" w:type="dxa"/>
            <w:vAlign w:val="bottom"/>
          </w:tcPr>
          <w:p>
            <w:pPr>
              <w:spacing w:after="0" w:line="20" w:lineRule="exact"/>
              <w:rPr>
                <w:sz w:val="1"/>
                <w:szCs w:val="1"/>
                <w:color w:val="auto"/>
              </w:rPr>
            </w:pPr>
          </w:p>
        </w:tc>
        <w:tc>
          <w:tcPr>
            <w:tcW w:w="39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Adjusted EBITDA</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3,817</w:t>
            </w:r>
          </w:p>
        </w:tc>
        <w:tc>
          <w:tcPr>
            <w:tcW w:w="10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1,575</w:t>
            </w:r>
          </w:p>
        </w:tc>
        <w:tc>
          <w:tcPr>
            <w:tcW w:w="2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(631)</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(8,291)</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(3,530)</w:t>
            </w: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5100" w:type="dxa"/>
            <w:vAlign w:val="bottom"/>
            <w:gridSpan w:val="2"/>
            <w:vMerge w:val="restart"/>
          </w:tcPr>
          <w:p>
            <w:pPr>
              <w:ind w:left="1140"/>
              <w:spacing w:after="0"/>
              <w:rPr>
                <w:sz w:val="20"/>
                <w:szCs w:val="20"/>
                <w:color w:val="auto"/>
              </w:rPr>
            </w:pPr>
            <w:r>
              <w:rPr>
                <w:rFonts w:ascii="Arial" w:cs="Arial" w:eastAsia="Arial" w:hAnsi="Arial"/>
                <w:sz w:val="18"/>
                <w:szCs w:val="18"/>
                <w:color w:val="auto"/>
              </w:rPr>
              <w:t>Reconciliation to net loss in total:</w:t>
            </w:r>
          </w:p>
        </w:tc>
        <w:tc>
          <w:tcPr>
            <w:tcW w:w="3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100" w:type="dxa"/>
            <w:vAlign w:val="bottom"/>
            <w:gridSpan w:val="2"/>
            <w:vMerge w:val="continu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5100" w:type="dxa"/>
            <w:vAlign w:val="bottom"/>
            <w:gridSpan w:val="2"/>
            <w:vMerge w:val="continue"/>
          </w:tcPr>
          <w:p>
            <w:pPr>
              <w:spacing w:after="0"/>
              <w:rPr>
                <w:sz w:val="16"/>
                <w:szCs w:val="16"/>
                <w:color w:val="auto"/>
              </w:rPr>
            </w:pPr>
          </w:p>
        </w:tc>
        <w:tc>
          <w:tcPr>
            <w:tcW w:w="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1160" w:type="dxa"/>
            <w:vAlign w:val="bottom"/>
          </w:tcPr>
          <w:p>
            <w:pPr>
              <w:spacing w:after="0"/>
              <w:rPr>
                <w:sz w:val="18"/>
                <w:szCs w:val="18"/>
                <w:color w:val="auto"/>
              </w:rPr>
            </w:pPr>
          </w:p>
        </w:tc>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Operating loss per above</w:t>
            </w: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(7,442)</w:t>
            </w: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1160" w:type="dxa"/>
            <w:vAlign w:val="bottom"/>
          </w:tcPr>
          <w:p>
            <w:pPr>
              <w:spacing w:after="0"/>
              <w:rPr>
                <w:sz w:val="19"/>
                <w:szCs w:val="19"/>
                <w:color w:val="auto"/>
              </w:rPr>
            </w:pPr>
          </w:p>
        </w:tc>
        <w:tc>
          <w:tcPr>
            <w:tcW w:w="3940" w:type="dxa"/>
            <w:vAlign w:val="bottom"/>
          </w:tcPr>
          <w:p>
            <w:pPr>
              <w:spacing w:after="0"/>
              <w:rPr>
                <w:sz w:val="20"/>
                <w:szCs w:val="20"/>
                <w:color w:val="auto"/>
              </w:rPr>
            </w:pPr>
            <w:r>
              <w:rPr>
                <w:rFonts w:ascii="Arial" w:cs="Arial" w:eastAsia="Arial" w:hAnsi="Arial"/>
                <w:sz w:val="18"/>
                <w:szCs w:val="18"/>
                <w:color w:val="auto"/>
              </w:rPr>
              <w:t>Other expense, net</w:t>
            </w:r>
          </w:p>
        </w:tc>
        <w:tc>
          <w:tcPr>
            <w:tcW w:w="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rPr>
              <w:t>(140)</w:t>
            </w: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1160" w:type="dxa"/>
            <w:vAlign w:val="bottom"/>
          </w:tcPr>
          <w:p>
            <w:pPr>
              <w:spacing w:after="0" w:line="20" w:lineRule="exact"/>
              <w:rPr>
                <w:sz w:val="1"/>
                <w:szCs w:val="1"/>
                <w:color w:val="auto"/>
              </w:rPr>
            </w:pPr>
          </w:p>
        </w:tc>
        <w:tc>
          <w:tcPr>
            <w:tcW w:w="39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Income before income taxes</w:t>
            </w: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(7,582)</w:t>
            </w: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1160" w:type="dxa"/>
            <w:vAlign w:val="bottom"/>
          </w:tcPr>
          <w:p>
            <w:pPr>
              <w:spacing w:after="0"/>
              <w:rPr>
                <w:sz w:val="19"/>
                <w:szCs w:val="19"/>
                <w:color w:val="auto"/>
              </w:rPr>
            </w:pPr>
          </w:p>
        </w:tc>
        <w:tc>
          <w:tcPr>
            <w:tcW w:w="3940" w:type="dxa"/>
            <w:vAlign w:val="bottom"/>
          </w:tcPr>
          <w:p>
            <w:pPr>
              <w:spacing w:after="0"/>
              <w:rPr>
                <w:sz w:val="20"/>
                <w:szCs w:val="20"/>
                <w:color w:val="auto"/>
              </w:rPr>
            </w:pPr>
            <w:r>
              <w:rPr>
                <w:rFonts w:ascii="Arial" w:cs="Arial" w:eastAsia="Arial" w:hAnsi="Arial"/>
                <w:sz w:val="18"/>
                <w:szCs w:val="18"/>
                <w:color w:val="auto"/>
              </w:rPr>
              <w:t>Income tax benefit</w:t>
            </w:r>
          </w:p>
        </w:tc>
        <w:tc>
          <w:tcPr>
            <w:tcW w:w="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182</w:t>
            </w: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1160" w:type="dxa"/>
            <w:vAlign w:val="bottom"/>
          </w:tcPr>
          <w:p>
            <w:pPr>
              <w:spacing w:after="0" w:line="20" w:lineRule="exact"/>
              <w:rPr>
                <w:sz w:val="1"/>
                <w:szCs w:val="1"/>
                <w:color w:val="auto"/>
              </w:rPr>
            </w:pPr>
          </w:p>
        </w:tc>
        <w:tc>
          <w:tcPr>
            <w:tcW w:w="39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(7,400)</w:t>
            </w: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1160" w:type="dxa"/>
            <w:vAlign w:val="bottom"/>
          </w:tcPr>
          <w:p>
            <w:pPr>
              <w:spacing w:after="0"/>
              <w:rPr>
                <w:sz w:val="2"/>
                <w:szCs w:val="2"/>
                <w:color w:val="auto"/>
              </w:rPr>
            </w:pPr>
          </w:p>
        </w:tc>
        <w:tc>
          <w:tcPr>
            <w:tcW w:w="39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vMerge w:val="restart"/>
          </w:tcPr>
          <w:p>
            <w:pPr>
              <w:jc w:val="right"/>
              <w:ind w:right="453"/>
              <w:spacing w:after="0"/>
              <w:rPr>
                <w:sz w:val="20"/>
                <w:szCs w:val="20"/>
                <w:color w:val="auto"/>
              </w:rPr>
            </w:pPr>
            <w:r>
              <w:rPr>
                <w:rFonts w:ascii="Arial" w:cs="Arial" w:eastAsia="Arial" w:hAnsi="Arial"/>
                <w:sz w:val="18"/>
                <w:szCs w:val="18"/>
                <w:color w:val="auto"/>
                <w:w w:val="99"/>
              </w:rPr>
              <w:t>16</w:t>
            </w: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39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vMerge w:val="continu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1"/>
        </w:trPr>
        <w:tc>
          <w:tcPr>
            <w:tcW w:w="1160" w:type="dxa"/>
            <w:vAlign w:val="bottom"/>
          </w:tcPr>
          <w:p>
            <w:pPr>
              <w:spacing w:after="0"/>
              <w:rPr>
                <w:sz w:val="24"/>
                <w:szCs w:val="24"/>
                <w:color w:val="auto"/>
              </w:rPr>
            </w:pPr>
          </w:p>
        </w:tc>
        <w:tc>
          <w:tcPr>
            <w:tcW w:w="39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1160" w:type="dxa"/>
            <w:vAlign w:val="bottom"/>
            <w:tcBorders>
              <w:bottom w:val="single" w:sz="8" w:color="808080"/>
            </w:tcBorders>
          </w:tcPr>
          <w:p>
            <w:pPr>
              <w:spacing w:after="0"/>
              <w:rPr>
                <w:sz w:val="19"/>
                <w:szCs w:val="19"/>
                <w:color w:val="auto"/>
              </w:rPr>
            </w:pPr>
          </w:p>
        </w:tc>
        <w:tc>
          <w:tcPr>
            <w:tcW w:w="3940" w:type="dxa"/>
            <w:vAlign w:val="bottom"/>
            <w:tcBorders>
              <w:bottom w:val="single" w:sz="8" w:color="808080"/>
            </w:tcBorders>
          </w:tcPr>
          <w:p>
            <w:pPr>
              <w:spacing w:after="0"/>
              <w:rPr>
                <w:sz w:val="19"/>
                <w:szCs w:val="19"/>
                <w:color w:val="auto"/>
              </w:rPr>
            </w:pPr>
          </w:p>
        </w:tc>
        <w:tc>
          <w:tcPr>
            <w:tcW w:w="36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76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6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60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56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86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56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1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7" w:name="page18"/>
    <w:bookmarkEnd w:id="1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TREE.COM, INC. AND SUBSIDIARIES</w:t>
      </w:r>
    </w:p>
    <w:p>
      <w:pPr>
        <w:spacing w:after="0" w:line="225" w:lineRule="exact"/>
        <w:rPr>
          <w:sz w:val="20"/>
          <w:szCs w:val="20"/>
          <w:color w:val="auto"/>
        </w:rPr>
      </w:pPr>
    </w:p>
    <w:p>
      <w:pPr>
        <w:ind w:left="294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7—SEGMENT INFORMATION (Continued)</w:t>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42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3040" w:type="dxa"/>
            <w:vAlign w:val="bottom"/>
            <w:tcBorders>
              <w:bottom w:val="single" w:sz="8" w:color="auto"/>
            </w:tcBorders>
            <w:gridSpan w:val="10"/>
          </w:tcPr>
          <w:p>
            <w:pPr>
              <w:jc w:val="right"/>
              <w:ind w:right="200"/>
              <w:spacing w:after="0"/>
              <w:rPr>
                <w:sz w:val="20"/>
                <w:szCs w:val="20"/>
                <w:color w:val="auto"/>
              </w:rPr>
            </w:pPr>
            <w:r>
              <w:rPr>
                <w:rFonts w:ascii="Arial" w:cs="Arial" w:eastAsia="Arial" w:hAnsi="Arial"/>
                <w:sz w:val="14"/>
                <w:szCs w:val="14"/>
                <w:b w:val="1"/>
                <w:bCs w:val="1"/>
                <w:color w:val="auto"/>
                <w:w w:val="87"/>
              </w:rPr>
              <w:t>For the Nine Months Ended September 30, 2010:</w:t>
            </w: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1160" w:type="dxa"/>
            <w:vAlign w:val="bottom"/>
          </w:tcPr>
          <w:p>
            <w:pPr>
              <w:spacing w:after="0"/>
              <w:rPr>
                <w:sz w:val="11"/>
                <w:szCs w:val="11"/>
                <w:color w:val="auto"/>
              </w:rPr>
            </w:pPr>
          </w:p>
        </w:tc>
        <w:tc>
          <w:tcPr>
            <w:tcW w:w="4200" w:type="dxa"/>
            <w:vAlign w:val="bottom"/>
          </w:tcPr>
          <w:p>
            <w:pPr>
              <w:spacing w:after="0"/>
              <w:rPr>
                <w:sz w:val="11"/>
                <w:szCs w:val="11"/>
                <w:color w:val="auto"/>
              </w:rPr>
            </w:pPr>
          </w:p>
        </w:tc>
        <w:tc>
          <w:tcPr>
            <w:tcW w:w="960" w:type="dxa"/>
            <w:vAlign w:val="bottom"/>
            <w:gridSpan w:val="3"/>
          </w:tcPr>
          <w:p>
            <w:pPr>
              <w:jc w:val="right"/>
              <w:ind w:right="160"/>
              <w:spacing w:after="0" w:line="129" w:lineRule="exact"/>
              <w:rPr>
                <w:sz w:val="20"/>
                <w:szCs w:val="20"/>
                <w:color w:val="auto"/>
              </w:rPr>
            </w:pPr>
            <w:r>
              <w:rPr>
                <w:rFonts w:ascii="Arial" w:cs="Arial" w:eastAsia="Arial" w:hAnsi="Arial"/>
                <w:sz w:val="14"/>
                <w:szCs w:val="14"/>
                <w:b w:val="1"/>
                <w:bCs w:val="1"/>
                <w:color w:val="auto"/>
                <w:w w:val="92"/>
              </w:rPr>
              <w:t>LendingTree</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gridSpan w:val="2"/>
          </w:tcPr>
          <w:p>
            <w:pPr>
              <w:jc w:val="right"/>
              <w:ind w:right="380"/>
              <w:spacing w:after="0" w:line="129" w:lineRule="exact"/>
              <w:rPr>
                <w:sz w:val="20"/>
                <w:szCs w:val="20"/>
                <w:color w:val="auto"/>
              </w:rPr>
            </w:pPr>
            <w:r>
              <w:rPr>
                <w:rFonts w:ascii="Arial" w:cs="Arial" w:eastAsia="Arial" w:hAnsi="Arial"/>
                <w:sz w:val="14"/>
                <w:szCs w:val="14"/>
                <w:b w:val="1"/>
                <w:bCs w:val="1"/>
                <w:color w:val="auto"/>
              </w:rPr>
              <w:t>Real</w:t>
            </w:r>
          </w:p>
        </w:tc>
        <w:tc>
          <w:tcPr>
            <w:tcW w:w="1160" w:type="dxa"/>
            <w:vAlign w:val="bottom"/>
            <w:gridSpan w:val="3"/>
          </w:tcPr>
          <w:p>
            <w:pPr>
              <w:jc w:val="right"/>
              <w:ind w:right="240"/>
              <w:spacing w:after="0" w:line="129" w:lineRule="exact"/>
              <w:rPr>
                <w:sz w:val="20"/>
                <w:szCs w:val="20"/>
                <w:color w:val="auto"/>
              </w:rPr>
            </w:pPr>
            <w:r>
              <w:rPr>
                <w:rFonts w:ascii="Arial" w:cs="Arial" w:eastAsia="Arial" w:hAnsi="Arial"/>
                <w:sz w:val="14"/>
                <w:szCs w:val="14"/>
                <w:b w:val="1"/>
                <w:bCs w:val="1"/>
                <w:color w:val="auto"/>
                <w:w w:val="96"/>
              </w:rPr>
              <w:t>Unallocated—</w:t>
            </w: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1160" w:type="dxa"/>
            <w:vAlign w:val="bottom"/>
          </w:tcPr>
          <w:p>
            <w:pPr>
              <w:spacing w:after="0"/>
              <w:rPr>
                <w:sz w:val="14"/>
                <w:szCs w:val="14"/>
                <w:color w:val="auto"/>
              </w:rPr>
            </w:pPr>
          </w:p>
        </w:tc>
        <w:tc>
          <w:tcPr>
            <w:tcW w:w="42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173"/>
              <w:spacing w:after="0"/>
              <w:rPr>
                <w:sz w:val="20"/>
                <w:szCs w:val="20"/>
                <w:color w:val="auto"/>
              </w:rPr>
            </w:pPr>
            <w:r>
              <w:rPr>
                <w:rFonts w:ascii="Arial" w:cs="Arial" w:eastAsia="Arial" w:hAnsi="Arial"/>
                <w:sz w:val="14"/>
                <w:szCs w:val="14"/>
                <w:b w:val="1"/>
                <w:bCs w:val="1"/>
                <w:color w:val="auto"/>
              </w:rPr>
              <w:t>Loans</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1"/>
              </w:rPr>
              <w:t>Exchanges</w:t>
            </w:r>
          </w:p>
        </w:tc>
        <w:tc>
          <w:tcPr>
            <w:tcW w:w="1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94"/>
              <w:spacing w:after="0"/>
              <w:rPr>
                <w:sz w:val="20"/>
                <w:szCs w:val="20"/>
                <w:color w:val="auto"/>
              </w:rPr>
            </w:pPr>
            <w:r>
              <w:rPr>
                <w:rFonts w:ascii="Arial" w:cs="Arial" w:eastAsia="Arial" w:hAnsi="Arial"/>
                <w:sz w:val="14"/>
                <w:szCs w:val="14"/>
                <w:b w:val="1"/>
                <w:bCs w:val="1"/>
                <w:color w:val="auto"/>
                <w:w w:val="90"/>
              </w:rPr>
              <w:t>Estate</w:t>
            </w:r>
          </w:p>
        </w:tc>
        <w:tc>
          <w:tcPr>
            <w:tcW w:w="1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113"/>
              <w:spacing w:after="0"/>
              <w:rPr>
                <w:sz w:val="20"/>
                <w:szCs w:val="20"/>
                <w:color w:val="auto"/>
              </w:rPr>
            </w:pPr>
            <w:r>
              <w:rPr>
                <w:rFonts w:ascii="Arial" w:cs="Arial" w:eastAsia="Arial" w:hAnsi="Arial"/>
                <w:sz w:val="14"/>
                <w:szCs w:val="14"/>
                <w:b w:val="1"/>
                <w:bCs w:val="1"/>
                <w:color w:val="auto"/>
                <w:w w:val="95"/>
              </w:rPr>
              <w:t>Corporate</w:t>
            </w:r>
          </w:p>
        </w:tc>
        <w:tc>
          <w:tcPr>
            <w:tcW w:w="1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73"/>
              <w:spacing w:after="0"/>
              <w:rPr>
                <w:sz w:val="20"/>
                <w:szCs w:val="20"/>
                <w:color w:val="auto"/>
              </w:rPr>
            </w:pPr>
            <w:r>
              <w:rPr>
                <w:rFonts w:ascii="Arial" w:cs="Arial" w:eastAsia="Arial" w:hAnsi="Arial"/>
                <w:sz w:val="14"/>
                <w:szCs w:val="14"/>
                <w:b w:val="1"/>
                <w:bCs w:val="1"/>
                <w:color w:val="auto"/>
              </w:rPr>
              <w:t>Total</w:t>
            </w:r>
          </w:p>
        </w:tc>
        <w:tc>
          <w:tcPr>
            <w:tcW w:w="126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180" w:type="dxa"/>
            <w:vAlign w:val="bottom"/>
            <w:shd w:val="clear" w:color="auto" w:fill="CCEEFF"/>
          </w:tcPr>
          <w:p>
            <w:pPr>
              <w:jc w:val="right"/>
              <w:ind w:right="26"/>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87,147</w:t>
            </w:r>
          </w:p>
        </w:tc>
        <w:tc>
          <w:tcPr>
            <w:tcW w:w="8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48,197</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11,825</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(184)</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146,985</w:t>
            </w:r>
          </w:p>
        </w:tc>
        <w:tc>
          <w:tcPr>
            <w:tcW w:w="160" w:type="dxa"/>
            <w:vAlign w:val="bottom"/>
            <w:shd w:val="clear" w:color="auto" w:fill="CCEEFF"/>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1160" w:type="dxa"/>
            <w:vAlign w:val="bottom"/>
          </w:tcPr>
          <w:p>
            <w:pPr>
              <w:spacing w:after="0"/>
              <w:rPr>
                <w:sz w:val="18"/>
                <w:szCs w:val="18"/>
                <w:color w:val="auto"/>
              </w:rPr>
            </w:pPr>
          </w:p>
        </w:tc>
        <w:tc>
          <w:tcPr>
            <w:tcW w:w="4200" w:type="dxa"/>
            <w:vAlign w:val="bottom"/>
          </w:tcPr>
          <w:p>
            <w:pPr>
              <w:spacing w:after="0"/>
              <w:rPr>
                <w:sz w:val="20"/>
                <w:szCs w:val="20"/>
                <w:color w:val="auto"/>
              </w:rPr>
            </w:pPr>
            <w:r>
              <w:rPr>
                <w:rFonts w:ascii="Arial" w:cs="Arial" w:eastAsia="Arial" w:hAnsi="Arial"/>
                <w:sz w:val="18"/>
                <w:szCs w:val="18"/>
                <w:color w:val="auto"/>
              </w:rPr>
              <w:t>Cost of revenue (exclusive of depreciation shown</w:t>
            </w: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1160" w:type="dxa"/>
            <w:vAlign w:val="bottom"/>
          </w:tcPr>
          <w:p>
            <w:pPr>
              <w:spacing w:after="0"/>
              <w:rPr>
                <w:sz w:val="19"/>
                <w:szCs w:val="19"/>
                <w:color w:val="auto"/>
              </w:rPr>
            </w:pPr>
          </w:p>
        </w:tc>
        <w:tc>
          <w:tcPr>
            <w:tcW w:w="4200" w:type="dxa"/>
            <w:vAlign w:val="bottom"/>
          </w:tcPr>
          <w:p>
            <w:pPr>
              <w:ind w:left="160"/>
              <w:spacing w:after="0"/>
              <w:rPr>
                <w:sz w:val="20"/>
                <w:szCs w:val="20"/>
                <w:color w:val="auto"/>
              </w:rPr>
            </w:pPr>
            <w:r>
              <w:rPr>
                <w:rFonts w:ascii="Arial" w:cs="Arial" w:eastAsia="Arial" w:hAnsi="Arial"/>
                <w:sz w:val="18"/>
                <w:szCs w:val="18"/>
                <w:color w:val="auto"/>
              </w:rPr>
              <w:t>separately below)</w:t>
            </w:r>
          </w:p>
        </w:tc>
        <w:tc>
          <w:tcPr>
            <w:tcW w:w="1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30,752</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3,180</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7,312</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474</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41,718</w:t>
            </w: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9"/>
        </w:trPr>
        <w:tc>
          <w:tcPr>
            <w:tcW w:w="1160" w:type="dxa"/>
            <w:vAlign w:val="bottom"/>
          </w:tcPr>
          <w:p>
            <w:pPr>
              <w:spacing w:after="0"/>
              <w:rPr>
                <w:sz w:val="2"/>
                <w:szCs w:val="2"/>
                <w:color w:val="auto"/>
              </w:rPr>
            </w:pPr>
          </w:p>
        </w:tc>
        <w:tc>
          <w:tcPr>
            <w:tcW w:w="42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42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Gross margin</w:t>
            </w: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56,395</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45,017</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4,513</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(658)</w:t>
            </w: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105,267</w:t>
            </w:r>
          </w:p>
        </w:tc>
        <w:tc>
          <w:tcPr>
            <w:tcW w:w="160" w:type="dxa"/>
            <w:vAlign w:val="bottom"/>
            <w:shd w:val="clear" w:color="auto" w:fill="CCEEFF"/>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200" w:type="dxa"/>
            <w:vAlign w:val="bottom"/>
          </w:tcPr>
          <w:p>
            <w:pPr>
              <w:spacing w:after="0"/>
              <w:rPr>
                <w:sz w:val="20"/>
                <w:szCs w:val="20"/>
                <w:color w:val="auto"/>
              </w:rPr>
            </w:pPr>
            <w:r>
              <w:rPr>
                <w:rFonts w:ascii="Arial" w:cs="Arial" w:eastAsia="Arial" w:hAnsi="Arial"/>
                <w:sz w:val="18"/>
                <w:szCs w:val="18"/>
                <w:color w:val="auto"/>
              </w:rPr>
              <w:t>Operating expenses:</w:t>
            </w: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2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Selling and marketing expense</w:t>
            </w: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14,597</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38,885</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1,537</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55,035</w:t>
            </w:r>
          </w:p>
        </w:tc>
        <w:tc>
          <w:tcPr>
            <w:tcW w:w="160" w:type="dxa"/>
            <w:vAlign w:val="bottom"/>
            <w:shd w:val="clear" w:color="auto" w:fill="CCEEFF"/>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200" w:type="dxa"/>
            <w:vAlign w:val="bottom"/>
          </w:tcPr>
          <w:p>
            <w:pPr>
              <w:ind w:left="120"/>
              <w:spacing w:after="0"/>
              <w:rPr>
                <w:sz w:val="20"/>
                <w:szCs w:val="20"/>
                <w:color w:val="auto"/>
              </w:rPr>
            </w:pPr>
            <w:r>
              <w:rPr>
                <w:rFonts w:ascii="Arial" w:cs="Arial" w:eastAsia="Arial" w:hAnsi="Arial"/>
                <w:sz w:val="18"/>
                <w:szCs w:val="18"/>
                <w:color w:val="auto"/>
              </w:rPr>
              <w:t>General and administrative expense</w:t>
            </w: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16,446</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3,733</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4,049</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15,035</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39,263</w:t>
            </w: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2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Product development</w:t>
            </w: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2,360</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276</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2,964</w:t>
            </w:r>
          </w:p>
        </w:tc>
        <w:tc>
          <w:tcPr>
            <w:tcW w:w="160" w:type="dxa"/>
            <w:vAlign w:val="bottom"/>
            <w:shd w:val="clear" w:color="auto" w:fill="CCEEFF"/>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200" w:type="dxa"/>
            <w:vAlign w:val="bottom"/>
          </w:tcPr>
          <w:p>
            <w:pPr>
              <w:ind w:left="120"/>
              <w:spacing w:after="0"/>
              <w:rPr>
                <w:sz w:val="20"/>
                <w:szCs w:val="20"/>
                <w:color w:val="auto"/>
              </w:rPr>
            </w:pPr>
            <w:r>
              <w:rPr>
                <w:rFonts w:ascii="Arial" w:cs="Arial" w:eastAsia="Arial" w:hAnsi="Arial"/>
                <w:sz w:val="18"/>
                <w:szCs w:val="18"/>
                <w:color w:val="auto"/>
              </w:rPr>
              <w:t>Litigation settlements and contingencies</w:t>
            </w: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1,551</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36</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1,588</w:t>
            </w: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2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Restructuring expense</w:t>
            </w: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652</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2,592</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3,363</w:t>
            </w:r>
          </w:p>
        </w:tc>
        <w:tc>
          <w:tcPr>
            <w:tcW w:w="160" w:type="dxa"/>
            <w:vAlign w:val="bottom"/>
            <w:shd w:val="clear" w:color="auto" w:fill="CCEEFF"/>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200" w:type="dxa"/>
            <w:vAlign w:val="bottom"/>
          </w:tcPr>
          <w:p>
            <w:pPr>
              <w:ind w:left="120"/>
              <w:spacing w:after="0"/>
              <w:rPr>
                <w:sz w:val="20"/>
                <w:szCs w:val="20"/>
                <w:color w:val="auto"/>
              </w:rPr>
            </w:pPr>
            <w:r>
              <w:rPr>
                <w:rFonts w:ascii="Arial" w:cs="Arial" w:eastAsia="Arial" w:hAnsi="Arial"/>
                <w:sz w:val="18"/>
                <w:szCs w:val="18"/>
                <w:color w:val="auto"/>
              </w:rPr>
              <w:t>Amortization of intangibles</w:t>
            </w:r>
          </w:p>
        </w:tc>
        <w:tc>
          <w:tcPr>
            <w:tcW w:w="180" w:type="dxa"/>
            <w:vAlign w:val="bottom"/>
          </w:tcPr>
          <w:p>
            <w:pPr>
              <w:spacing w:after="0"/>
              <w:rPr>
                <w:sz w:val="18"/>
                <w:szCs w:val="18"/>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884</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1,483</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38</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2,405</w:t>
            </w: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2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Depreciation</w:t>
            </w: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1,310</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1,373</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933</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923</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4,539</w:t>
            </w:r>
          </w:p>
        </w:tc>
        <w:tc>
          <w:tcPr>
            <w:tcW w:w="160" w:type="dxa"/>
            <w:vAlign w:val="bottom"/>
            <w:shd w:val="clear" w:color="auto" w:fill="CCEEFF"/>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1160" w:type="dxa"/>
            <w:vAlign w:val="bottom"/>
          </w:tcPr>
          <w:p>
            <w:pPr>
              <w:spacing w:after="0"/>
              <w:rPr>
                <w:sz w:val="2"/>
                <w:szCs w:val="2"/>
                <w:color w:val="auto"/>
              </w:rPr>
            </w:pPr>
          </w:p>
        </w:tc>
        <w:tc>
          <w:tcPr>
            <w:tcW w:w="4200" w:type="dxa"/>
            <w:vAlign w:val="bottom"/>
            <w:vMerge w:val="restart"/>
          </w:tcPr>
          <w:p>
            <w:pPr>
              <w:ind w:left="120"/>
              <w:spacing w:after="0"/>
              <w:rPr>
                <w:sz w:val="20"/>
                <w:szCs w:val="20"/>
                <w:color w:val="auto"/>
              </w:rPr>
            </w:pPr>
            <w:r>
              <w:rPr>
                <w:rFonts w:ascii="Arial" w:cs="Arial" w:eastAsia="Arial" w:hAnsi="Arial"/>
                <w:sz w:val="18"/>
                <w:szCs w:val="18"/>
                <w:color w:val="auto"/>
              </w:rPr>
              <w:t>Total operating expenses</w:t>
            </w:r>
          </w:p>
        </w:tc>
        <w:tc>
          <w:tcPr>
            <w:tcW w:w="1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200" w:type="dxa"/>
            <w:vAlign w:val="bottom"/>
            <w:vMerge w:val="continue"/>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34,031</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47,361</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8,966</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18,799</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2"/>
              </w:rPr>
              <w:t>109,157</w:t>
            </w: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1160" w:type="dxa"/>
            <w:vAlign w:val="bottom"/>
          </w:tcPr>
          <w:p>
            <w:pPr>
              <w:spacing w:after="0" w:line="20" w:lineRule="exact"/>
              <w:rPr>
                <w:sz w:val="1"/>
                <w:szCs w:val="1"/>
                <w:color w:val="auto"/>
              </w:rPr>
            </w:pPr>
          </w:p>
        </w:tc>
        <w:tc>
          <w:tcPr>
            <w:tcW w:w="4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 (loss)</w:t>
            </w: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22,364</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(2,344)</w:t>
            </w: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(4,453)</w:t>
            </w: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(19,457)</w:t>
            </w: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(3,890)</w:t>
            </w: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1160" w:type="dxa"/>
            <w:vAlign w:val="bottom"/>
          </w:tcPr>
          <w:p>
            <w:pPr>
              <w:spacing w:after="0"/>
              <w:rPr>
                <w:sz w:val="18"/>
                <w:szCs w:val="18"/>
                <w:color w:val="auto"/>
              </w:rPr>
            </w:pPr>
          </w:p>
        </w:tc>
        <w:tc>
          <w:tcPr>
            <w:tcW w:w="4200" w:type="dxa"/>
            <w:vAlign w:val="bottom"/>
          </w:tcPr>
          <w:p>
            <w:pPr>
              <w:spacing w:after="0"/>
              <w:rPr>
                <w:sz w:val="20"/>
                <w:szCs w:val="20"/>
                <w:color w:val="auto"/>
              </w:rPr>
            </w:pPr>
            <w:r>
              <w:rPr>
                <w:rFonts w:ascii="Arial" w:cs="Arial" w:eastAsia="Arial" w:hAnsi="Arial"/>
                <w:sz w:val="18"/>
                <w:szCs w:val="18"/>
                <w:color w:val="auto"/>
              </w:rPr>
              <w:t>Adjustments to reconcile to EBITDA and Adjusted</w:t>
            </w: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160" w:type="dxa"/>
            <w:vAlign w:val="bottom"/>
          </w:tcPr>
          <w:p>
            <w:pPr>
              <w:spacing w:after="0"/>
              <w:rPr>
                <w:sz w:val="19"/>
                <w:szCs w:val="19"/>
                <w:color w:val="auto"/>
              </w:rPr>
            </w:pPr>
          </w:p>
        </w:tc>
        <w:tc>
          <w:tcPr>
            <w:tcW w:w="4200" w:type="dxa"/>
            <w:vAlign w:val="bottom"/>
          </w:tcPr>
          <w:p>
            <w:pPr>
              <w:ind w:left="160"/>
              <w:spacing w:after="0"/>
              <w:rPr>
                <w:sz w:val="20"/>
                <w:szCs w:val="20"/>
                <w:color w:val="auto"/>
              </w:rPr>
            </w:pPr>
            <w:r>
              <w:rPr>
                <w:rFonts w:ascii="Arial" w:cs="Arial" w:eastAsia="Arial" w:hAnsi="Arial"/>
                <w:sz w:val="18"/>
                <w:szCs w:val="18"/>
                <w:color w:val="auto"/>
              </w:rPr>
              <w:t>EBITDA:</w:t>
            </w:r>
          </w:p>
        </w:tc>
        <w:tc>
          <w:tcPr>
            <w:tcW w:w="1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1160" w:type="dxa"/>
            <w:vAlign w:val="bottom"/>
          </w:tcPr>
          <w:p>
            <w:pPr>
              <w:spacing w:after="0"/>
              <w:rPr>
                <w:sz w:val="18"/>
                <w:szCs w:val="18"/>
                <w:color w:val="auto"/>
              </w:rPr>
            </w:pPr>
          </w:p>
        </w:tc>
        <w:tc>
          <w:tcPr>
            <w:tcW w:w="42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Amortization of intangibles</w:t>
            </w: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884</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1,483</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2,405</w:t>
            </w:r>
          </w:p>
        </w:tc>
        <w:tc>
          <w:tcPr>
            <w:tcW w:w="160" w:type="dxa"/>
            <w:vAlign w:val="bottom"/>
            <w:shd w:val="clear" w:color="auto" w:fill="CCEEFF"/>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1160" w:type="dxa"/>
            <w:vAlign w:val="bottom"/>
          </w:tcPr>
          <w:p>
            <w:pPr>
              <w:spacing w:after="0"/>
              <w:rPr>
                <w:sz w:val="19"/>
                <w:szCs w:val="19"/>
                <w:color w:val="auto"/>
              </w:rPr>
            </w:pPr>
          </w:p>
        </w:tc>
        <w:tc>
          <w:tcPr>
            <w:tcW w:w="4200" w:type="dxa"/>
            <w:vAlign w:val="bottom"/>
          </w:tcPr>
          <w:p>
            <w:pPr>
              <w:ind w:left="120"/>
              <w:spacing w:after="0"/>
              <w:rPr>
                <w:sz w:val="20"/>
                <w:szCs w:val="20"/>
                <w:color w:val="auto"/>
              </w:rPr>
            </w:pPr>
            <w:r>
              <w:rPr>
                <w:rFonts w:ascii="Arial" w:cs="Arial" w:eastAsia="Arial" w:hAnsi="Arial"/>
                <w:sz w:val="18"/>
                <w:szCs w:val="18"/>
                <w:color w:val="auto"/>
              </w:rPr>
              <w:t>Depreciation</w:t>
            </w:r>
          </w:p>
        </w:tc>
        <w:tc>
          <w:tcPr>
            <w:tcW w:w="1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1,310</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1,373</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933</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923</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4,539</w:t>
            </w: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1160" w:type="dxa"/>
            <w:vAlign w:val="bottom"/>
          </w:tcPr>
          <w:p>
            <w:pPr>
              <w:spacing w:after="0" w:line="20" w:lineRule="exact"/>
              <w:rPr>
                <w:sz w:val="1"/>
                <w:szCs w:val="1"/>
                <w:color w:val="auto"/>
              </w:rPr>
            </w:pPr>
          </w:p>
        </w:tc>
        <w:tc>
          <w:tcPr>
            <w:tcW w:w="4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EBITDA</w:t>
            </w: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23,674</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(87)</w:t>
            </w: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(2,037)</w:t>
            </w: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(18,496)</w:t>
            </w: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3,054</w:t>
            </w:r>
          </w:p>
        </w:tc>
        <w:tc>
          <w:tcPr>
            <w:tcW w:w="160" w:type="dxa"/>
            <w:vAlign w:val="bottom"/>
            <w:shd w:val="clear" w:color="auto" w:fill="CCEEFF"/>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200" w:type="dxa"/>
            <w:vAlign w:val="bottom"/>
          </w:tcPr>
          <w:p>
            <w:pPr>
              <w:ind w:left="120"/>
              <w:spacing w:after="0"/>
              <w:rPr>
                <w:sz w:val="20"/>
                <w:szCs w:val="20"/>
                <w:color w:val="auto"/>
              </w:rPr>
            </w:pPr>
            <w:r>
              <w:rPr>
                <w:rFonts w:ascii="Arial" w:cs="Arial" w:eastAsia="Arial" w:hAnsi="Arial"/>
                <w:sz w:val="18"/>
                <w:szCs w:val="18"/>
                <w:color w:val="auto"/>
              </w:rPr>
              <w:t>Restructuring expense</w:t>
            </w:r>
          </w:p>
        </w:tc>
        <w:tc>
          <w:tcPr>
            <w:tcW w:w="180" w:type="dxa"/>
            <w:vAlign w:val="bottom"/>
          </w:tcPr>
          <w:p>
            <w:pPr>
              <w:spacing w:after="0"/>
              <w:rPr>
                <w:sz w:val="18"/>
                <w:szCs w:val="18"/>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(7)</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126</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652</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2,592</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3,363</w:t>
            </w: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2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Loss on disposal of assets</w:t>
            </w: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60" w:type="dxa"/>
            <w:vAlign w:val="bottom"/>
            <w:shd w:val="clear" w:color="auto" w:fill="CCEEFF"/>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200" w:type="dxa"/>
            <w:vAlign w:val="bottom"/>
          </w:tcPr>
          <w:p>
            <w:pPr>
              <w:ind w:left="120"/>
              <w:spacing w:after="0"/>
              <w:rPr>
                <w:sz w:val="20"/>
                <w:szCs w:val="20"/>
                <w:color w:val="auto"/>
              </w:rPr>
            </w:pPr>
            <w:r>
              <w:rPr>
                <w:rFonts w:ascii="Arial" w:cs="Arial" w:eastAsia="Arial" w:hAnsi="Arial"/>
                <w:sz w:val="18"/>
                <w:szCs w:val="18"/>
                <w:color w:val="auto"/>
              </w:rPr>
              <w:t>Non-cash compensation</w:t>
            </w: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299</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703</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118</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1,720</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2,840</w:t>
            </w: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2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Litigation settlements and contingencies</w:t>
            </w: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1,551</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1,588</w:t>
            </w:r>
          </w:p>
        </w:tc>
        <w:tc>
          <w:tcPr>
            <w:tcW w:w="160" w:type="dxa"/>
            <w:vAlign w:val="bottom"/>
            <w:shd w:val="clear" w:color="auto" w:fill="CCEEFF"/>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1160" w:type="dxa"/>
            <w:vAlign w:val="bottom"/>
          </w:tcPr>
          <w:p>
            <w:pPr>
              <w:spacing w:after="0"/>
              <w:rPr>
                <w:sz w:val="19"/>
                <w:szCs w:val="19"/>
                <w:color w:val="auto"/>
              </w:rPr>
            </w:pPr>
          </w:p>
        </w:tc>
        <w:tc>
          <w:tcPr>
            <w:tcW w:w="4200" w:type="dxa"/>
            <w:vAlign w:val="bottom"/>
          </w:tcPr>
          <w:p>
            <w:pPr>
              <w:ind w:left="120"/>
              <w:spacing w:after="0"/>
              <w:rPr>
                <w:sz w:val="20"/>
                <w:szCs w:val="20"/>
                <w:color w:val="auto"/>
              </w:rPr>
            </w:pPr>
            <w:r>
              <w:rPr>
                <w:rFonts w:ascii="Arial" w:cs="Arial" w:eastAsia="Arial" w:hAnsi="Arial"/>
                <w:sz w:val="18"/>
                <w:szCs w:val="18"/>
                <w:color w:val="auto"/>
              </w:rPr>
              <w:t>Post acquisitions adjustments</w:t>
            </w:r>
          </w:p>
        </w:tc>
        <w:tc>
          <w:tcPr>
            <w:tcW w:w="180" w:type="dxa"/>
            <w:vAlign w:val="bottom"/>
          </w:tcPr>
          <w:p>
            <w:pPr>
              <w:spacing w:after="0"/>
              <w:rPr>
                <w:sz w:val="19"/>
                <w:szCs w:val="19"/>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(849)</w:t>
            </w:r>
          </w:p>
        </w:tc>
        <w:tc>
          <w:tcPr>
            <w:tcW w:w="120" w:type="dxa"/>
            <w:vAlign w:val="bottom"/>
          </w:tcPr>
          <w:p>
            <w:pPr>
              <w:spacing w:after="0"/>
              <w:rPr>
                <w:sz w:val="19"/>
                <w:szCs w:val="19"/>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(221)</w:t>
            </w:r>
          </w:p>
        </w:tc>
        <w:tc>
          <w:tcPr>
            <w:tcW w:w="140" w:type="dxa"/>
            <w:vAlign w:val="bottom"/>
          </w:tcPr>
          <w:p>
            <w:pPr>
              <w:spacing w:after="0"/>
              <w:rPr>
                <w:sz w:val="19"/>
                <w:szCs w:val="19"/>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(1,070)</w:t>
            </w: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1160" w:type="dxa"/>
            <w:vAlign w:val="bottom"/>
          </w:tcPr>
          <w:p>
            <w:pPr>
              <w:spacing w:after="0" w:line="20" w:lineRule="exact"/>
              <w:rPr>
                <w:sz w:val="1"/>
                <w:szCs w:val="1"/>
                <w:color w:val="auto"/>
              </w:rPr>
            </w:pPr>
          </w:p>
        </w:tc>
        <w:tc>
          <w:tcPr>
            <w:tcW w:w="4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Adjusted EBITDA</w:t>
            </w:r>
          </w:p>
        </w:tc>
        <w:tc>
          <w:tcPr>
            <w:tcW w:w="180" w:type="dxa"/>
            <w:vAlign w:val="bottom"/>
            <w:shd w:val="clear" w:color="auto" w:fill="CCEEFF"/>
          </w:tcPr>
          <w:p>
            <w:pPr>
              <w:jc w:val="right"/>
              <w:ind w:right="26"/>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25,517</w:t>
            </w:r>
          </w:p>
        </w:tc>
        <w:tc>
          <w:tcPr>
            <w:tcW w:w="8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(107)</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(1,446)</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(14,180)</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9,784</w:t>
            </w:r>
          </w:p>
        </w:tc>
        <w:tc>
          <w:tcPr>
            <w:tcW w:w="160" w:type="dxa"/>
            <w:vAlign w:val="bottom"/>
            <w:shd w:val="clear" w:color="auto" w:fill="CCEEFF"/>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5360" w:type="dxa"/>
            <w:vAlign w:val="bottom"/>
            <w:gridSpan w:val="2"/>
            <w:vMerge w:val="restart"/>
          </w:tcPr>
          <w:p>
            <w:pPr>
              <w:ind w:left="1140"/>
              <w:spacing w:after="0"/>
              <w:rPr>
                <w:sz w:val="20"/>
                <w:szCs w:val="20"/>
                <w:color w:val="auto"/>
              </w:rPr>
            </w:pPr>
            <w:r>
              <w:rPr>
                <w:rFonts w:ascii="Arial" w:cs="Arial" w:eastAsia="Arial" w:hAnsi="Arial"/>
                <w:sz w:val="18"/>
                <w:szCs w:val="18"/>
                <w:color w:val="auto"/>
              </w:rPr>
              <w:t>Reconciliation to net loss in total:</w:t>
            </w:r>
          </w:p>
        </w:tc>
        <w:tc>
          <w:tcPr>
            <w:tcW w:w="1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360" w:type="dxa"/>
            <w:vAlign w:val="bottom"/>
            <w:gridSpan w:val="2"/>
            <w:vMerge w:val="continue"/>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536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1160" w:type="dxa"/>
            <w:vAlign w:val="bottom"/>
          </w:tcPr>
          <w:p>
            <w:pPr>
              <w:spacing w:after="0"/>
              <w:rPr>
                <w:sz w:val="18"/>
                <w:szCs w:val="18"/>
                <w:color w:val="auto"/>
              </w:rPr>
            </w:pPr>
          </w:p>
        </w:tc>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Operating loss per above</w:t>
            </w: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(3,890)</w:t>
            </w: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1160" w:type="dxa"/>
            <w:vAlign w:val="bottom"/>
          </w:tcPr>
          <w:p>
            <w:pPr>
              <w:spacing w:after="0"/>
              <w:rPr>
                <w:sz w:val="19"/>
                <w:szCs w:val="19"/>
                <w:color w:val="auto"/>
              </w:rPr>
            </w:pPr>
          </w:p>
        </w:tc>
        <w:tc>
          <w:tcPr>
            <w:tcW w:w="4200" w:type="dxa"/>
            <w:vAlign w:val="bottom"/>
          </w:tcPr>
          <w:p>
            <w:pPr>
              <w:spacing w:after="0"/>
              <w:rPr>
                <w:sz w:val="20"/>
                <w:szCs w:val="20"/>
                <w:color w:val="auto"/>
              </w:rPr>
            </w:pPr>
            <w:r>
              <w:rPr>
                <w:rFonts w:ascii="Arial" w:cs="Arial" w:eastAsia="Arial" w:hAnsi="Arial"/>
                <w:sz w:val="18"/>
                <w:szCs w:val="18"/>
                <w:color w:val="auto"/>
              </w:rPr>
              <w:t>Other expense, net</w:t>
            </w:r>
          </w:p>
        </w:tc>
        <w:tc>
          <w:tcPr>
            <w:tcW w:w="1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(386)</w:t>
            </w: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1160" w:type="dxa"/>
            <w:vAlign w:val="bottom"/>
          </w:tcPr>
          <w:p>
            <w:pPr>
              <w:spacing w:after="0" w:line="20" w:lineRule="exact"/>
              <w:rPr>
                <w:sz w:val="1"/>
                <w:szCs w:val="1"/>
                <w:color w:val="auto"/>
              </w:rPr>
            </w:pPr>
          </w:p>
        </w:tc>
        <w:tc>
          <w:tcPr>
            <w:tcW w:w="4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Loss before income taxes</w:t>
            </w: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(4,276)</w:t>
            </w: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1160" w:type="dxa"/>
            <w:vAlign w:val="bottom"/>
          </w:tcPr>
          <w:p>
            <w:pPr>
              <w:spacing w:after="0"/>
              <w:rPr>
                <w:sz w:val="19"/>
                <w:szCs w:val="19"/>
                <w:color w:val="auto"/>
              </w:rPr>
            </w:pPr>
          </w:p>
        </w:tc>
        <w:tc>
          <w:tcPr>
            <w:tcW w:w="4200" w:type="dxa"/>
            <w:vAlign w:val="bottom"/>
          </w:tcPr>
          <w:p>
            <w:pPr>
              <w:spacing w:after="0"/>
              <w:rPr>
                <w:sz w:val="20"/>
                <w:szCs w:val="20"/>
                <w:color w:val="auto"/>
              </w:rPr>
            </w:pPr>
            <w:r>
              <w:rPr>
                <w:rFonts w:ascii="Arial" w:cs="Arial" w:eastAsia="Arial" w:hAnsi="Arial"/>
                <w:sz w:val="18"/>
                <w:szCs w:val="18"/>
                <w:color w:val="auto"/>
              </w:rPr>
              <w:t>Income tax provision</w:t>
            </w:r>
          </w:p>
        </w:tc>
        <w:tc>
          <w:tcPr>
            <w:tcW w:w="1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(850)</w:t>
            </w: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1160" w:type="dxa"/>
            <w:vAlign w:val="bottom"/>
          </w:tcPr>
          <w:p>
            <w:pPr>
              <w:spacing w:after="0" w:line="20" w:lineRule="exact"/>
              <w:rPr>
                <w:sz w:val="1"/>
                <w:szCs w:val="1"/>
                <w:color w:val="auto"/>
              </w:rPr>
            </w:pPr>
          </w:p>
        </w:tc>
        <w:tc>
          <w:tcPr>
            <w:tcW w:w="4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(5,126)</w:t>
            </w: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1160" w:type="dxa"/>
            <w:vAlign w:val="bottom"/>
          </w:tcPr>
          <w:p>
            <w:pPr>
              <w:spacing w:after="0"/>
              <w:rPr>
                <w:sz w:val="2"/>
                <w:szCs w:val="2"/>
                <w:color w:val="auto"/>
              </w:rPr>
            </w:pPr>
          </w:p>
        </w:tc>
        <w:tc>
          <w:tcPr>
            <w:tcW w:w="4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vMerge w:val="restart"/>
          </w:tcPr>
          <w:p>
            <w:pPr>
              <w:jc w:val="right"/>
              <w:ind w:right="353"/>
              <w:spacing w:after="0"/>
              <w:rPr>
                <w:sz w:val="20"/>
                <w:szCs w:val="20"/>
                <w:color w:val="auto"/>
              </w:rPr>
            </w:pPr>
            <w:r>
              <w:rPr>
                <w:rFonts w:ascii="Arial" w:cs="Arial" w:eastAsia="Arial" w:hAnsi="Arial"/>
                <w:sz w:val="18"/>
                <w:szCs w:val="18"/>
                <w:color w:val="auto"/>
              </w:rPr>
              <w:t>17</w:t>
            </w: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4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vMerge w:val="continu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1"/>
        </w:trPr>
        <w:tc>
          <w:tcPr>
            <w:tcW w:w="1160" w:type="dxa"/>
            <w:vAlign w:val="bottom"/>
          </w:tcPr>
          <w:p>
            <w:pPr>
              <w:spacing w:after="0"/>
              <w:rPr>
                <w:sz w:val="24"/>
                <w:szCs w:val="24"/>
                <w:color w:val="auto"/>
              </w:rPr>
            </w:pPr>
          </w:p>
        </w:tc>
        <w:tc>
          <w:tcPr>
            <w:tcW w:w="4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vMerge w:val="continue"/>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1160" w:type="dxa"/>
            <w:vAlign w:val="bottom"/>
            <w:tcBorders>
              <w:bottom w:val="single" w:sz="8" w:color="808080"/>
            </w:tcBorders>
          </w:tcPr>
          <w:p>
            <w:pPr>
              <w:spacing w:after="0"/>
              <w:rPr>
                <w:sz w:val="19"/>
                <w:szCs w:val="19"/>
                <w:color w:val="auto"/>
              </w:rPr>
            </w:pPr>
          </w:p>
        </w:tc>
        <w:tc>
          <w:tcPr>
            <w:tcW w:w="420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70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58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58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86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64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1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8" w:name="page19"/>
    <w:bookmarkEnd w:id="1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TREE.COM, INC. AND SUBSIDIARIES</w:t>
      </w:r>
    </w:p>
    <w:p>
      <w:pPr>
        <w:spacing w:after="0" w:line="225" w:lineRule="exact"/>
        <w:rPr>
          <w:sz w:val="20"/>
          <w:szCs w:val="20"/>
          <w:color w:val="auto"/>
        </w:rPr>
      </w:pPr>
    </w:p>
    <w:p>
      <w:pPr>
        <w:ind w:left="294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7—SEGMENT INFORMATION (Continued)</w:t>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41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3100" w:type="dxa"/>
            <w:vAlign w:val="bottom"/>
            <w:tcBorders>
              <w:bottom w:val="single" w:sz="8" w:color="auto"/>
            </w:tcBorders>
            <w:gridSpan w:val="10"/>
          </w:tcPr>
          <w:p>
            <w:pPr>
              <w:jc w:val="right"/>
              <w:ind w:right="240"/>
              <w:spacing w:after="0"/>
              <w:rPr>
                <w:sz w:val="20"/>
                <w:szCs w:val="20"/>
                <w:color w:val="auto"/>
              </w:rPr>
            </w:pPr>
            <w:r>
              <w:rPr>
                <w:rFonts w:ascii="Arial" w:cs="Arial" w:eastAsia="Arial" w:hAnsi="Arial"/>
                <w:sz w:val="14"/>
                <w:szCs w:val="14"/>
                <w:b w:val="1"/>
                <w:bCs w:val="1"/>
                <w:color w:val="auto"/>
                <w:w w:val="88"/>
              </w:rPr>
              <w:t>For the Nine Months Ended September 30, 2009:</w:t>
            </w: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1160" w:type="dxa"/>
            <w:vAlign w:val="bottom"/>
          </w:tcPr>
          <w:p>
            <w:pPr>
              <w:spacing w:after="0"/>
              <w:rPr>
                <w:sz w:val="11"/>
                <w:szCs w:val="11"/>
                <w:color w:val="auto"/>
              </w:rPr>
            </w:pPr>
          </w:p>
        </w:tc>
        <w:tc>
          <w:tcPr>
            <w:tcW w:w="4120" w:type="dxa"/>
            <w:vAlign w:val="bottom"/>
          </w:tcPr>
          <w:p>
            <w:pPr>
              <w:spacing w:after="0"/>
              <w:rPr>
                <w:sz w:val="11"/>
                <w:szCs w:val="11"/>
                <w:color w:val="auto"/>
              </w:rPr>
            </w:pPr>
          </w:p>
        </w:tc>
        <w:tc>
          <w:tcPr>
            <w:tcW w:w="980" w:type="dxa"/>
            <w:vAlign w:val="bottom"/>
            <w:gridSpan w:val="3"/>
          </w:tcPr>
          <w:p>
            <w:pPr>
              <w:jc w:val="center"/>
              <w:ind w:right="80"/>
              <w:spacing w:after="0" w:line="129" w:lineRule="exact"/>
              <w:rPr>
                <w:sz w:val="20"/>
                <w:szCs w:val="20"/>
                <w:color w:val="auto"/>
              </w:rPr>
            </w:pPr>
            <w:r>
              <w:rPr>
                <w:rFonts w:ascii="Arial" w:cs="Arial" w:eastAsia="Arial" w:hAnsi="Arial"/>
                <w:sz w:val="14"/>
                <w:szCs w:val="14"/>
                <w:b w:val="1"/>
                <w:bCs w:val="1"/>
                <w:color w:val="auto"/>
                <w:w w:val="88"/>
              </w:rPr>
              <w:t>LendingTree</w:t>
            </w: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gridSpan w:val="2"/>
          </w:tcPr>
          <w:p>
            <w:pPr>
              <w:ind w:left="100"/>
              <w:spacing w:after="0" w:line="129" w:lineRule="exact"/>
              <w:rPr>
                <w:sz w:val="20"/>
                <w:szCs w:val="20"/>
                <w:color w:val="auto"/>
              </w:rPr>
            </w:pPr>
            <w:r>
              <w:rPr>
                <w:rFonts w:ascii="Arial" w:cs="Arial" w:eastAsia="Arial" w:hAnsi="Arial"/>
                <w:sz w:val="14"/>
                <w:szCs w:val="14"/>
                <w:b w:val="1"/>
                <w:bCs w:val="1"/>
                <w:color w:val="auto"/>
              </w:rPr>
              <w:t>Real</w:t>
            </w:r>
          </w:p>
        </w:tc>
        <w:tc>
          <w:tcPr>
            <w:tcW w:w="1160" w:type="dxa"/>
            <w:vAlign w:val="bottom"/>
            <w:gridSpan w:val="3"/>
          </w:tcPr>
          <w:p>
            <w:pPr>
              <w:jc w:val="right"/>
              <w:ind w:right="240"/>
              <w:spacing w:after="0" w:line="129" w:lineRule="exact"/>
              <w:rPr>
                <w:sz w:val="20"/>
                <w:szCs w:val="20"/>
                <w:color w:val="auto"/>
              </w:rPr>
            </w:pPr>
            <w:r>
              <w:rPr>
                <w:rFonts w:ascii="Arial" w:cs="Arial" w:eastAsia="Arial" w:hAnsi="Arial"/>
                <w:sz w:val="14"/>
                <w:szCs w:val="14"/>
                <w:b w:val="1"/>
                <w:bCs w:val="1"/>
                <w:color w:val="auto"/>
                <w:w w:val="96"/>
              </w:rPr>
              <w:t>Unallocated—</w:t>
            </w: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1160" w:type="dxa"/>
            <w:vAlign w:val="bottom"/>
          </w:tcPr>
          <w:p>
            <w:pPr>
              <w:spacing w:after="0"/>
              <w:rPr>
                <w:sz w:val="14"/>
                <w:szCs w:val="14"/>
                <w:color w:val="auto"/>
              </w:rPr>
            </w:pPr>
          </w:p>
        </w:tc>
        <w:tc>
          <w:tcPr>
            <w:tcW w:w="41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center"/>
              <w:ind w:right="93"/>
              <w:spacing w:after="0"/>
              <w:rPr>
                <w:sz w:val="20"/>
                <w:szCs w:val="20"/>
                <w:color w:val="auto"/>
              </w:rPr>
            </w:pPr>
            <w:r>
              <w:rPr>
                <w:rFonts w:ascii="Arial" w:cs="Arial" w:eastAsia="Arial" w:hAnsi="Arial"/>
                <w:sz w:val="14"/>
                <w:szCs w:val="14"/>
                <w:b w:val="1"/>
                <w:bCs w:val="1"/>
                <w:color w:val="auto"/>
                <w:w w:val="82"/>
              </w:rPr>
              <w:t>Loans</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Borders>
              <w:bottom w:val="single" w:sz="8" w:color="auto"/>
            </w:tcBorders>
            <w:gridSpan w:val="2"/>
          </w:tcPr>
          <w:p>
            <w:pPr>
              <w:jc w:val="right"/>
              <w:ind w:right="12"/>
              <w:spacing w:after="0"/>
              <w:rPr>
                <w:sz w:val="20"/>
                <w:szCs w:val="20"/>
                <w:color w:val="auto"/>
              </w:rPr>
            </w:pPr>
            <w:r>
              <w:rPr>
                <w:rFonts w:ascii="Arial" w:cs="Arial" w:eastAsia="Arial" w:hAnsi="Arial"/>
                <w:sz w:val="14"/>
                <w:szCs w:val="14"/>
                <w:b w:val="1"/>
                <w:bCs w:val="1"/>
                <w:color w:val="auto"/>
                <w:w w:val="89"/>
              </w:rPr>
              <w:t>Exchanges</w:t>
            </w:r>
          </w:p>
        </w:tc>
        <w:tc>
          <w:tcPr>
            <w:tcW w:w="1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14"/>
              <w:spacing w:after="0"/>
              <w:rPr>
                <w:sz w:val="20"/>
                <w:szCs w:val="20"/>
                <w:color w:val="auto"/>
              </w:rPr>
            </w:pPr>
            <w:r>
              <w:rPr>
                <w:rFonts w:ascii="Arial" w:cs="Arial" w:eastAsia="Arial" w:hAnsi="Arial"/>
                <w:sz w:val="14"/>
                <w:szCs w:val="14"/>
                <w:b w:val="1"/>
                <w:bCs w:val="1"/>
                <w:color w:val="auto"/>
                <w:w w:val="95"/>
              </w:rPr>
              <w:t>Estate</w:t>
            </w:r>
          </w:p>
        </w:tc>
        <w:tc>
          <w:tcPr>
            <w:tcW w:w="1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113"/>
              <w:spacing w:after="0"/>
              <w:rPr>
                <w:sz w:val="20"/>
                <w:szCs w:val="20"/>
                <w:color w:val="auto"/>
              </w:rPr>
            </w:pPr>
            <w:r>
              <w:rPr>
                <w:rFonts w:ascii="Arial" w:cs="Arial" w:eastAsia="Arial" w:hAnsi="Arial"/>
                <w:sz w:val="14"/>
                <w:szCs w:val="14"/>
                <w:b w:val="1"/>
                <w:bCs w:val="1"/>
                <w:color w:val="auto"/>
                <w:w w:val="95"/>
              </w:rPr>
              <w:t>Corporate</w:t>
            </w:r>
          </w:p>
        </w:tc>
        <w:tc>
          <w:tcPr>
            <w:tcW w:w="1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73"/>
              <w:spacing w:after="0"/>
              <w:rPr>
                <w:sz w:val="20"/>
                <w:szCs w:val="20"/>
                <w:color w:val="auto"/>
              </w:rPr>
            </w:pPr>
            <w:r>
              <w:rPr>
                <w:rFonts w:ascii="Arial" w:cs="Arial" w:eastAsia="Arial" w:hAnsi="Arial"/>
                <w:sz w:val="14"/>
                <w:szCs w:val="14"/>
                <w:b w:val="1"/>
                <w:bCs w:val="1"/>
                <w:color w:val="auto"/>
              </w:rPr>
              <w:t>Total</w:t>
            </w:r>
          </w:p>
        </w:tc>
        <w:tc>
          <w:tcPr>
            <w:tcW w:w="126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94,738</w:t>
            </w:r>
          </w:p>
        </w:tc>
        <w:tc>
          <w:tcPr>
            <w:tcW w:w="8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52,662</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21,549</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168,949</w:t>
            </w:r>
          </w:p>
        </w:tc>
        <w:tc>
          <w:tcPr>
            <w:tcW w:w="160" w:type="dxa"/>
            <w:vAlign w:val="bottom"/>
            <w:shd w:val="clear" w:color="auto" w:fill="CCEEFF"/>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1160" w:type="dxa"/>
            <w:vAlign w:val="bottom"/>
          </w:tcPr>
          <w:p>
            <w:pPr>
              <w:spacing w:after="0"/>
              <w:rPr>
                <w:sz w:val="18"/>
                <w:szCs w:val="18"/>
                <w:color w:val="auto"/>
              </w:rPr>
            </w:pPr>
          </w:p>
        </w:tc>
        <w:tc>
          <w:tcPr>
            <w:tcW w:w="4120" w:type="dxa"/>
            <w:vAlign w:val="bottom"/>
          </w:tcPr>
          <w:p>
            <w:pPr>
              <w:spacing w:after="0"/>
              <w:rPr>
                <w:sz w:val="20"/>
                <w:szCs w:val="20"/>
                <w:color w:val="auto"/>
              </w:rPr>
            </w:pPr>
            <w:r>
              <w:rPr>
                <w:rFonts w:ascii="Arial" w:cs="Arial" w:eastAsia="Arial" w:hAnsi="Arial"/>
                <w:sz w:val="18"/>
                <w:szCs w:val="18"/>
                <w:color w:val="auto"/>
              </w:rPr>
              <w:t>Cost of revenue (exclusive of depreciation shown</w:t>
            </w: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1160" w:type="dxa"/>
            <w:vAlign w:val="bottom"/>
          </w:tcPr>
          <w:p>
            <w:pPr>
              <w:spacing w:after="0"/>
              <w:rPr>
                <w:sz w:val="19"/>
                <w:szCs w:val="19"/>
                <w:color w:val="auto"/>
              </w:rPr>
            </w:pPr>
          </w:p>
        </w:tc>
        <w:tc>
          <w:tcPr>
            <w:tcW w:w="4120" w:type="dxa"/>
            <w:vAlign w:val="bottom"/>
          </w:tcPr>
          <w:p>
            <w:pPr>
              <w:ind w:left="160"/>
              <w:spacing w:after="0"/>
              <w:rPr>
                <w:sz w:val="20"/>
                <w:szCs w:val="20"/>
                <w:color w:val="auto"/>
              </w:rPr>
            </w:pPr>
            <w:r>
              <w:rPr>
                <w:rFonts w:ascii="Arial" w:cs="Arial" w:eastAsia="Arial" w:hAnsi="Arial"/>
                <w:sz w:val="18"/>
                <w:szCs w:val="18"/>
                <w:color w:val="auto"/>
              </w:rPr>
              <w:t>separately below)</w:t>
            </w:r>
          </w:p>
        </w:tc>
        <w:tc>
          <w:tcPr>
            <w:tcW w:w="1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38,437</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4,427</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13,712</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1,627</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58,203</w:t>
            </w: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9"/>
        </w:trPr>
        <w:tc>
          <w:tcPr>
            <w:tcW w:w="1160" w:type="dxa"/>
            <w:vAlign w:val="bottom"/>
          </w:tcPr>
          <w:p>
            <w:pPr>
              <w:spacing w:after="0"/>
              <w:rPr>
                <w:sz w:val="2"/>
                <w:szCs w:val="2"/>
                <w:color w:val="auto"/>
              </w:rPr>
            </w:pPr>
          </w:p>
        </w:tc>
        <w:tc>
          <w:tcPr>
            <w:tcW w:w="4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41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Gross margin</w:t>
            </w: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56,301</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48,235</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7,837</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(1,627)</w:t>
            </w: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110,746</w:t>
            </w:r>
          </w:p>
        </w:tc>
        <w:tc>
          <w:tcPr>
            <w:tcW w:w="160" w:type="dxa"/>
            <w:vAlign w:val="bottom"/>
            <w:shd w:val="clear" w:color="auto" w:fill="CCEEFF"/>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120" w:type="dxa"/>
            <w:vAlign w:val="bottom"/>
          </w:tcPr>
          <w:p>
            <w:pPr>
              <w:spacing w:after="0"/>
              <w:rPr>
                <w:sz w:val="20"/>
                <w:szCs w:val="20"/>
                <w:color w:val="auto"/>
              </w:rPr>
            </w:pPr>
            <w:r>
              <w:rPr>
                <w:rFonts w:ascii="Arial" w:cs="Arial" w:eastAsia="Arial" w:hAnsi="Arial"/>
                <w:sz w:val="18"/>
                <w:szCs w:val="18"/>
                <w:color w:val="auto"/>
              </w:rPr>
              <w:t>Operating expenses:</w:t>
            </w: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1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Selling and marketing expense</w:t>
            </w: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6,877</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34,345</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3,919</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45,149</w:t>
            </w:r>
          </w:p>
        </w:tc>
        <w:tc>
          <w:tcPr>
            <w:tcW w:w="160" w:type="dxa"/>
            <w:vAlign w:val="bottom"/>
            <w:shd w:val="clear" w:color="auto" w:fill="CCEEFF"/>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120" w:type="dxa"/>
            <w:vAlign w:val="bottom"/>
          </w:tcPr>
          <w:p>
            <w:pPr>
              <w:ind w:left="120"/>
              <w:spacing w:after="0"/>
              <w:rPr>
                <w:sz w:val="20"/>
                <w:szCs w:val="20"/>
                <w:color w:val="auto"/>
              </w:rPr>
            </w:pPr>
            <w:r>
              <w:rPr>
                <w:rFonts w:ascii="Arial" w:cs="Arial" w:eastAsia="Arial" w:hAnsi="Arial"/>
                <w:sz w:val="18"/>
                <w:szCs w:val="18"/>
                <w:color w:val="auto"/>
              </w:rPr>
              <w:t>General and administrative expense</w:t>
            </w: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16,158</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7,383</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7,097</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20,291</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50,929</w:t>
            </w: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1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Product development</w:t>
            </w: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412</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2,201</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1,244</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985</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4,842</w:t>
            </w:r>
          </w:p>
        </w:tc>
        <w:tc>
          <w:tcPr>
            <w:tcW w:w="160" w:type="dxa"/>
            <w:vAlign w:val="bottom"/>
            <w:shd w:val="clear" w:color="auto" w:fill="CCEEFF"/>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120" w:type="dxa"/>
            <w:vAlign w:val="bottom"/>
          </w:tcPr>
          <w:p>
            <w:pPr>
              <w:ind w:left="120"/>
              <w:spacing w:after="0"/>
              <w:rPr>
                <w:sz w:val="20"/>
                <w:szCs w:val="20"/>
                <w:color w:val="auto"/>
              </w:rPr>
            </w:pPr>
            <w:r>
              <w:rPr>
                <w:rFonts w:ascii="Arial" w:cs="Arial" w:eastAsia="Arial" w:hAnsi="Arial"/>
                <w:sz w:val="18"/>
                <w:szCs w:val="18"/>
                <w:color w:val="auto"/>
              </w:rPr>
              <w:t>Litigation settlements and contingencies</w:t>
            </w: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366</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7</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33</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406</w:t>
            </w: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1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Restructuring expense</w:t>
            </w: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(1,246)</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792</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(158)</w:t>
            </w: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120" w:type="dxa"/>
            <w:vAlign w:val="bottom"/>
          </w:tcPr>
          <w:p>
            <w:pPr>
              <w:ind w:left="120"/>
              <w:spacing w:after="0"/>
              <w:rPr>
                <w:sz w:val="20"/>
                <w:szCs w:val="20"/>
                <w:color w:val="auto"/>
              </w:rPr>
            </w:pPr>
            <w:r>
              <w:rPr>
                <w:rFonts w:ascii="Arial" w:cs="Arial" w:eastAsia="Arial" w:hAnsi="Arial"/>
                <w:sz w:val="18"/>
                <w:szCs w:val="18"/>
                <w:color w:val="auto"/>
              </w:rPr>
              <w:t>Amortization of intangibles</w:t>
            </w: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210</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493</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2,926</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7</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3,636</w:t>
            </w: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1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Depreciation</w:t>
            </w: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2,287</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643</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849</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1,270</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5,049</w:t>
            </w:r>
          </w:p>
        </w:tc>
        <w:tc>
          <w:tcPr>
            <w:tcW w:w="160" w:type="dxa"/>
            <w:vAlign w:val="bottom"/>
            <w:shd w:val="clear" w:color="auto" w:fill="CCEEFF"/>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1160" w:type="dxa"/>
            <w:vAlign w:val="bottom"/>
          </w:tcPr>
          <w:p>
            <w:pPr>
              <w:spacing w:after="0"/>
              <w:rPr>
                <w:sz w:val="19"/>
                <w:szCs w:val="19"/>
                <w:color w:val="auto"/>
              </w:rPr>
            </w:pPr>
          </w:p>
        </w:tc>
        <w:tc>
          <w:tcPr>
            <w:tcW w:w="4120" w:type="dxa"/>
            <w:vAlign w:val="bottom"/>
          </w:tcPr>
          <w:p>
            <w:pPr>
              <w:ind w:left="120"/>
              <w:spacing w:after="0"/>
              <w:rPr>
                <w:sz w:val="20"/>
                <w:szCs w:val="20"/>
                <w:color w:val="auto"/>
              </w:rPr>
            </w:pPr>
            <w:r>
              <w:rPr>
                <w:rFonts w:ascii="Arial" w:cs="Arial" w:eastAsia="Arial" w:hAnsi="Arial"/>
                <w:sz w:val="18"/>
                <w:szCs w:val="18"/>
                <w:color w:val="auto"/>
              </w:rPr>
              <w:t>Asset impairments</w:t>
            </w:r>
          </w:p>
        </w:tc>
        <w:tc>
          <w:tcPr>
            <w:tcW w:w="180" w:type="dxa"/>
            <w:vAlign w:val="bottom"/>
          </w:tcPr>
          <w:p>
            <w:pPr>
              <w:spacing w:after="0"/>
              <w:rPr>
                <w:sz w:val="19"/>
                <w:szCs w:val="19"/>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3,903</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3,903</w:t>
            </w: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1160" w:type="dxa"/>
            <w:vAlign w:val="bottom"/>
          </w:tcPr>
          <w:p>
            <w:pPr>
              <w:spacing w:after="0" w:line="20" w:lineRule="exact"/>
              <w:rPr>
                <w:sz w:val="1"/>
                <w:szCs w:val="1"/>
                <w:color w:val="auto"/>
              </w:rPr>
            </w:pPr>
          </w:p>
        </w:tc>
        <w:tc>
          <w:tcPr>
            <w:tcW w:w="4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41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Total operating expenses</w:t>
            </w: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25,064</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45,180</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20,763</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22,749</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113,756</w:t>
            </w:r>
          </w:p>
        </w:tc>
        <w:tc>
          <w:tcPr>
            <w:tcW w:w="160" w:type="dxa"/>
            <w:vAlign w:val="bottom"/>
            <w:shd w:val="clear" w:color="auto" w:fill="CCEEFF"/>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5280" w:type="dxa"/>
            <w:vAlign w:val="bottom"/>
            <w:gridSpan w:val="2"/>
            <w:vMerge w:val="restart"/>
          </w:tcPr>
          <w:p>
            <w:pPr>
              <w:ind w:left="1140"/>
              <w:spacing w:after="0"/>
              <w:rPr>
                <w:sz w:val="20"/>
                <w:szCs w:val="20"/>
                <w:color w:val="auto"/>
              </w:rPr>
            </w:pPr>
            <w:r>
              <w:rPr>
                <w:rFonts w:ascii="Arial" w:cs="Arial" w:eastAsia="Arial" w:hAnsi="Arial"/>
                <w:sz w:val="18"/>
                <w:szCs w:val="18"/>
                <w:color w:val="auto"/>
              </w:rPr>
              <w:t>Operating income (loss)</w:t>
            </w: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800" w:type="dxa"/>
            <w:vAlign w:val="bottom"/>
            <w:gridSpan w:val="2"/>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5280" w:type="dxa"/>
            <w:vAlign w:val="bottom"/>
            <w:gridSpan w:val="2"/>
            <w:vMerge w:val="continue"/>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31,237</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3,055</w:t>
            </w:r>
          </w:p>
        </w:tc>
        <w:tc>
          <w:tcPr>
            <w:tcW w:w="1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9"/>
              </w:rPr>
              <w:t>(12,926)</w:t>
            </w:r>
          </w:p>
        </w:tc>
        <w:tc>
          <w:tcPr>
            <w:tcW w:w="1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(24,376)</w:t>
            </w:r>
          </w:p>
        </w:tc>
        <w:tc>
          <w:tcPr>
            <w:tcW w:w="16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(3,010)</w:t>
            </w: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1160" w:type="dxa"/>
            <w:vAlign w:val="bottom"/>
          </w:tcPr>
          <w:p>
            <w:pPr>
              <w:spacing w:after="0"/>
              <w:rPr>
                <w:sz w:val="18"/>
                <w:szCs w:val="18"/>
                <w:color w:val="auto"/>
              </w:rPr>
            </w:pPr>
          </w:p>
        </w:tc>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Adjustments to reconcile to EBITDA and Adjusted</w:t>
            </w: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1160" w:type="dxa"/>
            <w:vAlign w:val="bottom"/>
          </w:tcPr>
          <w:p>
            <w:pPr>
              <w:spacing w:after="0"/>
              <w:rPr>
                <w:sz w:val="19"/>
                <w:szCs w:val="19"/>
                <w:color w:val="auto"/>
              </w:rPr>
            </w:pPr>
          </w:p>
        </w:tc>
        <w:tc>
          <w:tcPr>
            <w:tcW w:w="41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EBITDA:</w:t>
            </w:r>
          </w:p>
        </w:tc>
        <w:tc>
          <w:tcPr>
            <w:tcW w:w="18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120" w:type="dxa"/>
            <w:vAlign w:val="bottom"/>
          </w:tcPr>
          <w:p>
            <w:pPr>
              <w:ind w:left="120"/>
              <w:spacing w:after="0"/>
              <w:rPr>
                <w:sz w:val="20"/>
                <w:szCs w:val="20"/>
                <w:color w:val="auto"/>
              </w:rPr>
            </w:pPr>
            <w:r>
              <w:rPr>
                <w:rFonts w:ascii="Arial" w:cs="Arial" w:eastAsia="Arial" w:hAnsi="Arial"/>
                <w:sz w:val="18"/>
                <w:szCs w:val="18"/>
                <w:color w:val="auto"/>
              </w:rPr>
              <w:t>Amortization of intangibles</w:t>
            </w: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210</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493</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2,926</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7</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3,636</w:t>
            </w: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1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Depreciation</w:t>
            </w: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2,287</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643</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849</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1,270</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5,049</w:t>
            </w:r>
          </w:p>
        </w:tc>
        <w:tc>
          <w:tcPr>
            <w:tcW w:w="160" w:type="dxa"/>
            <w:vAlign w:val="bottom"/>
            <w:shd w:val="clear" w:color="auto" w:fill="CCEEFF"/>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5280" w:type="dxa"/>
            <w:vAlign w:val="bottom"/>
            <w:gridSpan w:val="2"/>
            <w:vMerge w:val="restart"/>
          </w:tcPr>
          <w:p>
            <w:pPr>
              <w:ind w:left="1140"/>
              <w:spacing w:after="0"/>
              <w:rPr>
                <w:sz w:val="20"/>
                <w:szCs w:val="20"/>
                <w:color w:val="auto"/>
              </w:rPr>
            </w:pPr>
            <w:r>
              <w:rPr>
                <w:rFonts w:ascii="Arial" w:cs="Arial" w:eastAsia="Arial" w:hAnsi="Arial"/>
                <w:sz w:val="18"/>
                <w:szCs w:val="18"/>
                <w:color w:val="auto"/>
              </w:rPr>
              <w:t>EBITDA</w:t>
            </w: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5280" w:type="dxa"/>
            <w:vAlign w:val="bottom"/>
            <w:gridSpan w:val="2"/>
            <w:vMerge w:val="continue"/>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33,734</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4,191</w:t>
            </w:r>
          </w:p>
        </w:tc>
        <w:tc>
          <w:tcPr>
            <w:tcW w:w="1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(9,151)</w:t>
            </w:r>
          </w:p>
        </w:tc>
        <w:tc>
          <w:tcPr>
            <w:tcW w:w="1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(23,099)</w:t>
            </w:r>
          </w:p>
        </w:tc>
        <w:tc>
          <w:tcPr>
            <w:tcW w:w="16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5,675</w:t>
            </w: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1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Restructuring expense</w:t>
            </w: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(1,246)</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792</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(158)</w:t>
            </w: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120" w:type="dxa"/>
            <w:vAlign w:val="bottom"/>
          </w:tcPr>
          <w:p>
            <w:pPr>
              <w:ind w:left="120"/>
              <w:spacing w:after="0"/>
              <w:rPr>
                <w:sz w:val="20"/>
                <w:szCs w:val="20"/>
                <w:color w:val="auto"/>
              </w:rPr>
            </w:pPr>
            <w:r>
              <w:rPr>
                <w:rFonts w:ascii="Arial" w:cs="Arial" w:eastAsia="Arial" w:hAnsi="Arial"/>
                <w:sz w:val="18"/>
                <w:szCs w:val="18"/>
                <w:color w:val="auto"/>
              </w:rPr>
              <w:t>Asset impairments</w:t>
            </w:r>
          </w:p>
        </w:tc>
        <w:tc>
          <w:tcPr>
            <w:tcW w:w="180" w:type="dxa"/>
            <w:vAlign w:val="bottom"/>
          </w:tcPr>
          <w:p>
            <w:pPr>
              <w:spacing w:after="0"/>
              <w:rPr>
                <w:sz w:val="18"/>
                <w:szCs w:val="18"/>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3,903</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3,903</w:t>
            </w: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1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Loss on disposal of assets</w:t>
            </w: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949</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949</w:t>
            </w:r>
          </w:p>
        </w:tc>
        <w:tc>
          <w:tcPr>
            <w:tcW w:w="160" w:type="dxa"/>
            <w:vAlign w:val="bottom"/>
            <w:shd w:val="clear" w:color="auto" w:fill="CCEEFF"/>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120" w:type="dxa"/>
            <w:vAlign w:val="bottom"/>
          </w:tcPr>
          <w:p>
            <w:pPr>
              <w:ind w:left="120"/>
              <w:spacing w:after="0"/>
              <w:rPr>
                <w:sz w:val="20"/>
                <w:szCs w:val="20"/>
                <w:color w:val="auto"/>
              </w:rPr>
            </w:pPr>
            <w:r>
              <w:rPr>
                <w:rFonts w:ascii="Arial" w:cs="Arial" w:eastAsia="Arial" w:hAnsi="Arial"/>
                <w:sz w:val="18"/>
                <w:szCs w:val="18"/>
                <w:color w:val="auto"/>
              </w:rPr>
              <w:t>Non-cash compensation</w:t>
            </w: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199</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467</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210</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2,184</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3,060</w:t>
            </w: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1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Litigation settlements and contingencies</w:t>
            </w: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366</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406</w:t>
            </w:r>
          </w:p>
        </w:tc>
        <w:tc>
          <w:tcPr>
            <w:tcW w:w="160" w:type="dxa"/>
            <w:vAlign w:val="bottom"/>
            <w:shd w:val="clear" w:color="auto" w:fill="CCEEFF"/>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5280" w:type="dxa"/>
            <w:vAlign w:val="bottom"/>
            <w:gridSpan w:val="2"/>
            <w:vMerge w:val="restart"/>
          </w:tcPr>
          <w:p>
            <w:pPr>
              <w:ind w:left="1140"/>
              <w:spacing w:after="0"/>
              <w:rPr>
                <w:sz w:val="20"/>
                <w:szCs w:val="20"/>
                <w:color w:val="auto"/>
              </w:rPr>
            </w:pPr>
            <w:r>
              <w:rPr>
                <w:rFonts w:ascii="Arial" w:cs="Arial" w:eastAsia="Arial" w:hAnsi="Arial"/>
                <w:sz w:val="18"/>
                <w:szCs w:val="18"/>
                <w:color w:val="auto"/>
              </w:rPr>
              <w:t>Adjusted EBITDA</w:t>
            </w: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gridSpan w:val="2"/>
          </w:tcPr>
          <w:p>
            <w:pPr>
              <w:spacing w:after="0"/>
              <w:rPr>
                <w:sz w:val="2"/>
                <w:szCs w:val="2"/>
                <w:color w:val="auto"/>
              </w:rPr>
            </w:pPr>
          </w:p>
        </w:tc>
        <w:tc>
          <w:tcPr>
            <w:tcW w:w="600" w:type="dxa"/>
            <w:vAlign w:val="bottom"/>
          </w:tcPr>
          <w:p>
            <w:pPr>
              <w:spacing w:after="0"/>
              <w:rPr>
                <w:sz w:val="2"/>
                <w:szCs w:val="2"/>
                <w:color w:val="auto"/>
              </w:rPr>
            </w:pPr>
          </w:p>
        </w:tc>
        <w:tc>
          <w:tcPr>
            <w:tcW w:w="300" w:type="dxa"/>
            <w:vAlign w:val="bottom"/>
            <w:gridSpan w:val="2"/>
          </w:tcPr>
          <w:p>
            <w:pPr>
              <w:spacing w:after="0"/>
              <w:rPr>
                <w:sz w:val="2"/>
                <w:szCs w:val="2"/>
                <w:color w:val="auto"/>
              </w:rPr>
            </w:pPr>
          </w:p>
        </w:tc>
        <w:tc>
          <w:tcPr>
            <w:tcW w:w="78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5280" w:type="dxa"/>
            <w:vAlign w:val="bottom"/>
            <w:gridSpan w:val="2"/>
            <w:vMerge w:val="continue"/>
          </w:tcPr>
          <w:p>
            <w:pPr>
              <w:spacing w:after="0"/>
              <w:rPr>
                <w:sz w:val="18"/>
                <w:szCs w:val="18"/>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33,053</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Borders>
              <w:top w:val="single" w:sz="8" w:color="auto"/>
            </w:tcBorders>
          </w:tcPr>
          <w:p>
            <w:pPr>
              <w:jc w:val="right"/>
              <w:ind w:right="28"/>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5,722</w:t>
            </w:r>
          </w:p>
        </w:tc>
        <w:tc>
          <w:tcPr>
            <w:tcW w:w="16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(4,213)</w:t>
            </w:r>
          </w:p>
        </w:tc>
        <w:tc>
          <w:tcPr>
            <w:tcW w:w="16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(20,727)</w:t>
            </w:r>
          </w:p>
        </w:tc>
        <w:tc>
          <w:tcPr>
            <w:tcW w:w="16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13,835</w:t>
            </w: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1160" w:type="dxa"/>
            <w:vAlign w:val="bottom"/>
          </w:tcPr>
          <w:p>
            <w:pPr>
              <w:spacing w:after="0" w:line="20" w:lineRule="exact"/>
              <w:rPr>
                <w:sz w:val="1"/>
                <w:szCs w:val="1"/>
                <w:color w:val="auto"/>
              </w:rPr>
            </w:pPr>
          </w:p>
        </w:tc>
        <w:tc>
          <w:tcPr>
            <w:tcW w:w="4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4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1160" w:type="dxa"/>
            <w:vAlign w:val="bottom"/>
          </w:tcPr>
          <w:p>
            <w:pPr>
              <w:spacing w:after="0"/>
              <w:rPr>
                <w:sz w:val="17"/>
                <w:szCs w:val="17"/>
                <w:color w:val="auto"/>
              </w:rPr>
            </w:pPr>
          </w:p>
        </w:tc>
        <w:tc>
          <w:tcPr>
            <w:tcW w:w="41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Reconciliation to net loss in total:</w:t>
            </w: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120" w:type="dxa"/>
            <w:vAlign w:val="bottom"/>
          </w:tcPr>
          <w:p>
            <w:pPr>
              <w:spacing w:after="0"/>
              <w:rPr>
                <w:sz w:val="20"/>
                <w:szCs w:val="20"/>
                <w:color w:val="auto"/>
              </w:rPr>
            </w:pPr>
            <w:r>
              <w:rPr>
                <w:rFonts w:ascii="Arial" w:cs="Arial" w:eastAsia="Arial" w:hAnsi="Arial"/>
                <w:sz w:val="18"/>
                <w:szCs w:val="18"/>
                <w:color w:val="auto"/>
              </w:rPr>
              <w:t>Operating loss per above</w:t>
            </w: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(3,010)</w:t>
            </w: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Other expense, net</w:t>
            </w: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(367)</w:t>
            </w: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5280" w:type="dxa"/>
            <w:vAlign w:val="bottom"/>
            <w:gridSpan w:val="2"/>
            <w:vMerge w:val="restart"/>
          </w:tcPr>
          <w:p>
            <w:pPr>
              <w:ind w:left="1140"/>
              <w:spacing w:after="0"/>
              <w:rPr>
                <w:sz w:val="20"/>
                <w:szCs w:val="20"/>
                <w:color w:val="auto"/>
              </w:rPr>
            </w:pPr>
            <w:r>
              <w:rPr>
                <w:rFonts w:ascii="Arial" w:cs="Arial" w:eastAsia="Arial" w:hAnsi="Arial"/>
                <w:sz w:val="18"/>
                <w:szCs w:val="18"/>
                <w:color w:val="auto"/>
              </w:rPr>
              <w:t>Income before income taxes</w:t>
            </w: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6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0" w:type="dxa"/>
            <w:vAlign w:val="bottom"/>
            <w:gridSpan w:val="2"/>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528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(3,377)</w:t>
            </w: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Income tax provision</w:t>
            </w: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(121)</w:t>
            </w: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5280" w:type="dxa"/>
            <w:vAlign w:val="bottom"/>
            <w:gridSpan w:val="2"/>
            <w:vMerge w:val="restart"/>
          </w:tcPr>
          <w:p>
            <w:pPr>
              <w:ind w:left="1140"/>
              <w:spacing w:after="0"/>
              <w:rPr>
                <w:sz w:val="20"/>
                <w:szCs w:val="20"/>
                <w:color w:val="auto"/>
              </w:rPr>
            </w:pPr>
            <w:r>
              <w:rPr>
                <w:rFonts w:ascii="Arial" w:cs="Arial" w:eastAsia="Arial" w:hAnsi="Arial"/>
                <w:sz w:val="18"/>
                <w:szCs w:val="18"/>
                <w:color w:val="auto"/>
              </w:rPr>
              <w:t>Net loss</w:t>
            </w: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6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0" w:type="dxa"/>
            <w:vAlign w:val="bottom"/>
            <w:gridSpan w:val="2"/>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528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(3,498)</w:t>
            </w: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1160" w:type="dxa"/>
            <w:vAlign w:val="bottom"/>
          </w:tcPr>
          <w:p>
            <w:pPr>
              <w:spacing w:after="0" w:line="20" w:lineRule="exact"/>
              <w:rPr>
                <w:sz w:val="1"/>
                <w:szCs w:val="1"/>
                <w:color w:val="auto"/>
              </w:rPr>
            </w:pPr>
          </w:p>
        </w:tc>
        <w:tc>
          <w:tcPr>
            <w:tcW w:w="4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vMerge w:val="restart"/>
          </w:tcPr>
          <w:p>
            <w:pPr>
              <w:jc w:val="center"/>
              <w:ind w:right="133"/>
              <w:spacing w:after="0"/>
              <w:rPr>
                <w:sz w:val="20"/>
                <w:szCs w:val="20"/>
                <w:color w:val="auto"/>
              </w:rPr>
            </w:pPr>
            <w:r>
              <w:rPr>
                <w:rFonts w:ascii="Arial" w:cs="Arial" w:eastAsia="Arial" w:hAnsi="Arial"/>
                <w:sz w:val="18"/>
                <w:szCs w:val="18"/>
                <w:color w:val="auto"/>
                <w:w w:val="89"/>
              </w:rPr>
              <w:t>18</w:t>
            </w: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4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vMerge w:val="continu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1"/>
        </w:trPr>
        <w:tc>
          <w:tcPr>
            <w:tcW w:w="1160" w:type="dxa"/>
            <w:vAlign w:val="bottom"/>
          </w:tcPr>
          <w:p>
            <w:pPr>
              <w:spacing w:after="0"/>
              <w:rPr>
                <w:sz w:val="24"/>
                <w:szCs w:val="24"/>
                <w:color w:val="auto"/>
              </w:rPr>
            </w:pPr>
          </w:p>
        </w:tc>
        <w:tc>
          <w:tcPr>
            <w:tcW w:w="4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vMerge w:val="continue"/>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1160" w:type="dxa"/>
            <w:vAlign w:val="bottom"/>
            <w:tcBorders>
              <w:bottom w:val="single" w:sz="8" w:color="808080"/>
            </w:tcBorders>
          </w:tcPr>
          <w:p>
            <w:pPr>
              <w:spacing w:after="0"/>
              <w:rPr>
                <w:sz w:val="19"/>
                <w:szCs w:val="19"/>
                <w:color w:val="auto"/>
              </w:rPr>
            </w:pPr>
          </w:p>
        </w:tc>
        <w:tc>
          <w:tcPr>
            <w:tcW w:w="412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72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60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62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86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64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1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9" w:name="page20"/>
    <w:bookmarkEnd w:id="1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TREE.COM, INC. AND SUBSIDIARIES</w:t>
      </w:r>
    </w:p>
    <w:p>
      <w:pPr>
        <w:spacing w:after="0" w:line="225" w:lineRule="exact"/>
        <w:rPr>
          <w:sz w:val="20"/>
          <w:szCs w:val="20"/>
          <w:color w:val="auto"/>
        </w:rPr>
      </w:pPr>
    </w:p>
    <w:p>
      <w:pPr>
        <w:ind w:left="294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7—SEGMENT INFORMATION (Continued)</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Significant components of revenue for the three and nine months ended September 30, 2010 and 2009 are as follows (in thousands):</w:t>
      </w:r>
    </w:p>
    <w:p>
      <w:pPr>
        <w:spacing w:after="0" w:line="208"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5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40" w:type="dxa"/>
            <w:vAlign w:val="bottom"/>
            <w:gridSpan w:val="5"/>
          </w:tcPr>
          <w:p>
            <w:pPr>
              <w:jc w:val="right"/>
              <w:ind w:right="94"/>
              <w:spacing w:after="0"/>
              <w:rPr>
                <w:sz w:val="20"/>
                <w:szCs w:val="20"/>
                <w:color w:val="auto"/>
              </w:rPr>
            </w:pPr>
            <w:r>
              <w:rPr>
                <w:rFonts w:ascii="Arial" w:cs="Arial" w:eastAsia="Arial" w:hAnsi="Arial"/>
                <w:sz w:val="14"/>
                <w:szCs w:val="14"/>
                <w:b w:val="1"/>
                <w:bCs w:val="1"/>
                <w:color w:val="auto"/>
                <w:w w:val="89"/>
              </w:rPr>
              <w:t>Three Months Ended</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740" w:type="dxa"/>
            <w:vAlign w:val="bottom"/>
            <w:gridSpan w:val="5"/>
          </w:tcPr>
          <w:p>
            <w:pPr>
              <w:jc w:val="center"/>
              <w:ind w:right="300"/>
              <w:spacing w:after="0"/>
              <w:rPr>
                <w:sz w:val="20"/>
                <w:szCs w:val="20"/>
                <w:color w:val="auto"/>
              </w:rPr>
            </w:pPr>
            <w:r>
              <w:rPr>
                <w:rFonts w:ascii="Arial" w:cs="Arial" w:eastAsia="Arial" w:hAnsi="Arial"/>
                <w:sz w:val="14"/>
                <w:szCs w:val="14"/>
                <w:b w:val="1"/>
                <w:bCs w:val="1"/>
                <w:color w:val="auto"/>
                <w:w w:val="88"/>
              </w:rPr>
              <w:t>Nine Months Ended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55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40" w:type="dxa"/>
            <w:vAlign w:val="bottom"/>
            <w:gridSpan w:val="5"/>
          </w:tcPr>
          <w:p>
            <w:pPr>
              <w:jc w:val="right"/>
              <w:ind w:right="294"/>
              <w:spacing w:after="0"/>
              <w:rPr>
                <w:sz w:val="20"/>
                <w:szCs w:val="20"/>
                <w:color w:val="auto"/>
              </w:rPr>
            </w:pPr>
            <w:r>
              <w:rPr>
                <w:rFonts w:ascii="Arial" w:cs="Arial" w:eastAsia="Arial" w:hAnsi="Arial"/>
                <w:sz w:val="14"/>
                <w:szCs w:val="14"/>
                <w:b w:val="1"/>
                <w:bCs w:val="1"/>
                <w:color w:val="auto"/>
              </w:rPr>
              <w:t>September 30,</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740" w:type="dxa"/>
            <w:vAlign w:val="bottom"/>
            <w:gridSpan w:val="5"/>
          </w:tcPr>
          <w:p>
            <w:pPr>
              <w:jc w:val="center"/>
              <w:ind w:right="320"/>
              <w:spacing w:after="0"/>
              <w:rPr>
                <w:sz w:val="20"/>
                <w:szCs w:val="20"/>
                <w:color w:val="auto"/>
              </w:rPr>
            </w:pPr>
            <w:r>
              <w:rPr>
                <w:rFonts w:ascii="Arial" w:cs="Arial" w:eastAsia="Arial" w:hAnsi="Arial"/>
                <w:sz w:val="14"/>
                <w:szCs w:val="14"/>
                <w:b w:val="1"/>
                <w:bCs w:val="1"/>
                <w:color w:val="auto"/>
                <w:w w:val="85"/>
              </w:rPr>
              <w:t>September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50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137"/>
              <w:spacing w:after="0" w:line="142" w:lineRule="exact"/>
              <w:rPr>
                <w:sz w:val="20"/>
                <w:szCs w:val="20"/>
                <w:color w:val="auto"/>
              </w:rPr>
            </w:pPr>
            <w:r>
              <w:rPr>
                <w:rFonts w:ascii="Arial" w:cs="Arial" w:eastAsia="Arial" w:hAnsi="Arial"/>
                <w:sz w:val="14"/>
                <w:szCs w:val="14"/>
                <w:b w:val="1"/>
                <w:bCs w:val="1"/>
                <w:color w:val="auto"/>
              </w:rPr>
              <w:t>2010</w:t>
            </w:r>
          </w:p>
        </w:tc>
        <w:tc>
          <w:tcPr>
            <w:tcW w:w="12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154"/>
              <w:spacing w:after="0" w:line="142" w:lineRule="exact"/>
              <w:rPr>
                <w:sz w:val="20"/>
                <w:szCs w:val="20"/>
                <w:color w:val="auto"/>
              </w:rPr>
            </w:pPr>
            <w:r>
              <w:rPr>
                <w:rFonts w:ascii="Arial" w:cs="Arial" w:eastAsia="Arial" w:hAnsi="Arial"/>
                <w:sz w:val="14"/>
                <w:szCs w:val="14"/>
                <w:b w:val="1"/>
                <w:bCs w:val="1"/>
                <w:color w:val="auto"/>
                <w:w w:val="96"/>
              </w:rPr>
              <w:t>2009</w:t>
            </w:r>
          </w:p>
        </w:tc>
        <w:tc>
          <w:tcPr>
            <w:tcW w:w="16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177"/>
              <w:spacing w:after="0" w:line="142" w:lineRule="exact"/>
              <w:rPr>
                <w:sz w:val="20"/>
                <w:szCs w:val="20"/>
                <w:color w:val="auto"/>
              </w:rPr>
            </w:pPr>
            <w:r>
              <w:rPr>
                <w:rFonts w:ascii="Arial" w:cs="Arial" w:eastAsia="Arial" w:hAnsi="Arial"/>
                <w:sz w:val="14"/>
                <w:szCs w:val="14"/>
                <w:b w:val="1"/>
                <w:bCs w:val="1"/>
                <w:color w:val="auto"/>
              </w:rPr>
              <w:t>2010</w:t>
            </w:r>
          </w:p>
        </w:tc>
        <w:tc>
          <w:tcPr>
            <w:tcW w:w="160" w:type="dxa"/>
            <w:vAlign w:val="bottom"/>
            <w:tcBorders>
              <w:top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174"/>
              <w:spacing w:after="0" w:line="142" w:lineRule="exact"/>
              <w:rPr>
                <w:sz w:val="20"/>
                <w:szCs w:val="20"/>
                <w:color w:val="auto"/>
              </w:rPr>
            </w:pPr>
            <w:r>
              <w:rPr>
                <w:rFonts w:ascii="Arial" w:cs="Arial" w:eastAsia="Arial" w:hAnsi="Arial"/>
                <w:sz w:val="14"/>
                <w:szCs w:val="14"/>
                <w:b w:val="1"/>
                <w:bCs w:val="1"/>
                <w:color w:val="auto"/>
              </w:rPr>
              <w:t>2009</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LendingTree Loans:</w:t>
            </w: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tcPr>
          <w:p>
            <w:pPr>
              <w:ind w:left="120"/>
              <w:spacing w:after="0"/>
              <w:rPr>
                <w:sz w:val="20"/>
                <w:szCs w:val="20"/>
                <w:color w:val="auto"/>
              </w:rPr>
            </w:pPr>
            <w:r>
              <w:rPr>
                <w:rFonts w:ascii="Arial" w:cs="Arial" w:eastAsia="Arial" w:hAnsi="Arial"/>
                <w:sz w:val="18"/>
                <w:szCs w:val="18"/>
                <w:color w:val="auto"/>
              </w:rPr>
              <w:t>Origination and sale of loans</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Pr>
          <w:p>
            <w:pPr>
              <w:jc w:val="right"/>
              <w:spacing w:after="0"/>
              <w:rPr>
                <w:sz w:val="20"/>
                <w:szCs w:val="20"/>
                <w:color w:val="auto"/>
              </w:rPr>
            </w:pPr>
            <w:r>
              <w:rPr>
                <w:rFonts w:ascii="Arial" w:cs="Arial" w:eastAsia="Arial" w:hAnsi="Arial"/>
                <w:sz w:val="18"/>
                <w:szCs w:val="18"/>
                <w:color w:val="auto"/>
                <w:w w:val="98"/>
              </w:rPr>
              <w:t>31,860</w:t>
            </w:r>
          </w:p>
        </w:tc>
        <w:tc>
          <w:tcPr>
            <w:tcW w:w="120" w:type="dxa"/>
            <w:vAlign w:val="bottom"/>
          </w:tcPr>
          <w:p>
            <w:pPr>
              <w:spacing w:after="0"/>
              <w:rPr>
                <w:sz w:val="18"/>
                <w:szCs w:val="18"/>
                <w:color w:val="auto"/>
              </w:rPr>
            </w:pPr>
          </w:p>
        </w:tc>
        <w:tc>
          <w:tcPr>
            <w:tcW w:w="2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w w:val="94"/>
              </w:rPr>
              <w:t>22,495</w:t>
            </w:r>
          </w:p>
        </w:tc>
        <w:tc>
          <w:tcPr>
            <w:tcW w:w="3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79,301</w:t>
            </w:r>
          </w:p>
        </w:tc>
        <w:tc>
          <w:tcPr>
            <w:tcW w:w="16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89,701</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Other</w:t>
            </w: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2,900</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1,614</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7,846</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5,037</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500" w:type="dxa"/>
            <w:vAlign w:val="bottom"/>
            <w:vMerge w:val="restart"/>
          </w:tcPr>
          <w:p>
            <w:pPr>
              <w:ind w:left="260"/>
              <w:spacing w:after="0"/>
              <w:rPr>
                <w:sz w:val="20"/>
                <w:szCs w:val="20"/>
                <w:color w:val="auto"/>
              </w:rPr>
            </w:pPr>
            <w:r>
              <w:rPr>
                <w:rFonts w:ascii="Arial" w:cs="Arial" w:eastAsia="Arial" w:hAnsi="Arial"/>
                <w:sz w:val="18"/>
                <w:szCs w:val="18"/>
                <w:color w:val="auto"/>
              </w:rPr>
              <w:t>Total LendingTree Loans revenue</w:t>
            </w:r>
          </w:p>
        </w:tc>
        <w:tc>
          <w:tcPr>
            <w:tcW w:w="1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50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34,760</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4"/>
              </w:rPr>
              <w:t>24,109</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87,147</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94,738</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Exchanges:</w:t>
            </w: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tcPr>
          <w:p>
            <w:pPr>
              <w:ind w:left="120"/>
              <w:spacing w:after="0"/>
              <w:rPr>
                <w:sz w:val="20"/>
                <w:szCs w:val="20"/>
                <w:color w:val="auto"/>
              </w:rPr>
            </w:pPr>
            <w:r>
              <w:rPr>
                <w:rFonts w:ascii="Arial" w:cs="Arial" w:eastAsia="Arial" w:hAnsi="Arial"/>
                <w:sz w:val="18"/>
                <w:szCs w:val="18"/>
                <w:color w:val="auto"/>
              </w:rPr>
              <w:t>Match fees</w:t>
            </w: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12,858</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4"/>
              </w:rPr>
              <w:t>12,438</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38,683</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32,307</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Closed loan fees</w:t>
            </w: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1,656</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5,318</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7,008</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18,180</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tcPr>
          <w:p>
            <w:pPr>
              <w:ind w:left="120"/>
              <w:spacing w:after="0"/>
              <w:rPr>
                <w:sz w:val="20"/>
                <w:szCs w:val="20"/>
                <w:color w:val="auto"/>
              </w:rPr>
            </w:pPr>
            <w:r>
              <w:rPr>
                <w:rFonts w:ascii="Arial" w:cs="Arial" w:eastAsia="Arial" w:hAnsi="Arial"/>
                <w:sz w:val="18"/>
                <w:szCs w:val="18"/>
                <w:color w:val="auto"/>
              </w:rPr>
              <w:t>Other</w:t>
            </w: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690</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854</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2,322</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2,175</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Inter-segment</w:t>
            </w: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500" w:type="dxa"/>
            <w:vAlign w:val="bottom"/>
            <w:vMerge w:val="restart"/>
          </w:tcPr>
          <w:p>
            <w:pPr>
              <w:ind w:left="260"/>
              <w:spacing w:after="0"/>
              <w:rPr>
                <w:sz w:val="20"/>
                <w:szCs w:val="20"/>
                <w:color w:val="auto"/>
              </w:rPr>
            </w:pPr>
            <w:r>
              <w:rPr>
                <w:rFonts w:ascii="Arial" w:cs="Arial" w:eastAsia="Arial" w:hAnsi="Arial"/>
                <w:sz w:val="18"/>
                <w:szCs w:val="18"/>
                <w:color w:val="auto"/>
              </w:rPr>
              <w:t>Total Exchanges</w:t>
            </w:r>
          </w:p>
        </w:tc>
        <w:tc>
          <w:tcPr>
            <w:tcW w:w="1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50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15,307</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4"/>
              </w:rPr>
              <w:t>18,610</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48,197</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52,662</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Real Estate revenue</w:t>
            </w: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3,213</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7,997</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11,825</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21,549</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500" w:type="dxa"/>
            <w:vAlign w:val="bottom"/>
          </w:tcPr>
          <w:p>
            <w:pPr>
              <w:spacing w:after="0"/>
              <w:rPr>
                <w:sz w:val="20"/>
                <w:szCs w:val="20"/>
                <w:color w:val="auto"/>
              </w:rPr>
            </w:pPr>
            <w:r>
              <w:rPr>
                <w:rFonts w:ascii="Arial" w:cs="Arial" w:eastAsia="Arial" w:hAnsi="Arial"/>
                <w:sz w:val="18"/>
                <w:szCs w:val="18"/>
                <w:color w:val="auto"/>
              </w:rPr>
              <w:t>Inter-segment elimination</w:t>
            </w:r>
          </w:p>
        </w:tc>
        <w:tc>
          <w:tcPr>
            <w:tcW w:w="140" w:type="dxa"/>
            <w:vAlign w:val="bottom"/>
          </w:tcPr>
          <w:p>
            <w:pPr>
              <w:spacing w:after="0"/>
              <w:rPr>
                <w:sz w:val="19"/>
                <w:szCs w:val="19"/>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rPr>
              <w:t>(103)</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(184)</w:t>
            </w:r>
          </w:p>
        </w:tc>
        <w:tc>
          <w:tcPr>
            <w:tcW w:w="140" w:type="dxa"/>
            <w:vAlign w:val="bottom"/>
          </w:tcPr>
          <w:p>
            <w:pPr>
              <w:spacing w:after="0"/>
              <w:rPr>
                <w:sz w:val="19"/>
                <w:szCs w:val="19"/>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5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Total revenue</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53,177</w:t>
            </w:r>
          </w:p>
        </w:tc>
        <w:tc>
          <w:tcPr>
            <w:tcW w:w="12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50,716</w:t>
            </w:r>
          </w:p>
        </w:tc>
        <w:tc>
          <w:tcPr>
            <w:tcW w:w="3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146,985</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168,949</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5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5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Total assets by segment at September 30, 2010 and December 31, 2009 are as follows (in thousands):</w:t>
      </w:r>
    </w:p>
    <w:p>
      <w:pPr>
        <w:spacing w:after="0" w:line="208" w:lineRule="exact"/>
        <w:rPr>
          <w:sz w:val="20"/>
          <w:szCs w:val="20"/>
          <w:color w:val="auto"/>
        </w:rPr>
      </w:pPr>
    </w:p>
    <w:tbl>
      <w:tblPr>
        <w:tblLayout w:type="fixed"/>
        <w:tblInd w:w="2300" w:type="dxa"/>
        <w:tblCellMar>
          <w:top w:w="0" w:type="dxa"/>
          <w:left w:w="0" w:type="dxa"/>
          <w:bottom w:w="0" w:type="dxa"/>
          <w:right w:w="0" w:type="dxa"/>
        </w:tblCellMar>
      </w:tblPr>
      <w:tr>
        <w:trPr>
          <w:trHeight w:val="161"/>
        </w:trPr>
        <w:tc>
          <w:tcPr>
            <w:tcW w:w="240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1160" w:type="dxa"/>
            <w:vAlign w:val="bottom"/>
            <w:gridSpan w:val="4"/>
          </w:tcPr>
          <w:p>
            <w:pPr>
              <w:ind w:left="80"/>
              <w:spacing w:after="0"/>
              <w:rPr>
                <w:sz w:val="20"/>
                <w:szCs w:val="20"/>
                <w:color w:val="auto"/>
              </w:rPr>
            </w:pPr>
            <w:r>
              <w:rPr>
                <w:rFonts w:ascii="Arial" w:cs="Arial" w:eastAsia="Arial" w:hAnsi="Arial"/>
                <w:sz w:val="14"/>
                <w:szCs w:val="14"/>
                <w:b w:val="1"/>
                <w:bCs w:val="1"/>
                <w:color w:val="auto"/>
              </w:rPr>
              <w:t>September 30,</w:t>
            </w:r>
          </w:p>
        </w:tc>
        <w:tc>
          <w:tcPr>
            <w:tcW w:w="1120" w:type="dxa"/>
            <w:vAlign w:val="bottom"/>
            <w:gridSpan w:val="3"/>
          </w:tcPr>
          <w:p>
            <w:pPr>
              <w:ind w:left="8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61"/>
        </w:trPr>
        <w:tc>
          <w:tcPr>
            <w:tcW w:w="240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276"/>
              <w:spacing w:after="0"/>
              <w:rPr>
                <w:sz w:val="20"/>
                <w:szCs w:val="20"/>
                <w:color w:val="auto"/>
              </w:rPr>
            </w:pPr>
            <w:r>
              <w:rPr>
                <w:rFonts w:ascii="Arial" w:cs="Arial" w:eastAsia="Arial" w:hAnsi="Arial"/>
                <w:sz w:val="14"/>
                <w:szCs w:val="14"/>
                <w:b w:val="1"/>
                <w:bCs w:val="1"/>
                <w:color w:val="auto"/>
              </w:rPr>
              <w:t>2010</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256"/>
              <w:spacing w:after="0"/>
              <w:rPr>
                <w:sz w:val="20"/>
                <w:szCs w:val="20"/>
                <w:color w:val="auto"/>
              </w:rPr>
            </w:pPr>
            <w:r>
              <w:rPr>
                <w:rFonts w:ascii="Arial" w:cs="Arial" w:eastAsia="Arial" w:hAnsi="Arial"/>
                <w:sz w:val="14"/>
                <w:szCs w:val="14"/>
                <w:b w:val="1"/>
                <w:bCs w:val="1"/>
                <w:color w:val="auto"/>
              </w:rPr>
              <w:t>2009</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LendingTree Loans</w:t>
            </w:r>
          </w:p>
        </w:tc>
        <w:tc>
          <w:tcPr>
            <w:tcW w:w="220" w:type="dxa"/>
            <w:vAlign w:val="bottom"/>
            <w:shd w:val="clear" w:color="auto" w:fill="CCEEFF"/>
          </w:tcPr>
          <w:p>
            <w:pPr>
              <w:jc w:val="right"/>
              <w:ind w:right="66"/>
              <w:spacing w:after="0"/>
              <w:rPr>
                <w:sz w:val="20"/>
                <w:szCs w:val="20"/>
                <w:color w:val="auto"/>
              </w:rPr>
            </w:pPr>
            <w:r>
              <w:rPr>
                <w:rFonts w:ascii="Arial" w:cs="Arial" w:eastAsia="Arial" w:hAnsi="Arial"/>
                <w:sz w:val="15"/>
                <w:szCs w:val="15"/>
                <w:color w:val="auto"/>
                <w:w w:val="71"/>
              </w:rPr>
              <w:t>$</w:t>
            </w: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232,440</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167,976</w:t>
            </w:r>
          </w:p>
        </w:tc>
        <w:tc>
          <w:tcPr>
            <w:tcW w:w="0" w:type="dxa"/>
            <w:vAlign w:val="bottom"/>
          </w:tcPr>
          <w:p>
            <w:pPr>
              <w:spacing w:after="0"/>
              <w:rPr>
                <w:sz w:val="1"/>
                <w:szCs w:val="1"/>
                <w:color w:val="auto"/>
              </w:rPr>
            </w:pPr>
          </w:p>
        </w:tc>
      </w:tr>
      <w:tr>
        <w:trPr>
          <w:trHeight w:val="216"/>
        </w:trPr>
        <w:tc>
          <w:tcPr>
            <w:tcW w:w="4560" w:type="dxa"/>
            <w:vAlign w:val="bottom"/>
            <w:gridSpan w:val="2"/>
          </w:tcPr>
          <w:p>
            <w:pPr>
              <w:spacing w:after="0"/>
              <w:rPr>
                <w:sz w:val="20"/>
                <w:szCs w:val="20"/>
                <w:color w:val="auto"/>
              </w:rPr>
            </w:pPr>
            <w:r>
              <w:rPr>
                <w:rFonts w:ascii="Arial" w:cs="Arial" w:eastAsia="Arial" w:hAnsi="Arial"/>
                <w:sz w:val="18"/>
                <w:szCs w:val="18"/>
                <w:color w:val="auto"/>
              </w:rPr>
              <w:t>Real Estate</w:t>
            </w:r>
          </w:p>
        </w:tc>
        <w:tc>
          <w:tcPr>
            <w:tcW w:w="220" w:type="dxa"/>
            <w:vAlign w:val="bottom"/>
          </w:tcPr>
          <w:p>
            <w:pPr>
              <w:spacing w:after="0"/>
              <w:rPr>
                <w:sz w:val="18"/>
                <w:szCs w:val="18"/>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25,709</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28,031</w:t>
            </w:r>
          </w:p>
        </w:tc>
        <w:tc>
          <w:tcPr>
            <w:tcW w:w="0" w:type="dxa"/>
            <w:vAlign w:val="bottom"/>
          </w:tcPr>
          <w:p>
            <w:pPr>
              <w:spacing w:after="0"/>
              <w:rPr>
                <w:sz w:val="1"/>
                <w:szCs w:val="1"/>
                <w:color w:val="auto"/>
              </w:rPr>
            </w:pPr>
          </w:p>
        </w:tc>
      </w:tr>
      <w:tr>
        <w:trPr>
          <w:trHeight w:val="216"/>
        </w:trPr>
        <w:tc>
          <w:tcPr>
            <w:tcW w:w="4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Exchanges and Unallocated—Corporate(a)</w:t>
            </w:r>
          </w:p>
        </w:tc>
        <w:tc>
          <w:tcPr>
            <w:tcW w:w="2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78,558</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95,825</w:t>
            </w:r>
          </w:p>
        </w:tc>
        <w:tc>
          <w:tcPr>
            <w:tcW w:w="0" w:type="dxa"/>
            <w:vAlign w:val="bottom"/>
          </w:tcPr>
          <w:p>
            <w:pPr>
              <w:spacing w:after="0"/>
              <w:rPr>
                <w:sz w:val="1"/>
                <w:szCs w:val="1"/>
                <w:color w:val="auto"/>
              </w:rPr>
            </w:pPr>
          </w:p>
        </w:tc>
      </w:tr>
      <w:tr>
        <w:trPr>
          <w:trHeight w:val="27"/>
        </w:trPr>
        <w:tc>
          <w:tcPr>
            <w:tcW w:w="4560" w:type="dxa"/>
            <w:vAlign w:val="bottom"/>
            <w:gridSpan w:val="2"/>
            <w:vMerge w:val="restart"/>
          </w:tcPr>
          <w:p>
            <w:pPr>
              <w:spacing w:after="0"/>
              <w:rPr>
                <w:sz w:val="20"/>
                <w:szCs w:val="20"/>
                <w:color w:val="auto"/>
              </w:rPr>
            </w:pPr>
            <w:r>
              <w:rPr>
                <w:rFonts w:ascii="Arial" w:cs="Arial" w:eastAsia="Arial" w:hAnsi="Arial"/>
                <w:sz w:val="18"/>
                <w:szCs w:val="18"/>
                <w:color w:val="auto"/>
              </w:rPr>
              <w:t>Total</w:t>
            </w:r>
          </w:p>
        </w:tc>
        <w:tc>
          <w:tcPr>
            <w:tcW w:w="220" w:type="dxa"/>
            <w:vAlign w:val="bottom"/>
          </w:tcPr>
          <w:p>
            <w:pPr>
              <w:spacing w:after="0"/>
              <w:rPr>
                <w:sz w:val="2"/>
                <w:szCs w:val="2"/>
                <w:color w:val="auto"/>
              </w:rPr>
            </w:pPr>
          </w:p>
        </w:tc>
        <w:tc>
          <w:tcPr>
            <w:tcW w:w="80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4560" w:type="dxa"/>
            <w:vAlign w:val="bottom"/>
            <w:gridSpan w:val="2"/>
            <w:vMerge w:val="continue"/>
          </w:tcPr>
          <w:p>
            <w:pPr>
              <w:spacing w:after="0"/>
              <w:rPr>
                <w:sz w:val="18"/>
                <w:szCs w:val="18"/>
                <w:color w:val="auto"/>
              </w:rPr>
            </w:pPr>
          </w:p>
        </w:tc>
        <w:tc>
          <w:tcPr>
            <w:tcW w:w="220" w:type="dxa"/>
            <w:vAlign w:val="bottom"/>
            <w:tcBorders>
              <w:top w:val="single" w:sz="8" w:color="auto"/>
            </w:tcBorders>
          </w:tcPr>
          <w:p>
            <w:pPr>
              <w:jc w:val="right"/>
              <w:ind w:right="66"/>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336,707</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Borders>
              <w:top w:val="single" w:sz="8" w:color="auto"/>
            </w:tcBorders>
          </w:tcPr>
          <w:p>
            <w:pPr>
              <w:jc w:val="right"/>
              <w:ind w:right="39"/>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291,832</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40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240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9"/>
        </w:trPr>
        <w:tc>
          <w:tcPr>
            <w:tcW w:w="2400" w:type="dxa"/>
            <w:vAlign w:val="bottom"/>
            <w:tcBorders>
              <w:bottom w:val="single" w:sz="8" w:color="auto"/>
            </w:tcBorders>
          </w:tcPr>
          <w:p>
            <w:pPr>
              <w:spacing w:after="0"/>
              <w:rPr>
                <w:sz w:val="7"/>
                <w:szCs w:val="7"/>
                <w:color w:val="auto"/>
              </w:rPr>
            </w:pPr>
          </w:p>
        </w:tc>
        <w:tc>
          <w:tcPr>
            <w:tcW w:w="2160" w:type="dxa"/>
            <w:vAlign w:val="bottom"/>
          </w:tcPr>
          <w:p>
            <w:pPr>
              <w:spacing w:after="0"/>
              <w:rPr>
                <w:sz w:val="7"/>
                <w:szCs w:val="7"/>
                <w:color w:val="auto"/>
              </w:rPr>
            </w:pPr>
          </w:p>
        </w:tc>
        <w:tc>
          <w:tcPr>
            <w:tcW w:w="220" w:type="dxa"/>
            <w:vAlign w:val="bottom"/>
          </w:tcPr>
          <w:p>
            <w:pPr>
              <w:spacing w:after="0"/>
              <w:rPr>
                <w:sz w:val="7"/>
                <w:szCs w:val="7"/>
                <w:color w:val="auto"/>
              </w:rPr>
            </w:pPr>
          </w:p>
        </w:tc>
        <w:tc>
          <w:tcPr>
            <w:tcW w:w="780" w:type="dxa"/>
            <w:vAlign w:val="bottom"/>
          </w:tcPr>
          <w:p>
            <w:pPr>
              <w:spacing w:after="0"/>
              <w:rPr>
                <w:sz w:val="7"/>
                <w:szCs w:val="7"/>
                <w:color w:val="auto"/>
              </w:rPr>
            </w:pPr>
          </w:p>
        </w:tc>
        <w:tc>
          <w:tcPr>
            <w:tcW w:w="20" w:type="dxa"/>
            <w:vAlign w:val="bottom"/>
          </w:tcPr>
          <w:p>
            <w:pPr>
              <w:spacing w:after="0"/>
              <w:rPr>
                <w:sz w:val="7"/>
                <w:szCs w:val="7"/>
                <w:color w:val="auto"/>
              </w:rPr>
            </w:pPr>
          </w:p>
        </w:tc>
        <w:tc>
          <w:tcPr>
            <w:tcW w:w="140" w:type="dxa"/>
            <w:vAlign w:val="bottom"/>
          </w:tcPr>
          <w:p>
            <w:pPr>
              <w:spacing w:after="0"/>
              <w:rPr>
                <w:sz w:val="7"/>
                <w:szCs w:val="7"/>
                <w:color w:val="auto"/>
              </w:rPr>
            </w:pPr>
          </w:p>
        </w:tc>
        <w:tc>
          <w:tcPr>
            <w:tcW w:w="220" w:type="dxa"/>
            <w:vAlign w:val="bottom"/>
          </w:tcPr>
          <w:p>
            <w:pPr>
              <w:spacing w:after="0"/>
              <w:rPr>
                <w:sz w:val="7"/>
                <w:szCs w:val="7"/>
                <w:color w:val="auto"/>
              </w:rPr>
            </w:pPr>
          </w:p>
        </w:tc>
        <w:tc>
          <w:tcPr>
            <w:tcW w:w="740" w:type="dxa"/>
            <w:vAlign w:val="bottom"/>
          </w:tcPr>
          <w:p>
            <w:pPr>
              <w:spacing w:after="0"/>
              <w:rPr>
                <w:sz w:val="7"/>
                <w:szCs w:val="7"/>
                <w:color w:val="auto"/>
              </w:rPr>
            </w:pPr>
          </w:p>
        </w:tc>
        <w:tc>
          <w:tcPr>
            <w:tcW w:w="16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221" w:lineRule="exact"/>
        <w:rPr>
          <w:sz w:val="20"/>
          <w:szCs w:val="20"/>
          <w:color w:val="auto"/>
        </w:rPr>
      </w:pPr>
    </w:p>
    <w:p>
      <w:pPr>
        <w:ind w:left="2840" w:hanging="550"/>
        <w:spacing w:after="0" w:line="268" w:lineRule="auto"/>
        <w:tabs>
          <w:tab w:leader="none" w:pos="2840" w:val="left"/>
        </w:tabs>
        <w:numPr>
          <w:ilvl w:val="0"/>
          <w:numId w:val="5"/>
        </w:numPr>
        <w:rPr>
          <w:rFonts w:ascii="Arial" w:cs="Arial" w:eastAsia="Arial" w:hAnsi="Arial"/>
          <w:sz w:val="18"/>
          <w:szCs w:val="18"/>
          <w:color w:val="auto"/>
        </w:rPr>
      </w:pPr>
      <w:r>
        <w:rPr>
          <w:rFonts w:ascii="Arial" w:cs="Arial" w:eastAsia="Arial" w:hAnsi="Arial"/>
          <w:sz w:val="18"/>
          <w:szCs w:val="18"/>
          <w:color w:val="auto"/>
        </w:rPr>
        <w:t>Assets are jointly used by the Exchanges and Unallocated—Corporate segments, and it is not practicable to allocate assets between these segments.</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0" w:name="page21"/>
    <w:bookmarkEnd w:id="2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TREE.COM, INC. AND SUBSIDIARIES</w:t>
      </w:r>
    </w:p>
    <w:p>
      <w:pPr>
        <w:spacing w:after="0" w:line="225" w:lineRule="exact"/>
        <w:rPr>
          <w:sz w:val="20"/>
          <w:szCs w:val="20"/>
          <w:color w:val="auto"/>
        </w:rPr>
      </w:pPr>
    </w:p>
    <w:p>
      <w:pPr>
        <w:ind w:left="294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8—EARNINGS PER SHARE AND STOCK-BASED COMPENSATION</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following table sets forth the computation of Basic and Diluted earnings per share:</w:t>
      </w:r>
    </w:p>
    <w:p>
      <w:pPr>
        <w:spacing w:after="0" w:line="275" w:lineRule="exact"/>
        <w:rPr>
          <w:sz w:val="20"/>
          <w:szCs w:val="20"/>
          <w:color w:val="auto"/>
        </w:rPr>
      </w:pPr>
    </w:p>
    <w:tbl>
      <w:tblPr>
        <w:tblLayout w:type="fixed"/>
        <w:tblInd w:w="2300" w:type="dxa"/>
        <w:tblCellMar>
          <w:top w:w="0" w:type="dxa"/>
          <w:left w:w="0" w:type="dxa"/>
          <w:bottom w:w="0" w:type="dxa"/>
          <w:right w:w="0" w:type="dxa"/>
        </w:tblCellMar>
      </w:tblPr>
      <w:tr>
        <w:trPr>
          <w:trHeight w:val="161"/>
        </w:trPr>
        <w:tc>
          <w:tcPr>
            <w:tcW w:w="33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580" w:type="dxa"/>
            <w:vAlign w:val="bottom"/>
            <w:tcBorders>
              <w:bottom w:val="single" w:sz="8" w:color="auto"/>
            </w:tcBorders>
            <w:gridSpan w:val="9"/>
          </w:tcPr>
          <w:p>
            <w:pPr>
              <w:jc w:val="right"/>
              <w:spacing w:after="0"/>
              <w:rPr>
                <w:sz w:val="20"/>
                <w:szCs w:val="20"/>
                <w:color w:val="auto"/>
              </w:rPr>
            </w:pPr>
            <w:r>
              <w:rPr>
                <w:rFonts w:ascii="Arial" w:cs="Arial" w:eastAsia="Arial" w:hAnsi="Arial"/>
                <w:sz w:val="14"/>
                <w:szCs w:val="14"/>
                <w:b w:val="1"/>
                <w:bCs w:val="1"/>
                <w:color w:val="auto"/>
              </w:rPr>
              <w:t>Three Months Ended September 30,</w:t>
            </w:r>
          </w:p>
        </w:tc>
        <w:tc>
          <w:tcPr>
            <w:tcW w:w="58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r>
      <w:tr>
        <w:trPr>
          <w:trHeight w:val="142"/>
        </w:trPr>
        <w:tc>
          <w:tcPr>
            <w:tcW w:w="338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gridSpan w:val="3"/>
          </w:tcPr>
          <w:p>
            <w:pPr>
              <w:jc w:val="right"/>
              <w:spacing w:after="0" w:line="142" w:lineRule="exact"/>
              <w:rPr>
                <w:sz w:val="20"/>
                <w:szCs w:val="20"/>
                <w:color w:val="auto"/>
              </w:rPr>
            </w:pPr>
            <w:r>
              <w:rPr>
                <w:rFonts w:ascii="Arial" w:cs="Arial" w:eastAsia="Arial" w:hAnsi="Arial"/>
                <w:sz w:val="14"/>
                <w:szCs w:val="14"/>
                <w:b w:val="1"/>
                <w:bCs w:val="1"/>
                <w:color w:val="auto"/>
              </w:rPr>
              <w:t>2010</w:t>
            </w:r>
          </w:p>
        </w:tc>
        <w:tc>
          <w:tcPr>
            <w:tcW w:w="580" w:type="dxa"/>
            <w:vAlign w:val="bottom"/>
            <w:tcBorders>
              <w:bottom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gridSpan w:val="3"/>
          </w:tcPr>
          <w:p>
            <w:pPr>
              <w:jc w:val="right"/>
              <w:ind w:right="3"/>
              <w:spacing w:after="0" w:line="142" w:lineRule="exact"/>
              <w:rPr>
                <w:sz w:val="20"/>
                <w:szCs w:val="20"/>
                <w:color w:val="auto"/>
              </w:rPr>
            </w:pPr>
            <w:r>
              <w:rPr>
                <w:rFonts w:ascii="Arial" w:cs="Arial" w:eastAsia="Arial" w:hAnsi="Arial"/>
                <w:sz w:val="14"/>
                <w:szCs w:val="14"/>
                <w:b w:val="1"/>
                <w:bCs w:val="1"/>
                <w:color w:val="auto"/>
              </w:rPr>
              <w:t>2009</w:t>
            </w:r>
          </w:p>
        </w:tc>
        <w:tc>
          <w:tcPr>
            <w:tcW w:w="580" w:type="dxa"/>
            <w:vAlign w:val="bottom"/>
            <w:tcBorders>
              <w:bottom w:val="single" w:sz="8" w:color="auto"/>
            </w:tcBorders>
          </w:tcPr>
          <w:p>
            <w:pPr>
              <w:spacing w:after="0"/>
              <w:rPr>
                <w:sz w:val="12"/>
                <w:szCs w:val="12"/>
                <w:color w:val="auto"/>
              </w:rPr>
            </w:pPr>
          </w:p>
        </w:tc>
        <w:tc>
          <w:tcPr>
            <w:tcW w:w="160" w:type="dxa"/>
            <w:vAlign w:val="bottom"/>
          </w:tcPr>
          <w:p>
            <w:pPr>
              <w:spacing w:after="0"/>
              <w:rPr>
                <w:sz w:val="12"/>
                <w:szCs w:val="12"/>
                <w:color w:val="auto"/>
              </w:rPr>
            </w:pPr>
          </w:p>
        </w:tc>
      </w:tr>
      <w:tr>
        <w:trPr>
          <w:trHeight w:val="142"/>
        </w:trPr>
        <w:tc>
          <w:tcPr>
            <w:tcW w:w="338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ind w:left="60"/>
              <w:spacing w:after="0" w:line="142" w:lineRule="exact"/>
              <w:rPr>
                <w:sz w:val="20"/>
                <w:szCs w:val="20"/>
                <w:color w:val="auto"/>
              </w:rPr>
            </w:pPr>
            <w:r>
              <w:rPr>
                <w:rFonts w:ascii="Arial" w:cs="Arial" w:eastAsia="Arial" w:hAnsi="Arial"/>
                <w:sz w:val="14"/>
                <w:szCs w:val="14"/>
                <w:b w:val="1"/>
                <w:bCs w:val="1"/>
                <w:color w:val="auto"/>
              </w:rPr>
              <w:t>Basic</w:t>
            </w:r>
          </w:p>
        </w:tc>
        <w:tc>
          <w:tcPr>
            <w:tcW w:w="16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57"/>
              <w:spacing w:after="0" w:line="142" w:lineRule="exact"/>
              <w:rPr>
                <w:sz w:val="20"/>
                <w:szCs w:val="20"/>
                <w:color w:val="auto"/>
              </w:rPr>
            </w:pPr>
            <w:r>
              <w:rPr>
                <w:rFonts w:ascii="Arial" w:cs="Arial" w:eastAsia="Arial" w:hAnsi="Arial"/>
                <w:sz w:val="14"/>
                <w:szCs w:val="14"/>
                <w:b w:val="1"/>
                <w:bCs w:val="1"/>
                <w:color w:val="auto"/>
                <w:w w:val="88"/>
              </w:rPr>
              <w:t>Diluted</w:t>
            </w:r>
          </w:p>
        </w:tc>
        <w:tc>
          <w:tcPr>
            <w:tcW w:w="16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120"/>
              <w:spacing w:after="0" w:line="142" w:lineRule="exact"/>
              <w:rPr>
                <w:sz w:val="20"/>
                <w:szCs w:val="20"/>
                <w:color w:val="auto"/>
              </w:rPr>
            </w:pPr>
            <w:r>
              <w:rPr>
                <w:rFonts w:ascii="Arial" w:cs="Arial" w:eastAsia="Arial" w:hAnsi="Arial"/>
                <w:sz w:val="14"/>
                <w:szCs w:val="14"/>
                <w:b w:val="1"/>
                <w:bCs w:val="1"/>
                <w:color w:val="auto"/>
                <w:w w:val="90"/>
              </w:rPr>
              <w:t>Basic</w:t>
            </w:r>
          </w:p>
        </w:tc>
        <w:tc>
          <w:tcPr>
            <w:tcW w:w="16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57"/>
              <w:spacing w:after="0" w:line="142" w:lineRule="exact"/>
              <w:rPr>
                <w:sz w:val="20"/>
                <w:szCs w:val="20"/>
                <w:color w:val="auto"/>
              </w:rPr>
            </w:pPr>
            <w:r>
              <w:rPr>
                <w:rFonts w:ascii="Arial" w:cs="Arial" w:eastAsia="Arial" w:hAnsi="Arial"/>
                <w:sz w:val="14"/>
                <w:szCs w:val="14"/>
                <w:b w:val="1"/>
                <w:bCs w:val="1"/>
                <w:color w:val="auto"/>
                <w:w w:val="88"/>
              </w:rPr>
              <w:t>Diluted</w:t>
            </w:r>
          </w:p>
        </w:tc>
        <w:tc>
          <w:tcPr>
            <w:tcW w:w="160" w:type="dxa"/>
            <w:vAlign w:val="bottom"/>
          </w:tcPr>
          <w:p>
            <w:pPr>
              <w:spacing w:after="0"/>
              <w:rPr>
                <w:sz w:val="12"/>
                <w:szCs w:val="12"/>
                <w:color w:val="auto"/>
              </w:rPr>
            </w:pPr>
          </w:p>
        </w:tc>
      </w:tr>
      <w:tr>
        <w:trPr>
          <w:trHeight w:val="142"/>
        </w:trPr>
        <w:tc>
          <w:tcPr>
            <w:tcW w:w="3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580" w:type="dxa"/>
            <w:vAlign w:val="bottom"/>
            <w:gridSpan w:val="9"/>
          </w:tcPr>
          <w:p>
            <w:pPr>
              <w:jc w:val="right"/>
              <w:spacing w:after="0" w:line="142" w:lineRule="exact"/>
              <w:rPr>
                <w:sz w:val="20"/>
                <w:szCs w:val="20"/>
                <w:color w:val="auto"/>
              </w:rPr>
            </w:pPr>
            <w:r>
              <w:rPr>
                <w:rFonts w:ascii="Arial" w:cs="Arial" w:eastAsia="Arial" w:hAnsi="Arial"/>
                <w:sz w:val="14"/>
                <w:szCs w:val="14"/>
                <w:b w:val="1"/>
                <w:bCs w:val="1"/>
                <w:color w:val="auto"/>
              </w:rPr>
              <w:t>(In thousands, except per share data)</w:t>
            </w: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216"/>
        </w:trPr>
        <w:tc>
          <w:tcPr>
            <w:tcW w:w="33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Numerator:</w:t>
            </w: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08"/>
        </w:trPr>
        <w:tc>
          <w:tcPr>
            <w:tcW w:w="3380" w:type="dxa"/>
            <w:vAlign w:val="bottom"/>
          </w:tcPr>
          <w:p>
            <w:pPr>
              <w:spacing w:after="0"/>
              <w:rPr>
                <w:sz w:val="20"/>
                <w:szCs w:val="20"/>
                <w:color w:val="auto"/>
              </w:rPr>
            </w:pPr>
            <w:r>
              <w:rPr>
                <w:rFonts w:ascii="Arial" w:cs="Arial" w:eastAsia="Arial" w:hAnsi="Arial"/>
                <w:sz w:val="18"/>
                <w:szCs w:val="18"/>
                <w:color w:val="auto"/>
              </w:rPr>
              <w:t>Net income (loss) available to common</w:t>
            </w: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22"/>
        </w:trPr>
        <w:tc>
          <w:tcPr>
            <w:tcW w:w="3380" w:type="dxa"/>
            <w:vAlign w:val="bottom"/>
          </w:tcPr>
          <w:p>
            <w:pPr>
              <w:ind w:left="180"/>
              <w:spacing w:after="0"/>
              <w:rPr>
                <w:sz w:val="20"/>
                <w:szCs w:val="20"/>
                <w:color w:val="auto"/>
              </w:rPr>
            </w:pPr>
            <w:r>
              <w:rPr>
                <w:rFonts w:ascii="Arial" w:cs="Arial" w:eastAsia="Arial" w:hAnsi="Arial"/>
                <w:sz w:val="18"/>
                <w:szCs w:val="18"/>
                <w:color w:val="auto"/>
              </w:rPr>
              <w:t>shareholders</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rPr>
              <w:t>1,819</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1,819</w:t>
            </w:r>
          </w:p>
        </w:tc>
        <w:tc>
          <w:tcPr>
            <w:tcW w:w="16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rPr>
              <w:t>(7,400)</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(7,400)</w:t>
            </w:r>
          </w:p>
        </w:tc>
      </w:tr>
      <w:tr>
        <w:trPr>
          <w:trHeight w:val="218"/>
        </w:trPr>
        <w:tc>
          <w:tcPr>
            <w:tcW w:w="33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Denominator:</w:t>
            </w: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22"/>
        </w:trPr>
        <w:tc>
          <w:tcPr>
            <w:tcW w:w="3380" w:type="dxa"/>
            <w:vAlign w:val="bottom"/>
          </w:tcPr>
          <w:p>
            <w:pPr>
              <w:spacing w:after="0"/>
              <w:rPr>
                <w:sz w:val="20"/>
                <w:szCs w:val="20"/>
                <w:color w:val="auto"/>
              </w:rPr>
            </w:pPr>
            <w:r>
              <w:rPr>
                <w:rFonts w:ascii="Arial" w:cs="Arial" w:eastAsia="Arial" w:hAnsi="Arial"/>
                <w:sz w:val="18"/>
                <w:szCs w:val="18"/>
                <w:color w:val="auto"/>
              </w:rPr>
              <w:t>Weighted average common shares</w:t>
            </w:r>
          </w:p>
        </w:tc>
        <w:tc>
          <w:tcPr>
            <w:tcW w:w="140" w:type="dxa"/>
            <w:vAlign w:val="bottom"/>
          </w:tcPr>
          <w:p>
            <w:pPr>
              <w:spacing w:after="0"/>
              <w:rPr>
                <w:sz w:val="19"/>
                <w:szCs w:val="19"/>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w w:val="98"/>
              </w:rPr>
              <w:t>11,023</w:t>
            </w:r>
          </w:p>
        </w:tc>
        <w:tc>
          <w:tcPr>
            <w:tcW w:w="1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11,163</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w w:val="98"/>
              </w:rPr>
              <w:t>10,844</w:t>
            </w:r>
          </w:p>
        </w:tc>
        <w:tc>
          <w:tcPr>
            <w:tcW w:w="120" w:type="dxa"/>
            <w:vAlign w:val="bottom"/>
          </w:tcPr>
          <w:p>
            <w:pPr>
              <w:spacing w:after="0"/>
              <w:rPr>
                <w:sz w:val="19"/>
                <w:szCs w:val="19"/>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10,844</w:t>
            </w:r>
          </w:p>
        </w:tc>
      </w:tr>
      <w:tr>
        <w:trPr>
          <w:trHeight w:val="21"/>
        </w:trPr>
        <w:tc>
          <w:tcPr>
            <w:tcW w:w="33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0"/>
        </w:trPr>
        <w:tc>
          <w:tcPr>
            <w:tcW w:w="338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 per common share</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0.16</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0.16</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(0.68)</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(0.68)</w:t>
            </w:r>
          </w:p>
        </w:tc>
      </w:tr>
      <w:tr>
        <w:trPr>
          <w:trHeight w:val="27"/>
        </w:trPr>
        <w:tc>
          <w:tcPr>
            <w:tcW w:w="33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700" w:type="dxa"/>
            <w:vAlign w:val="bottom"/>
            <w:tcBorders>
              <w:bottom w:val="single" w:sz="8" w:color="auto"/>
            </w:tcBorders>
            <w:gridSpan w:val="2"/>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Borders>
              <w:bottom w:val="single" w:sz="8" w:color="auto"/>
            </w:tcBorders>
            <w:gridSpan w:val="2"/>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r>
      <w:tr>
        <w:trPr>
          <w:trHeight w:val="20"/>
        </w:trPr>
        <w:tc>
          <w:tcPr>
            <w:tcW w:w="33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Borders>
              <w:bottom w:val="single" w:sz="8" w:color="auto"/>
            </w:tcBorders>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Borders>
              <w:bottom w:val="single" w:sz="8" w:color="auto"/>
            </w:tcBorders>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831"/>
        </w:trPr>
        <w:tc>
          <w:tcPr>
            <w:tcW w:w="338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580" w:type="dxa"/>
            <w:vAlign w:val="bottom"/>
            <w:tcBorders>
              <w:bottom w:val="single" w:sz="8" w:color="auto"/>
            </w:tcBorders>
            <w:gridSpan w:val="9"/>
          </w:tcPr>
          <w:p>
            <w:pPr>
              <w:jc w:val="right"/>
              <w:spacing w:after="0"/>
              <w:rPr>
                <w:sz w:val="20"/>
                <w:szCs w:val="20"/>
                <w:color w:val="auto"/>
              </w:rPr>
            </w:pPr>
            <w:r>
              <w:rPr>
                <w:rFonts w:ascii="Arial" w:cs="Arial" w:eastAsia="Arial" w:hAnsi="Arial"/>
                <w:sz w:val="14"/>
                <w:szCs w:val="14"/>
                <w:b w:val="1"/>
                <w:bCs w:val="1"/>
                <w:color w:val="auto"/>
              </w:rPr>
              <w:t>Nine Months Ended September 30,</w:t>
            </w:r>
          </w:p>
        </w:tc>
        <w:tc>
          <w:tcPr>
            <w:tcW w:w="580" w:type="dxa"/>
            <w:vAlign w:val="bottom"/>
            <w:tcBorders>
              <w:bottom w:val="single" w:sz="8" w:color="auto"/>
            </w:tcBorders>
          </w:tcPr>
          <w:p>
            <w:pPr>
              <w:spacing w:after="0"/>
              <w:rPr>
                <w:sz w:val="24"/>
                <w:szCs w:val="24"/>
                <w:color w:val="auto"/>
              </w:rPr>
            </w:pPr>
          </w:p>
        </w:tc>
        <w:tc>
          <w:tcPr>
            <w:tcW w:w="160" w:type="dxa"/>
            <w:vAlign w:val="bottom"/>
          </w:tcPr>
          <w:p>
            <w:pPr>
              <w:spacing w:after="0"/>
              <w:rPr>
                <w:sz w:val="24"/>
                <w:szCs w:val="24"/>
                <w:color w:val="auto"/>
              </w:rPr>
            </w:pPr>
          </w:p>
        </w:tc>
      </w:tr>
      <w:tr>
        <w:trPr>
          <w:trHeight w:val="142"/>
        </w:trPr>
        <w:tc>
          <w:tcPr>
            <w:tcW w:w="338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gridSpan w:val="3"/>
          </w:tcPr>
          <w:p>
            <w:pPr>
              <w:jc w:val="right"/>
              <w:spacing w:after="0" w:line="142" w:lineRule="exact"/>
              <w:rPr>
                <w:sz w:val="20"/>
                <w:szCs w:val="20"/>
                <w:color w:val="auto"/>
              </w:rPr>
            </w:pPr>
            <w:r>
              <w:rPr>
                <w:rFonts w:ascii="Arial" w:cs="Arial" w:eastAsia="Arial" w:hAnsi="Arial"/>
                <w:sz w:val="14"/>
                <w:szCs w:val="14"/>
                <w:b w:val="1"/>
                <w:bCs w:val="1"/>
                <w:color w:val="auto"/>
              </w:rPr>
              <w:t>2010</w:t>
            </w:r>
          </w:p>
        </w:tc>
        <w:tc>
          <w:tcPr>
            <w:tcW w:w="580" w:type="dxa"/>
            <w:vAlign w:val="bottom"/>
            <w:tcBorders>
              <w:bottom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gridSpan w:val="3"/>
          </w:tcPr>
          <w:p>
            <w:pPr>
              <w:jc w:val="right"/>
              <w:ind w:right="3"/>
              <w:spacing w:after="0" w:line="142" w:lineRule="exact"/>
              <w:rPr>
                <w:sz w:val="20"/>
                <w:szCs w:val="20"/>
                <w:color w:val="auto"/>
              </w:rPr>
            </w:pPr>
            <w:r>
              <w:rPr>
                <w:rFonts w:ascii="Arial" w:cs="Arial" w:eastAsia="Arial" w:hAnsi="Arial"/>
                <w:sz w:val="14"/>
                <w:szCs w:val="14"/>
                <w:b w:val="1"/>
                <w:bCs w:val="1"/>
                <w:color w:val="auto"/>
              </w:rPr>
              <w:t>2009</w:t>
            </w:r>
          </w:p>
        </w:tc>
        <w:tc>
          <w:tcPr>
            <w:tcW w:w="580" w:type="dxa"/>
            <w:vAlign w:val="bottom"/>
            <w:tcBorders>
              <w:bottom w:val="single" w:sz="8" w:color="auto"/>
            </w:tcBorders>
          </w:tcPr>
          <w:p>
            <w:pPr>
              <w:spacing w:after="0"/>
              <w:rPr>
                <w:sz w:val="12"/>
                <w:szCs w:val="12"/>
                <w:color w:val="auto"/>
              </w:rPr>
            </w:pPr>
          </w:p>
        </w:tc>
        <w:tc>
          <w:tcPr>
            <w:tcW w:w="160" w:type="dxa"/>
            <w:vAlign w:val="bottom"/>
          </w:tcPr>
          <w:p>
            <w:pPr>
              <w:spacing w:after="0"/>
              <w:rPr>
                <w:sz w:val="12"/>
                <w:szCs w:val="12"/>
                <w:color w:val="auto"/>
              </w:rPr>
            </w:pPr>
          </w:p>
        </w:tc>
      </w:tr>
      <w:tr>
        <w:trPr>
          <w:trHeight w:val="142"/>
        </w:trPr>
        <w:tc>
          <w:tcPr>
            <w:tcW w:w="338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ind w:left="60"/>
              <w:spacing w:after="0" w:line="142" w:lineRule="exact"/>
              <w:rPr>
                <w:sz w:val="20"/>
                <w:szCs w:val="20"/>
                <w:color w:val="auto"/>
              </w:rPr>
            </w:pPr>
            <w:r>
              <w:rPr>
                <w:rFonts w:ascii="Arial" w:cs="Arial" w:eastAsia="Arial" w:hAnsi="Arial"/>
                <w:sz w:val="14"/>
                <w:szCs w:val="14"/>
                <w:b w:val="1"/>
                <w:bCs w:val="1"/>
                <w:color w:val="auto"/>
              </w:rPr>
              <w:t>Basic</w:t>
            </w:r>
          </w:p>
        </w:tc>
        <w:tc>
          <w:tcPr>
            <w:tcW w:w="16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57"/>
              <w:spacing w:after="0" w:line="142" w:lineRule="exact"/>
              <w:rPr>
                <w:sz w:val="20"/>
                <w:szCs w:val="20"/>
                <w:color w:val="auto"/>
              </w:rPr>
            </w:pPr>
            <w:r>
              <w:rPr>
                <w:rFonts w:ascii="Arial" w:cs="Arial" w:eastAsia="Arial" w:hAnsi="Arial"/>
                <w:sz w:val="14"/>
                <w:szCs w:val="14"/>
                <w:b w:val="1"/>
                <w:bCs w:val="1"/>
                <w:color w:val="auto"/>
                <w:w w:val="88"/>
              </w:rPr>
              <w:t>Diluted</w:t>
            </w:r>
          </w:p>
        </w:tc>
        <w:tc>
          <w:tcPr>
            <w:tcW w:w="16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120"/>
              <w:spacing w:after="0" w:line="142" w:lineRule="exact"/>
              <w:rPr>
                <w:sz w:val="20"/>
                <w:szCs w:val="20"/>
                <w:color w:val="auto"/>
              </w:rPr>
            </w:pPr>
            <w:r>
              <w:rPr>
                <w:rFonts w:ascii="Arial" w:cs="Arial" w:eastAsia="Arial" w:hAnsi="Arial"/>
                <w:sz w:val="14"/>
                <w:szCs w:val="14"/>
                <w:b w:val="1"/>
                <w:bCs w:val="1"/>
                <w:color w:val="auto"/>
                <w:w w:val="90"/>
              </w:rPr>
              <w:t>Basic</w:t>
            </w:r>
          </w:p>
        </w:tc>
        <w:tc>
          <w:tcPr>
            <w:tcW w:w="16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57"/>
              <w:spacing w:after="0" w:line="142" w:lineRule="exact"/>
              <w:rPr>
                <w:sz w:val="20"/>
                <w:szCs w:val="20"/>
                <w:color w:val="auto"/>
              </w:rPr>
            </w:pPr>
            <w:r>
              <w:rPr>
                <w:rFonts w:ascii="Arial" w:cs="Arial" w:eastAsia="Arial" w:hAnsi="Arial"/>
                <w:sz w:val="14"/>
                <w:szCs w:val="14"/>
                <w:b w:val="1"/>
                <w:bCs w:val="1"/>
                <w:color w:val="auto"/>
                <w:w w:val="88"/>
              </w:rPr>
              <w:t>Diluted</w:t>
            </w:r>
          </w:p>
        </w:tc>
        <w:tc>
          <w:tcPr>
            <w:tcW w:w="160" w:type="dxa"/>
            <w:vAlign w:val="bottom"/>
          </w:tcPr>
          <w:p>
            <w:pPr>
              <w:spacing w:after="0"/>
              <w:rPr>
                <w:sz w:val="12"/>
                <w:szCs w:val="12"/>
                <w:color w:val="auto"/>
              </w:rPr>
            </w:pPr>
          </w:p>
        </w:tc>
      </w:tr>
      <w:tr>
        <w:trPr>
          <w:trHeight w:val="142"/>
        </w:trPr>
        <w:tc>
          <w:tcPr>
            <w:tcW w:w="3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580" w:type="dxa"/>
            <w:vAlign w:val="bottom"/>
            <w:gridSpan w:val="9"/>
          </w:tcPr>
          <w:p>
            <w:pPr>
              <w:jc w:val="right"/>
              <w:spacing w:after="0" w:line="142" w:lineRule="exact"/>
              <w:rPr>
                <w:sz w:val="20"/>
                <w:szCs w:val="20"/>
                <w:color w:val="auto"/>
              </w:rPr>
            </w:pPr>
            <w:r>
              <w:rPr>
                <w:rFonts w:ascii="Arial" w:cs="Arial" w:eastAsia="Arial" w:hAnsi="Arial"/>
                <w:sz w:val="14"/>
                <w:szCs w:val="14"/>
                <w:b w:val="1"/>
                <w:bCs w:val="1"/>
                <w:color w:val="auto"/>
              </w:rPr>
              <w:t>(In thousands, except per share data)</w:t>
            </w: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216"/>
        </w:trPr>
        <w:tc>
          <w:tcPr>
            <w:tcW w:w="33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Numerator:</w:t>
            </w: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3380" w:type="dxa"/>
            <w:vAlign w:val="bottom"/>
          </w:tcPr>
          <w:p>
            <w:pPr>
              <w:spacing w:after="0"/>
              <w:rPr>
                <w:sz w:val="20"/>
                <w:szCs w:val="20"/>
                <w:color w:val="auto"/>
              </w:rPr>
            </w:pPr>
            <w:r>
              <w:rPr>
                <w:rFonts w:ascii="Arial" w:cs="Arial" w:eastAsia="Arial" w:hAnsi="Arial"/>
                <w:sz w:val="18"/>
                <w:szCs w:val="18"/>
                <w:color w:val="auto"/>
                <w:w w:val="97"/>
              </w:rPr>
              <w:t>Net loss available to common shareholders</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(5,126)</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(5,126)</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rPr>
              <w:t>(3,498)</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(3,498)</w:t>
            </w:r>
          </w:p>
        </w:tc>
      </w:tr>
      <w:tr>
        <w:trPr>
          <w:trHeight w:val="216"/>
        </w:trPr>
        <w:tc>
          <w:tcPr>
            <w:tcW w:w="33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Denominator:</w:t>
            </w: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22"/>
        </w:trPr>
        <w:tc>
          <w:tcPr>
            <w:tcW w:w="3380" w:type="dxa"/>
            <w:vAlign w:val="bottom"/>
          </w:tcPr>
          <w:p>
            <w:pPr>
              <w:spacing w:after="0"/>
              <w:rPr>
                <w:sz w:val="20"/>
                <w:szCs w:val="20"/>
                <w:color w:val="auto"/>
              </w:rPr>
            </w:pPr>
            <w:r>
              <w:rPr>
                <w:rFonts w:ascii="Arial" w:cs="Arial" w:eastAsia="Arial" w:hAnsi="Arial"/>
                <w:sz w:val="18"/>
                <w:szCs w:val="18"/>
                <w:color w:val="auto"/>
              </w:rPr>
              <w:t>Weighted average common shares</w:t>
            </w:r>
          </w:p>
        </w:tc>
        <w:tc>
          <w:tcPr>
            <w:tcW w:w="140" w:type="dxa"/>
            <w:vAlign w:val="bottom"/>
          </w:tcPr>
          <w:p>
            <w:pPr>
              <w:spacing w:after="0"/>
              <w:rPr>
                <w:sz w:val="19"/>
                <w:szCs w:val="19"/>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w w:val="98"/>
              </w:rPr>
              <w:t>10,993</w:t>
            </w:r>
          </w:p>
        </w:tc>
        <w:tc>
          <w:tcPr>
            <w:tcW w:w="1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10,993</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w w:val="98"/>
              </w:rPr>
              <w:t>10,413</w:t>
            </w:r>
          </w:p>
        </w:tc>
        <w:tc>
          <w:tcPr>
            <w:tcW w:w="120" w:type="dxa"/>
            <w:vAlign w:val="bottom"/>
          </w:tcPr>
          <w:p>
            <w:pPr>
              <w:spacing w:after="0"/>
              <w:rPr>
                <w:sz w:val="19"/>
                <w:szCs w:val="19"/>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10,413</w:t>
            </w:r>
          </w:p>
        </w:tc>
      </w:tr>
      <w:tr>
        <w:trPr>
          <w:trHeight w:val="21"/>
        </w:trPr>
        <w:tc>
          <w:tcPr>
            <w:tcW w:w="33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0"/>
        </w:trPr>
        <w:tc>
          <w:tcPr>
            <w:tcW w:w="3380" w:type="dxa"/>
            <w:vAlign w:val="bottom"/>
            <w:shd w:val="clear" w:color="auto" w:fill="CCEEFF"/>
          </w:tcPr>
          <w:p>
            <w:pPr>
              <w:spacing w:after="0"/>
              <w:rPr>
                <w:sz w:val="20"/>
                <w:szCs w:val="20"/>
                <w:color w:val="auto"/>
              </w:rPr>
            </w:pPr>
            <w:r>
              <w:rPr>
                <w:rFonts w:ascii="Arial" w:cs="Arial" w:eastAsia="Arial" w:hAnsi="Arial"/>
                <w:sz w:val="18"/>
                <w:szCs w:val="18"/>
                <w:color w:val="auto"/>
              </w:rPr>
              <w:t>Net loss per common share</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(0.47)</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(0.47)</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(0.34)</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(0.34)</w:t>
            </w:r>
          </w:p>
        </w:tc>
      </w:tr>
      <w:tr>
        <w:trPr>
          <w:trHeight w:val="27"/>
        </w:trPr>
        <w:tc>
          <w:tcPr>
            <w:tcW w:w="33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r>
      <w:tr>
        <w:trPr>
          <w:trHeight w:val="20"/>
        </w:trPr>
        <w:tc>
          <w:tcPr>
            <w:tcW w:w="33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8" w:lineRule="exact"/>
        <w:rPr>
          <w:sz w:val="20"/>
          <w:szCs w:val="20"/>
          <w:color w:val="auto"/>
        </w:rPr>
      </w:pPr>
    </w:p>
    <w:p>
      <w:pPr>
        <w:ind w:right="140" w:firstLine="351"/>
        <w:spacing w:after="0" w:line="268" w:lineRule="auto"/>
        <w:rPr>
          <w:sz w:val="20"/>
          <w:szCs w:val="20"/>
          <w:color w:val="auto"/>
        </w:rPr>
      </w:pPr>
      <w:r>
        <w:rPr>
          <w:rFonts w:ascii="Arial" w:cs="Arial" w:eastAsia="Arial" w:hAnsi="Arial"/>
          <w:sz w:val="18"/>
          <w:szCs w:val="18"/>
          <w:color w:val="auto"/>
        </w:rPr>
        <w:t>Non-cash compensation expense related to equity awards is included in the following line items in the accompanying consolidated statements of operations for the three and nine months ended September 30, 2010 and 2009 (in thousands):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300" w:type="dxa"/>
            <w:vAlign w:val="bottom"/>
          </w:tcPr>
          <w:p>
            <w:pPr>
              <w:spacing w:after="0"/>
              <w:rPr>
                <w:sz w:val="14"/>
                <w:szCs w:val="14"/>
                <w:color w:val="auto"/>
              </w:rPr>
            </w:pPr>
          </w:p>
        </w:tc>
        <w:tc>
          <w:tcPr>
            <w:tcW w:w="29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40" w:type="dxa"/>
            <w:vAlign w:val="bottom"/>
            <w:gridSpan w:val="5"/>
          </w:tcPr>
          <w:p>
            <w:pPr>
              <w:jc w:val="center"/>
              <w:ind w:right="280"/>
              <w:spacing w:after="0"/>
              <w:rPr>
                <w:sz w:val="20"/>
                <w:szCs w:val="20"/>
                <w:color w:val="auto"/>
              </w:rPr>
            </w:pPr>
            <w:r>
              <w:rPr>
                <w:rFonts w:ascii="Arial" w:cs="Arial" w:eastAsia="Arial" w:hAnsi="Arial"/>
                <w:sz w:val="14"/>
                <w:szCs w:val="14"/>
                <w:b w:val="1"/>
                <w:bCs w:val="1"/>
                <w:color w:val="auto"/>
                <w:w w:val="89"/>
              </w:rPr>
              <w:t>Three Months</w:t>
            </w:r>
          </w:p>
        </w:tc>
        <w:tc>
          <w:tcPr>
            <w:tcW w:w="120" w:type="dxa"/>
            <w:vAlign w:val="bottom"/>
          </w:tcPr>
          <w:p>
            <w:pPr>
              <w:spacing w:after="0"/>
              <w:rPr>
                <w:sz w:val="14"/>
                <w:szCs w:val="14"/>
                <w:color w:val="auto"/>
              </w:rPr>
            </w:pPr>
          </w:p>
        </w:tc>
        <w:tc>
          <w:tcPr>
            <w:tcW w:w="3720" w:type="dxa"/>
            <w:vAlign w:val="bottom"/>
            <w:gridSpan w:val="6"/>
          </w:tcPr>
          <w:p>
            <w:pPr>
              <w:jc w:val="center"/>
              <w:ind w:right="2580"/>
              <w:spacing w:after="0"/>
              <w:rPr>
                <w:sz w:val="20"/>
                <w:szCs w:val="20"/>
                <w:color w:val="auto"/>
              </w:rPr>
            </w:pPr>
            <w:r>
              <w:rPr>
                <w:rFonts w:ascii="Arial" w:cs="Arial" w:eastAsia="Arial" w:hAnsi="Arial"/>
                <w:sz w:val="14"/>
                <w:szCs w:val="14"/>
                <w:b w:val="1"/>
                <w:bCs w:val="1"/>
                <w:color w:val="auto"/>
                <w:w w:val="88"/>
              </w:rPr>
              <w:t>Nine Months</w:t>
            </w:r>
          </w:p>
        </w:tc>
        <w:tc>
          <w:tcPr>
            <w:tcW w:w="0" w:type="dxa"/>
            <w:vAlign w:val="bottom"/>
          </w:tcPr>
          <w:p>
            <w:pPr>
              <w:spacing w:after="0"/>
              <w:rPr>
                <w:sz w:val="1"/>
                <w:szCs w:val="1"/>
                <w:color w:val="auto"/>
              </w:rPr>
            </w:pPr>
          </w:p>
        </w:tc>
      </w:tr>
      <w:tr>
        <w:trPr>
          <w:trHeight w:val="149"/>
        </w:trPr>
        <w:tc>
          <w:tcPr>
            <w:tcW w:w="2300" w:type="dxa"/>
            <w:vAlign w:val="bottom"/>
          </w:tcPr>
          <w:p>
            <w:pPr>
              <w:spacing w:after="0"/>
              <w:rPr>
                <w:sz w:val="12"/>
                <w:szCs w:val="12"/>
                <w:color w:val="auto"/>
              </w:rPr>
            </w:pPr>
          </w:p>
        </w:tc>
        <w:tc>
          <w:tcPr>
            <w:tcW w:w="29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gridSpan w:val="3"/>
          </w:tcPr>
          <w:p>
            <w:pPr>
              <w:jc w:val="center"/>
              <w:ind w:left="261"/>
              <w:spacing w:after="0" w:line="149" w:lineRule="exact"/>
              <w:rPr>
                <w:sz w:val="20"/>
                <w:szCs w:val="20"/>
                <w:color w:val="auto"/>
              </w:rPr>
            </w:pPr>
            <w:r>
              <w:rPr>
                <w:rFonts w:ascii="Arial" w:cs="Arial" w:eastAsia="Arial" w:hAnsi="Arial"/>
                <w:sz w:val="14"/>
                <w:szCs w:val="14"/>
                <w:b w:val="1"/>
                <w:bCs w:val="1"/>
                <w:color w:val="auto"/>
                <w:w w:val="88"/>
              </w:rPr>
              <w:t>Ended</w:t>
            </w:r>
          </w:p>
        </w:tc>
        <w:tc>
          <w:tcPr>
            <w:tcW w:w="4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gridSpan w:val="3"/>
          </w:tcPr>
          <w:p>
            <w:pPr>
              <w:jc w:val="center"/>
              <w:ind w:left="261"/>
              <w:spacing w:after="0" w:line="149" w:lineRule="exact"/>
              <w:rPr>
                <w:sz w:val="20"/>
                <w:szCs w:val="20"/>
                <w:color w:val="auto"/>
              </w:rPr>
            </w:pPr>
            <w:r>
              <w:rPr>
                <w:rFonts w:ascii="Arial" w:cs="Arial" w:eastAsia="Arial" w:hAnsi="Arial"/>
                <w:sz w:val="14"/>
                <w:szCs w:val="14"/>
                <w:b w:val="1"/>
                <w:bCs w:val="1"/>
                <w:color w:val="auto"/>
                <w:w w:val="88"/>
              </w:rPr>
              <w:t>Ended</w:t>
            </w:r>
          </w:p>
        </w:tc>
        <w:tc>
          <w:tcPr>
            <w:tcW w:w="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300" w:type="dxa"/>
            <w:vAlign w:val="bottom"/>
          </w:tcPr>
          <w:p>
            <w:pPr>
              <w:spacing w:after="0"/>
              <w:rPr>
                <w:sz w:val="14"/>
                <w:szCs w:val="14"/>
                <w:color w:val="auto"/>
              </w:rPr>
            </w:pPr>
          </w:p>
        </w:tc>
        <w:tc>
          <w:tcPr>
            <w:tcW w:w="29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40" w:type="dxa"/>
            <w:vAlign w:val="bottom"/>
            <w:gridSpan w:val="5"/>
          </w:tcPr>
          <w:p>
            <w:pPr>
              <w:jc w:val="center"/>
              <w:ind w:right="280"/>
              <w:spacing w:after="0"/>
              <w:rPr>
                <w:sz w:val="20"/>
                <w:szCs w:val="20"/>
                <w:color w:val="auto"/>
              </w:rPr>
            </w:pPr>
            <w:r>
              <w:rPr>
                <w:rFonts w:ascii="Arial" w:cs="Arial" w:eastAsia="Arial" w:hAnsi="Arial"/>
                <w:sz w:val="14"/>
                <w:szCs w:val="14"/>
                <w:b w:val="1"/>
                <w:bCs w:val="1"/>
                <w:color w:val="auto"/>
                <w:w w:val="85"/>
              </w:rPr>
              <w:t>September 30,</w:t>
            </w:r>
          </w:p>
        </w:tc>
        <w:tc>
          <w:tcPr>
            <w:tcW w:w="120" w:type="dxa"/>
            <w:vAlign w:val="bottom"/>
          </w:tcPr>
          <w:p>
            <w:pPr>
              <w:spacing w:after="0"/>
              <w:rPr>
                <w:sz w:val="14"/>
                <w:szCs w:val="14"/>
                <w:color w:val="auto"/>
              </w:rPr>
            </w:pPr>
          </w:p>
        </w:tc>
        <w:tc>
          <w:tcPr>
            <w:tcW w:w="3720" w:type="dxa"/>
            <w:vAlign w:val="bottom"/>
            <w:gridSpan w:val="6"/>
          </w:tcPr>
          <w:p>
            <w:pPr>
              <w:jc w:val="center"/>
              <w:ind w:right="2580"/>
              <w:spacing w:after="0"/>
              <w:rPr>
                <w:sz w:val="20"/>
                <w:szCs w:val="20"/>
                <w:color w:val="auto"/>
              </w:rPr>
            </w:pPr>
            <w:r>
              <w:rPr>
                <w:rFonts w:ascii="Arial" w:cs="Arial" w:eastAsia="Arial" w:hAnsi="Arial"/>
                <w:sz w:val="14"/>
                <w:szCs w:val="14"/>
                <w:b w:val="1"/>
                <w:bCs w:val="1"/>
                <w:color w:val="auto"/>
                <w:w w:val="85"/>
              </w:rPr>
              <w:t>September 30,</w:t>
            </w:r>
          </w:p>
        </w:tc>
        <w:tc>
          <w:tcPr>
            <w:tcW w:w="0" w:type="dxa"/>
            <w:vAlign w:val="bottom"/>
          </w:tcPr>
          <w:p>
            <w:pPr>
              <w:spacing w:after="0"/>
              <w:rPr>
                <w:sz w:val="1"/>
                <w:szCs w:val="1"/>
                <w:color w:val="auto"/>
              </w:rPr>
            </w:pPr>
          </w:p>
        </w:tc>
      </w:tr>
      <w:tr>
        <w:trPr>
          <w:trHeight w:val="142"/>
        </w:trPr>
        <w:tc>
          <w:tcPr>
            <w:tcW w:w="2300" w:type="dxa"/>
            <w:vAlign w:val="bottom"/>
          </w:tcPr>
          <w:p>
            <w:pPr>
              <w:spacing w:after="0"/>
              <w:rPr>
                <w:sz w:val="12"/>
                <w:szCs w:val="12"/>
                <w:color w:val="auto"/>
              </w:rPr>
            </w:pPr>
          </w:p>
        </w:tc>
        <w:tc>
          <w:tcPr>
            <w:tcW w:w="29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380" w:type="dxa"/>
            <w:vAlign w:val="bottom"/>
            <w:tcBorders>
              <w:top w:val="single" w:sz="8" w:color="auto"/>
              <w:bottom w:val="single" w:sz="8" w:color="auto"/>
            </w:tcBorders>
          </w:tcPr>
          <w:p>
            <w:pPr>
              <w:jc w:val="right"/>
              <w:ind w:right="21"/>
              <w:spacing w:after="0" w:line="142" w:lineRule="exact"/>
              <w:rPr>
                <w:sz w:val="20"/>
                <w:szCs w:val="20"/>
                <w:color w:val="auto"/>
              </w:rPr>
            </w:pPr>
            <w:r>
              <w:rPr>
                <w:rFonts w:ascii="Arial" w:cs="Arial" w:eastAsia="Arial" w:hAnsi="Arial"/>
                <w:sz w:val="14"/>
                <w:szCs w:val="14"/>
                <w:b w:val="1"/>
                <w:bCs w:val="1"/>
                <w:color w:val="auto"/>
                <w:w w:val="83"/>
              </w:rPr>
              <w:t>2010</w:t>
            </w:r>
          </w:p>
        </w:tc>
        <w:tc>
          <w:tcPr>
            <w:tcW w:w="160" w:type="dxa"/>
            <w:vAlign w:val="bottom"/>
            <w:tcBorders>
              <w:top w:val="single" w:sz="8" w:color="auto"/>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440" w:type="dxa"/>
            <w:vAlign w:val="bottom"/>
            <w:tcBorders>
              <w:top w:val="single" w:sz="8" w:color="auto"/>
              <w:bottom w:val="single" w:sz="8" w:color="auto"/>
            </w:tcBorders>
          </w:tcPr>
          <w:p>
            <w:pPr>
              <w:jc w:val="right"/>
              <w:ind w:right="76"/>
              <w:spacing w:after="0" w:line="142" w:lineRule="exact"/>
              <w:rPr>
                <w:sz w:val="20"/>
                <w:szCs w:val="20"/>
                <w:color w:val="auto"/>
              </w:rPr>
            </w:pPr>
            <w:r>
              <w:rPr>
                <w:rFonts w:ascii="Arial" w:cs="Arial" w:eastAsia="Arial" w:hAnsi="Arial"/>
                <w:sz w:val="14"/>
                <w:szCs w:val="14"/>
                <w:b w:val="1"/>
                <w:bCs w:val="1"/>
                <w:color w:val="auto"/>
                <w:w w:val="83"/>
              </w:rPr>
              <w:t>2009</w:t>
            </w:r>
          </w:p>
        </w:tc>
        <w:tc>
          <w:tcPr>
            <w:tcW w:w="18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101"/>
              <w:spacing w:after="0" w:line="142" w:lineRule="exact"/>
              <w:rPr>
                <w:sz w:val="20"/>
                <w:szCs w:val="20"/>
                <w:color w:val="auto"/>
              </w:rPr>
            </w:pPr>
            <w:r>
              <w:rPr>
                <w:rFonts w:ascii="Arial" w:cs="Arial" w:eastAsia="Arial" w:hAnsi="Arial"/>
                <w:sz w:val="14"/>
                <w:szCs w:val="14"/>
                <w:b w:val="1"/>
                <w:bCs w:val="1"/>
                <w:color w:val="auto"/>
                <w:w w:val="96"/>
              </w:rPr>
              <w:t>2010</w:t>
            </w:r>
          </w:p>
        </w:tc>
        <w:tc>
          <w:tcPr>
            <w:tcW w:w="160" w:type="dxa"/>
            <w:vAlign w:val="bottom"/>
            <w:tcBorders>
              <w:top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ind w:right="96"/>
              <w:spacing w:after="0" w:line="142" w:lineRule="exact"/>
              <w:rPr>
                <w:sz w:val="20"/>
                <w:szCs w:val="20"/>
                <w:color w:val="auto"/>
              </w:rPr>
            </w:pPr>
            <w:r>
              <w:rPr>
                <w:rFonts w:ascii="Arial" w:cs="Arial" w:eastAsia="Arial" w:hAnsi="Arial"/>
                <w:sz w:val="14"/>
                <w:szCs w:val="14"/>
                <w:b w:val="1"/>
                <w:bCs w:val="1"/>
                <w:color w:val="auto"/>
                <w:w w:val="89"/>
              </w:rPr>
              <w:t>2009</w:t>
            </w:r>
          </w:p>
        </w:tc>
        <w:tc>
          <w:tcPr>
            <w:tcW w:w="16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300" w:type="dxa"/>
            <w:vAlign w:val="bottom"/>
          </w:tcPr>
          <w:p>
            <w:pPr>
              <w:spacing w:after="0"/>
              <w:rPr>
                <w:sz w:val="18"/>
                <w:szCs w:val="18"/>
                <w:color w:val="auto"/>
              </w:rPr>
            </w:pPr>
          </w:p>
        </w:tc>
        <w:tc>
          <w:tcPr>
            <w:tcW w:w="2920" w:type="dxa"/>
            <w:vAlign w:val="bottom"/>
            <w:shd w:val="clear" w:color="auto" w:fill="CCEEFF"/>
          </w:tcPr>
          <w:p>
            <w:pPr>
              <w:spacing w:after="0"/>
              <w:rPr>
                <w:sz w:val="20"/>
                <w:szCs w:val="20"/>
                <w:color w:val="auto"/>
              </w:rPr>
            </w:pPr>
            <w:r>
              <w:rPr>
                <w:rFonts w:ascii="Arial" w:cs="Arial" w:eastAsia="Arial" w:hAnsi="Arial"/>
                <w:sz w:val="18"/>
                <w:szCs w:val="18"/>
                <w:color w:val="auto"/>
              </w:rPr>
              <w:t>Cost of revenue</w:t>
            </w: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11</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3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80</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00" w:type="dxa"/>
            <w:vAlign w:val="bottom"/>
          </w:tcPr>
          <w:p>
            <w:pPr>
              <w:spacing w:after="0"/>
              <w:rPr>
                <w:sz w:val="18"/>
                <w:szCs w:val="18"/>
                <w:color w:val="auto"/>
              </w:rPr>
            </w:pPr>
          </w:p>
        </w:tc>
        <w:tc>
          <w:tcPr>
            <w:tcW w:w="2920" w:type="dxa"/>
            <w:vAlign w:val="bottom"/>
          </w:tcPr>
          <w:p>
            <w:pPr>
              <w:spacing w:after="0"/>
              <w:rPr>
                <w:sz w:val="20"/>
                <w:szCs w:val="20"/>
                <w:color w:val="auto"/>
              </w:rPr>
            </w:pPr>
            <w:r>
              <w:rPr>
                <w:rFonts w:ascii="Arial" w:cs="Arial" w:eastAsia="Arial" w:hAnsi="Arial"/>
                <w:sz w:val="18"/>
                <w:szCs w:val="18"/>
                <w:color w:val="auto"/>
              </w:rPr>
              <w:t>Selling and marketing expense</w:t>
            </w: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18</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gridSpan w:val="2"/>
          </w:tcPr>
          <w:p>
            <w:pPr>
              <w:jc w:val="right"/>
              <w:ind w:right="180"/>
              <w:spacing w:after="0"/>
              <w:rPr>
                <w:sz w:val="20"/>
                <w:szCs w:val="20"/>
                <w:color w:val="auto"/>
              </w:rPr>
            </w:pPr>
            <w:r>
              <w:rPr>
                <w:rFonts w:ascii="Arial" w:cs="Arial" w:eastAsia="Arial" w:hAnsi="Arial"/>
                <w:sz w:val="18"/>
                <w:szCs w:val="18"/>
                <w:color w:val="auto"/>
              </w:rPr>
              <w:t>38</w:t>
            </w:r>
          </w:p>
        </w:tc>
        <w:tc>
          <w:tcPr>
            <w:tcW w:w="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127</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8"/>
                <w:szCs w:val="18"/>
                <w:color w:val="auto"/>
              </w:rPr>
              <w:t>124</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00" w:type="dxa"/>
            <w:vAlign w:val="bottom"/>
          </w:tcPr>
          <w:p>
            <w:pPr>
              <w:spacing w:after="0"/>
              <w:rPr>
                <w:sz w:val="18"/>
                <w:szCs w:val="18"/>
                <w:color w:val="auto"/>
              </w:rPr>
            </w:pPr>
          </w:p>
        </w:tc>
        <w:tc>
          <w:tcPr>
            <w:tcW w:w="292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 expense</w:t>
            </w: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742</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991</w:t>
            </w: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2,587</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2,756</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300" w:type="dxa"/>
            <w:vAlign w:val="bottom"/>
          </w:tcPr>
          <w:p>
            <w:pPr>
              <w:spacing w:after="0"/>
              <w:rPr>
                <w:sz w:val="19"/>
                <w:szCs w:val="19"/>
                <w:color w:val="auto"/>
              </w:rPr>
            </w:pPr>
          </w:p>
        </w:tc>
        <w:tc>
          <w:tcPr>
            <w:tcW w:w="2920" w:type="dxa"/>
            <w:vAlign w:val="bottom"/>
          </w:tcPr>
          <w:p>
            <w:pPr>
              <w:spacing w:after="0"/>
              <w:rPr>
                <w:sz w:val="20"/>
                <w:szCs w:val="20"/>
                <w:color w:val="auto"/>
              </w:rPr>
            </w:pPr>
            <w:r>
              <w:rPr>
                <w:rFonts w:ascii="Arial" w:cs="Arial" w:eastAsia="Arial" w:hAnsi="Arial"/>
                <w:sz w:val="18"/>
                <w:szCs w:val="18"/>
                <w:color w:val="auto"/>
              </w:rPr>
              <w:t>Product development</w:t>
            </w: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19</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gridSpan w:val="2"/>
          </w:tcPr>
          <w:p>
            <w:pPr>
              <w:jc w:val="right"/>
              <w:ind w:right="180"/>
              <w:spacing w:after="0"/>
              <w:rPr>
                <w:sz w:val="20"/>
                <w:szCs w:val="20"/>
                <w:color w:val="auto"/>
              </w:rPr>
            </w:pPr>
            <w:r>
              <w:rPr>
                <w:rFonts w:ascii="Arial" w:cs="Arial" w:eastAsia="Arial" w:hAnsi="Arial"/>
                <w:sz w:val="18"/>
                <w:szCs w:val="18"/>
                <w:color w:val="auto"/>
              </w:rPr>
              <w:t>27</w:t>
            </w:r>
          </w:p>
        </w:tc>
        <w:tc>
          <w:tcPr>
            <w:tcW w:w="12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111</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8"/>
                <w:szCs w:val="18"/>
                <w:color w:val="auto"/>
              </w:rPr>
              <w:t>100</w:t>
            </w:r>
          </w:p>
        </w:tc>
        <w:tc>
          <w:tcPr>
            <w:tcW w:w="2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300" w:type="dxa"/>
            <w:vAlign w:val="bottom"/>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300" w:type="dxa"/>
            <w:vAlign w:val="bottom"/>
          </w:tcPr>
          <w:p>
            <w:pPr>
              <w:spacing w:after="0"/>
              <w:rPr>
                <w:sz w:val="18"/>
                <w:szCs w:val="18"/>
                <w:color w:val="auto"/>
              </w:rPr>
            </w:pPr>
          </w:p>
        </w:tc>
        <w:tc>
          <w:tcPr>
            <w:tcW w:w="2920" w:type="dxa"/>
            <w:vAlign w:val="bottom"/>
            <w:shd w:val="clear" w:color="auto" w:fill="CCEEFF"/>
          </w:tcPr>
          <w:p>
            <w:pPr>
              <w:spacing w:after="0"/>
              <w:rPr>
                <w:sz w:val="20"/>
                <w:szCs w:val="20"/>
                <w:color w:val="auto"/>
              </w:rPr>
            </w:pPr>
            <w:r>
              <w:rPr>
                <w:rFonts w:ascii="Arial" w:cs="Arial" w:eastAsia="Arial" w:hAnsi="Arial"/>
                <w:sz w:val="18"/>
                <w:szCs w:val="18"/>
                <w:color w:val="auto"/>
              </w:rPr>
              <w:t>Non-cash compensation expense</w:t>
            </w: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778</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3"/>
              </w:rPr>
              <w:t>1,067</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2,840</w:t>
            </w:r>
          </w:p>
        </w:tc>
        <w:tc>
          <w:tcPr>
            <w:tcW w:w="3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3,060</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300" w:type="dxa"/>
            <w:vAlign w:val="bottom"/>
          </w:tcPr>
          <w:p>
            <w:pPr>
              <w:spacing w:after="0"/>
              <w:rPr>
                <w:sz w:val="2"/>
                <w:szCs w:val="2"/>
                <w:color w:val="auto"/>
              </w:rPr>
            </w:pPr>
          </w:p>
        </w:tc>
        <w:tc>
          <w:tcPr>
            <w:tcW w:w="2920" w:type="dxa"/>
            <w:vAlign w:val="bottom"/>
          </w:tcPr>
          <w:p>
            <w:pPr>
              <w:spacing w:after="0"/>
              <w:rPr>
                <w:sz w:val="2"/>
                <w:szCs w:val="2"/>
                <w:color w:val="auto"/>
              </w:rPr>
            </w:pPr>
          </w:p>
        </w:tc>
        <w:tc>
          <w:tcPr>
            <w:tcW w:w="900" w:type="dxa"/>
            <w:vAlign w:val="bottom"/>
            <w:vMerge w:val="restart"/>
          </w:tcPr>
          <w:p>
            <w:pPr>
              <w:jc w:val="right"/>
              <w:ind w:right="232"/>
              <w:spacing w:after="0"/>
              <w:rPr>
                <w:sz w:val="20"/>
                <w:szCs w:val="20"/>
                <w:color w:val="auto"/>
              </w:rPr>
            </w:pPr>
            <w:r>
              <w:rPr>
                <w:rFonts w:ascii="Arial" w:cs="Arial" w:eastAsia="Arial" w:hAnsi="Arial"/>
                <w:sz w:val="18"/>
                <w:szCs w:val="18"/>
                <w:color w:val="auto"/>
              </w:rPr>
              <w:t>20</w:t>
            </w:r>
          </w:p>
        </w:tc>
        <w:tc>
          <w:tcPr>
            <w:tcW w:w="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22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300" w:type="dxa"/>
            <w:vAlign w:val="bottom"/>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900" w:type="dxa"/>
            <w:vAlign w:val="bottom"/>
            <w:vMerge w:val="continue"/>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1"/>
        </w:trPr>
        <w:tc>
          <w:tcPr>
            <w:tcW w:w="2300" w:type="dxa"/>
            <w:vAlign w:val="bottom"/>
          </w:tcPr>
          <w:p>
            <w:pPr>
              <w:spacing w:after="0"/>
              <w:rPr>
                <w:sz w:val="24"/>
                <w:szCs w:val="24"/>
                <w:color w:val="auto"/>
              </w:rPr>
            </w:pPr>
          </w:p>
        </w:tc>
        <w:tc>
          <w:tcPr>
            <w:tcW w:w="2920" w:type="dxa"/>
            <w:vAlign w:val="bottom"/>
          </w:tcPr>
          <w:p>
            <w:pPr>
              <w:spacing w:after="0"/>
              <w:rPr>
                <w:sz w:val="24"/>
                <w:szCs w:val="24"/>
                <w:color w:val="auto"/>
              </w:rPr>
            </w:pPr>
          </w:p>
        </w:tc>
        <w:tc>
          <w:tcPr>
            <w:tcW w:w="90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2300" w:type="dxa"/>
            <w:vAlign w:val="bottom"/>
            <w:tcBorders>
              <w:bottom w:val="single" w:sz="8" w:color="808080"/>
            </w:tcBorders>
          </w:tcPr>
          <w:p>
            <w:pPr>
              <w:spacing w:after="0"/>
              <w:rPr>
                <w:sz w:val="19"/>
                <w:szCs w:val="19"/>
                <w:color w:val="auto"/>
              </w:rPr>
            </w:pPr>
          </w:p>
        </w:tc>
        <w:tc>
          <w:tcPr>
            <w:tcW w:w="2920" w:type="dxa"/>
            <w:vAlign w:val="bottom"/>
            <w:tcBorders>
              <w:bottom w:val="single" w:sz="8" w:color="808080"/>
            </w:tcBorders>
          </w:tcPr>
          <w:p>
            <w:pPr>
              <w:spacing w:after="0"/>
              <w:rPr>
                <w:sz w:val="19"/>
                <w:szCs w:val="19"/>
                <w:color w:val="auto"/>
              </w:rPr>
            </w:pPr>
          </w:p>
        </w:tc>
        <w:tc>
          <w:tcPr>
            <w:tcW w:w="90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38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44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50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48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228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1" w:name="page22"/>
    <w:bookmarkEnd w:id="2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TREE.COM, INC. AND SUBSIDIARIES</w:t>
      </w:r>
    </w:p>
    <w:p>
      <w:pPr>
        <w:spacing w:after="0" w:line="225" w:lineRule="exact"/>
        <w:rPr>
          <w:sz w:val="20"/>
          <w:szCs w:val="20"/>
          <w:color w:val="auto"/>
        </w:rPr>
      </w:pPr>
    </w:p>
    <w:p>
      <w:pPr>
        <w:ind w:left="294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8—EARNINGS PER SHARE AND STOCK-BASED COMPENSATION (Continued)</w:t>
      </w:r>
    </w:p>
    <w:p>
      <w:pPr>
        <w:spacing w:after="0" w:line="231" w:lineRule="exact"/>
        <w:rPr>
          <w:sz w:val="20"/>
          <w:szCs w:val="20"/>
          <w:color w:val="auto"/>
        </w:rPr>
      </w:pPr>
    </w:p>
    <w:p>
      <w:pPr>
        <w:ind w:firstLine="348"/>
        <w:spacing w:after="0" w:line="288" w:lineRule="auto"/>
        <w:rPr>
          <w:sz w:val="20"/>
          <w:szCs w:val="20"/>
          <w:color w:val="auto"/>
        </w:rPr>
      </w:pPr>
      <w:r>
        <w:rPr>
          <w:rFonts w:ascii="Arial" w:cs="Arial" w:eastAsia="Arial" w:hAnsi="Arial"/>
          <w:sz w:val="16"/>
          <w:szCs w:val="16"/>
          <w:color w:val="auto"/>
        </w:rPr>
        <w:t>The forms of stock-based awards granted to Tree.com employees are principally restricted stock units ("RSUs"), restricted stock and stock options. RSUs are awards in the form of units, denominated in a hypothetical equivalent number of shares of Tree.com common stock and with the value of each award equal to the fair value of Tree.com common stock at the date of grant. RSUs may be settled in cash, stock or both, as determined by the Compensation Committee at the time of grant. Each stock-based award is subject to service-based vesting, where a specific period of continued employment must pass before an award vests. Certain restricted stock awards also include performance-based vesting, where certain performance targets set at the time of grant must be achieved before an award vests. Tree.com recognizes expense for all stock-based awards for which vesting is considered probable. For stock-based awards, the accounting charge is measured at the grant date as the fair value of Tree.com common stock and expensed ratably as non-cash compensation over the vesting term. For performance-based awards, the expense is measured at the grant date as the fair value of Tree.com common stock and expensed as non-cash compensation over the vesting period if the performance targets are considered probable of being achieved.</w:t>
      </w:r>
    </w:p>
    <w:p>
      <w:pPr>
        <w:spacing w:after="0" w:line="174" w:lineRule="exact"/>
        <w:rPr>
          <w:sz w:val="20"/>
          <w:szCs w:val="20"/>
          <w:color w:val="auto"/>
        </w:rPr>
      </w:pPr>
    </w:p>
    <w:p>
      <w:pPr>
        <w:jc w:val="both"/>
        <w:ind w:right="120" w:firstLine="348"/>
        <w:spacing w:after="0" w:line="259" w:lineRule="auto"/>
        <w:rPr>
          <w:sz w:val="20"/>
          <w:szCs w:val="20"/>
          <w:color w:val="auto"/>
        </w:rPr>
      </w:pPr>
      <w:r>
        <w:rPr>
          <w:rFonts w:ascii="Arial" w:cs="Arial" w:eastAsia="Arial" w:hAnsi="Arial"/>
          <w:sz w:val="18"/>
          <w:szCs w:val="18"/>
          <w:color w:val="auto"/>
        </w:rPr>
        <w:t>The amount of stock-based compensation expense recognized in the consolidated statement of operations is reduced by estimated forfeitures, as the amount recorded is based on awards ultimately expected to vest. The forfeiture rate is estimated at the grant date based on historical experience and revised, if necessary, in subsequent periods if the actual forfeiture rate differs from the estimated rate.</w:t>
      </w:r>
    </w:p>
    <w:p>
      <w:pPr>
        <w:spacing w:after="0" w:line="19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 summary of changes in outstanding stock options for the nine months ended September 30, 2010 is as follows: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37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jc w:val="center"/>
              <w:spacing w:after="0"/>
              <w:rPr>
                <w:sz w:val="20"/>
                <w:szCs w:val="20"/>
                <w:color w:val="auto"/>
              </w:rPr>
            </w:pPr>
            <w:r>
              <w:rPr>
                <w:rFonts w:ascii="Arial" w:cs="Arial" w:eastAsia="Arial" w:hAnsi="Arial"/>
                <w:sz w:val="14"/>
                <w:szCs w:val="14"/>
                <w:b w:val="1"/>
                <w:bCs w:val="1"/>
                <w:color w:val="auto"/>
                <w:w w:val="85"/>
              </w:rPr>
              <w:t>Weighted</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160" w:type="dxa"/>
            <w:vAlign w:val="bottom"/>
          </w:tcPr>
          <w:p>
            <w:pPr>
              <w:spacing w:after="0"/>
              <w:rPr>
                <w:sz w:val="12"/>
                <w:szCs w:val="12"/>
                <w:color w:val="auto"/>
              </w:rPr>
            </w:pPr>
          </w:p>
        </w:tc>
        <w:tc>
          <w:tcPr>
            <w:tcW w:w="374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8"/>
              </w:rPr>
              <w:t>Weighted</w:t>
            </w:r>
          </w:p>
        </w:tc>
        <w:tc>
          <w:tcPr>
            <w:tcW w:w="180" w:type="dxa"/>
            <w:vAlign w:val="bottom"/>
          </w:tcPr>
          <w:p>
            <w:pPr>
              <w:spacing w:after="0"/>
              <w:rPr>
                <w:sz w:val="12"/>
                <w:szCs w:val="12"/>
                <w:color w:val="auto"/>
              </w:rPr>
            </w:pPr>
          </w:p>
        </w:tc>
        <w:tc>
          <w:tcPr>
            <w:tcW w:w="8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3"/>
              </w:rPr>
              <w:t>Average</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160" w:type="dxa"/>
            <w:vAlign w:val="bottom"/>
          </w:tcPr>
          <w:p>
            <w:pPr>
              <w:spacing w:after="0"/>
              <w:rPr>
                <w:sz w:val="12"/>
                <w:szCs w:val="12"/>
                <w:color w:val="auto"/>
              </w:rPr>
            </w:pPr>
          </w:p>
        </w:tc>
        <w:tc>
          <w:tcPr>
            <w:tcW w:w="374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center"/>
              <w:ind w:right="18"/>
              <w:spacing w:after="0" w:line="149" w:lineRule="exact"/>
              <w:rPr>
                <w:sz w:val="20"/>
                <w:szCs w:val="20"/>
                <w:color w:val="auto"/>
              </w:rPr>
            </w:pPr>
            <w:r>
              <w:rPr>
                <w:rFonts w:ascii="Arial" w:cs="Arial" w:eastAsia="Arial" w:hAnsi="Arial"/>
                <w:sz w:val="14"/>
                <w:szCs w:val="14"/>
                <w:b w:val="1"/>
                <w:bCs w:val="1"/>
                <w:color w:val="auto"/>
                <w:w w:val="86"/>
              </w:rPr>
              <w:t>Average</w:t>
            </w:r>
          </w:p>
        </w:tc>
        <w:tc>
          <w:tcPr>
            <w:tcW w:w="180" w:type="dxa"/>
            <w:vAlign w:val="bottom"/>
          </w:tcPr>
          <w:p>
            <w:pPr>
              <w:spacing w:after="0"/>
              <w:rPr>
                <w:sz w:val="12"/>
                <w:szCs w:val="12"/>
                <w:color w:val="auto"/>
              </w:rPr>
            </w:pPr>
          </w:p>
        </w:tc>
        <w:tc>
          <w:tcPr>
            <w:tcW w:w="8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Remaining</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40" w:type="dxa"/>
            <w:vAlign w:val="bottom"/>
            <w:gridSpan w:val="3"/>
          </w:tcPr>
          <w:p>
            <w:pPr>
              <w:jc w:val="center"/>
              <w:ind w:right="1400"/>
              <w:spacing w:after="0" w:line="149" w:lineRule="exact"/>
              <w:rPr>
                <w:sz w:val="20"/>
                <w:szCs w:val="20"/>
                <w:color w:val="auto"/>
              </w:rPr>
            </w:pPr>
            <w:r>
              <w:rPr>
                <w:rFonts w:ascii="Arial" w:cs="Arial" w:eastAsia="Arial" w:hAnsi="Arial"/>
                <w:sz w:val="14"/>
                <w:szCs w:val="14"/>
                <w:b w:val="1"/>
                <w:bCs w:val="1"/>
                <w:color w:val="auto"/>
                <w:w w:val="86"/>
              </w:rPr>
              <w:t>Aggregate</w:t>
            </w:r>
          </w:p>
        </w:tc>
        <w:tc>
          <w:tcPr>
            <w:tcW w:w="0" w:type="dxa"/>
            <w:vAlign w:val="bottom"/>
          </w:tcPr>
          <w:p>
            <w:pPr>
              <w:spacing w:after="0"/>
              <w:rPr>
                <w:sz w:val="1"/>
                <w:szCs w:val="1"/>
                <w:color w:val="auto"/>
              </w:rPr>
            </w:pPr>
          </w:p>
        </w:tc>
      </w:tr>
      <w:tr>
        <w:trPr>
          <w:trHeight w:val="149"/>
        </w:trPr>
        <w:tc>
          <w:tcPr>
            <w:tcW w:w="1160" w:type="dxa"/>
            <w:vAlign w:val="bottom"/>
          </w:tcPr>
          <w:p>
            <w:pPr>
              <w:spacing w:after="0"/>
              <w:rPr>
                <w:sz w:val="12"/>
                <w:szCs w:val="12"/>
                <w:color w:val="auto"/>
              </w:rPr>
            </w:pPr>
          </w:p>
        </w:tc>
        <w:tc>
          <w:tcPr>
            <w:tcW w:w="374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center"/>
              <w:ind w:right="18"/>
              <w:spacing w:after="0" w:line="149" w:lineRule="exact"/>
              <w:rPr>
                <w:sz w:val="20"/>
                <w:szCs w:val="20"/>
                <w:color w:val="auto"/>
              </w:rPr>
            </w:pPr>
            <w:r>
              <w:rPr>
                <w:rFonts w:ascii="Arial" w:cs="Arial" w:eastAsia="Arial" w:hAnsi="Arial"/>
                <w:sz w:val="14"/>
                <w:szCs w:val="14"/>
                <w:b w:val="1"/>
                <w:bCs w:val="1"/>
                <w:color w:val="auto"/>
                <w:w w:val="83"/>
              </w:rPr>
              <w:t>Exercise</w:t>
            </w:r>
          </w:p>
        </w:tc>
        <w:tc>
          <w:tcPr>
            <w:tcW w:w="180" w:type="dxa"/>
            <w:vAlign w:val="bottom"/>
          </w:tcPr>
          <w:p>
            <w:pPr>
              <w:spacing w:after="0"/>
              <w:rPr>
                <w:sz w:val="12"/>
                <w:szCs w:val="12"/>
                <w:color w:val="auto"/>
              </w:rPr>
            </w:pPr>
          </w:p>
        </w:tc>
        <w:tc>
          <w:tcPr>
            <w:tcW w:w="8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Contractual</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40" w:type="dxa"/>
            <w:vAlign w:val="bottom"/>
            <w:gridSpan w:val="3"/>
          </w:tcPr>
          <w:p>
            <w:pPr>
              <w:jc w:val="center"/>
              <w:ind w:right="1420"/>
              <w:spacing w:after="0" w:line="149" w:lineRule="exact"/>
              <w:rPr>
                <w:sz w:val="20"/>
                <w:szCs w:val="20"/>
                <w:color w:val="auto"/>
              </w:rPr>
            </w:pPr>
            <w:r>
              <w:rPr>
                <w:rFonts w:ascii="Arial" w:cs="Arial" w:eastAsia="Arial" w:hAnsi="Arial"/>
                <w:sz w:val="14"/>
                <w:szCs w:val="14"/>
                <w:b w:val="1"/>
                <w:bCs w:val="1"/>
                <w:color w:val="auto"/>
                <w:w w:val="91"/>
              </w:rPr>
              <w:t>Intrinsic</w:t>
            </w:r>
          </w:p>
        </w:tc>
        <w:tc>
          <w:tcPr>
            <w:tcW w:w="0" w:type="dxa"/>
            <w:vAlign w:val="bottom"/>
          </w:tcPr>
          <w:p>
            <w:pPr>
              <w:spacing w:after="0"/>
              <w:rPr>
                <w:sz w:val="1"/>
                <w:szCs w:val="1"/>
                <w:color w:val="auto"/>
              </w:rPr>
            </w:pPr>
          </w:p>
        </w:tc>
      </w:tr>
      <w:tr>
        <w:trPr>
          <w:trHeight w:val="161"/>
        </w:trPr>
        <w:tc>
          <w:tcPr>
            <w:tcW w:w="1160" w:type="dxa"/>
            <w:vAlign w:val="bottom"/>
          </w:tcPr>
          <w:p>
            <w:pPr>
              <w:spacing w:after="0"/>
              <w:rPr>
                <w:sz w:val="14"/>
                <w:szCs w:val="14"/>
                <w:color w:val="auto"/>
              </w:rPr>
            </w:pPr>
          </w:p>
        </w:tc>
        <w:tc>
          <w:tcPr>
            <w:tcW w:w="37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94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rPr>
              <w:t>Shares</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jc w:val="center"/>
              <w:ind w:right="38"/>
              <w:spacing w:after="0"/>
              <w:rPr>
                <w:sz w:val="20"/>
                <w:szCs w:val="20"/>
                <w:color w:val="auto"/>
              </w:rPr>
            </w:pPr>
            <w:r>
              <w:rPr>
                <w:rFonts w:ascii="Arial" w:cs="Arial" w:eastAsia="Arial" w:hAnsi="Arial"/>
                <w:sz w:val="14"/>
                <w:szCs w:val="14"/>
                <w:b w:val="1"/>
                <w:bCs w:val="1"/>
                <w:color w:val="auto"/>
                <w:w w:val="87"/>
              </w:rPr>
              <w:t>Price</w:t>
            </w:r>
          </w:p>
        </w:tc>
        <w:tc>
          <w:tcPr>
            <w:tcW w:w="180" w:type="dxa"/>
            <w:vAlign w:val="bottom"/>
          </w:tcPr>
          <w:p>
            <w:pPr>
              <w:spacing w:after="0"/>
              <w:rPr>
                <w:sz w:val="14"/>
                <w:szCs w:val="14"/>
                <w:color w:val="auto"/>
              </w:rPr>
            </w:pPr>
          </w:p>
        </w:tc>
        <w:tc>
          <w:tcPr>
            <w:tcW w:w="840" w:type="dxa"/>
            <w:vAlign w:val="bottom"/>
          </w:tcPr>
          <w:p>
            <w:pPr>
              <w:jc w:val="center"/>
              <w:spacing w:after="0"/>
              <w:rPr>
                <w:sz w:val="20"/>
                <w:szCs w:val="20"/>
                <w:color w:val="auto"/>
              </w:rPr>
            </w:pPr>
            <w:r>
              <w:rPr>
                <w:rFonts w:ascii="Arial" w:cs="Arial" w:eastAsia="Arial" w:hAnsi="Arial"/>
                <w:sz w:val="14"/>
                <w:szCs w:val="14"/>
                <w:b w:val="1"/>
                <w:bCs w:val="1"/>
                <w:color w:val="auto"/>
                <w:w w:val="87"/>
              </w:rPr>
              <w:t>Term</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40" w:type="dxa"/>
            <w:vAlign w:val="bottom"/>
            <w:gridSpan w:val="3"/>
          </w:tcPr>
          <w:p>
            <w:pPr>
              <w:jc w:val="center"/>
              <w:ind w:right="1400"/>
              <w:spacing w:after="0"/>
              <w:rPr>
                <w:sz w:val="20"/>
                <w:szCs w:val="20"/>
                <w:color w:val="auto"/>
              </w:rPr>
            </w:pPr>
            <w:r>
              <w:rPr>
                <w:rFonts w:ascii="Arial" w:cs="Arial" w:eastAsia="Arial" w:hAnsi="Arial"/>
                <w:sz w:val="14"/>
                <w:szCs w:val="14"/>
                <w:b w:val="1"/>
                <w:bCs w:val="1"/>
                <w:color w:val="auto"/>
                <w:w w:val="85"/>
              </w:rPr>
              <w:t>Value</w:t>
            </w:r>
          </w:p>
        </w:tc>
        <w:tc>
          <w:tcPr>
            <w:tcW w:w="0" w:type="dxa"/>
            <w:vAlign w:val="bottom"/>
          </w:tcPr>
          <w:p>
            <w:pPr>
              <w:spacing w:after="0"/>
              <w:rPr>
                <w:sz w:val="1"/>
                <w:szCs w:val="1"/>
                <w:color w:val="auto"/>
              </w:rPr>
            </w:pPr>
          </w:p>
        </w:tc>
      </w:tr>
      <w:tr>
        <w:trPr>
          <w:trHeight w:val="142"/>
        </w:trPr>
        <w:tc>
          <w:tcPr>
            <w:tcW w:w="1160" w:type="dxa"/>
            <w:vAlign w:val="bottom"/>
          </w:tcPr>
          <w:p>
            <w:pPr>
              <w:spacing w:after="0"/>
              <w:rPr>
                <w:sz w:val="12"/>
                <w:szCs w:val="12"/>
                <w:color w:val="auto"/>
              </w:rPr>
            </w:pPr>
          </w:p>
        </w:tc>
        <w:tc>
          <w:tcPr>
            <w:tcW w:w="374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8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6"/>
              </w:rPr>
              <w:t>(In years)</w:t>
            </w:r>
          </w:p>
        </w:tc>
        <w:tc>
          <w:tcPr>
            <w:tcW w:w="16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940" w:type="dxa"/>
            <w:vAlign w:val="bottom"/>
            <w:tcBorders>
              <w:top w:val="single" w:sz="8" w:color="auto"/>
            </w:tcBorders>
          </w:tcPr>
          <w:p>
            <w:pPr>
              <w:jc w:val="center"/>
              <w:ind w:right="26"/>
              <w:spacing w:after="0" w:line="142" w:lineRule="exact"/>
              <w:rPr>
                <w:sz w:val="20"/>
                <w:szCs w:val="20"/>
                <w:color w:val="auto"/>
              </w:rPr>
            </w:pPr>
            <w:r>
              <w:rPr>
                <w:rFonts w:ascii="Arial" w:cs="Arial" w:eastAsia="Arial" w:hAnsi="Arial"/>
                <w:sz w:val="14"/>
                <w:szCs w:val="14"/>
                <w:b w:val="1"/>
                <w:bCs w:val="1"/>
                <w:color w:val="auto"/>
                <w:w w:val="87"/>
              </w:rPr>
              <w:t>(In thousands)</w:t>
            </w:r>
          </w:p>
        </w:tc>
        <w:tc>
          <w:tcPr>
            <w:tcW w:w="130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74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January 1, 2010</w:t>
            </w:r>
          </w:p>
        </w:tc>
        <w:tc>
          <w:tcPr>
            <w:tcW w:w="2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1,177,319</w:t>
            </w:r>
          </w:p>
        </w:tc>
        <w:tc>
          <w:tcPr>
            <w:tcW w:w="10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9.34</w:t>
            </w: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740" w:type="dxa"/>
            <w:vAlign w:val="bottom"/>
          </w:tcPr>
          <w:p>
            <w:pPr>
              <w:spacing w:after="0"/>
              <w:rPr>
                <w:sz w:val="20"/>
                <w:szCs w:val="20"/>
                <w:color w:val="auto"/>
              </w:rPr>
            </w:pPr>
            <w:r>
              <w:rPr>
                <w:rFonts w:ascii="Arial" w:cs="Arial" w:eastAsia="Arial" w:hAnsi="Arial"/>
                <w:sz w:val="18"/>
                <w:szCs w:val="18"/>
                <w:color w:val="auto"/>
              </w:rPr>
              <w:t>Granted</w:t>
            </w:r>
          </w:p>
        </w:tc>
        <w:tc>
          <w:tcPr>
            <w:tcW w:w="132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740" w:type="dxa"/>
            <w:vAlign w:val="bottom"/>
            <w:shd w:val="clear" w:color="auto" w:fill="CCEEFF"/>
          </w:tcPr>
          <w:p>
            <w:pPr>
              <w:spacing w:after="0"/>
              <w:rPr>
                <w:sz w:val="20"/>
                <w:szCs w:val="20"/>
                <w:color w:val="auto"/>
              </w:rPr>
            </w:pPr>
            <w:r>
              <w:rPr>
                <w:rFonts w:ascii="Arial" w:cs="Arial" w:eastAsia="Arial" w:hAnsi="Arial"/>
                <w:sz w:val="18"/>
                <w:szCs w:val="18"/>
                <w:color w:val="auto"/>
              </w:rPr>
              <w:t>Exercised</w:t>
            </w:r>
          </w:p>
        </w:tc>
        <w:tc>
          <w:tcPr>
            <w:tcW w:w="22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(42,963)</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6.81</w:t>
            </w: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740" w:type="dxa"/>
            <w:vAlign w:val="bottom"/>
          </w:tcPr>
          <w:p>
            <w:pPr>
              <w:spacing w:after="0"/>
              <w:rPr>
                <w:sz w:val="20"/>
                <w:szCs w:val="20"/>
                <w:color w:val="auto"/>
              </w:rPr>
            </w:pPr>
            <w:r>
              <w:rPr>
                <w:rFonts w:ascii="Arial" w:cs="Arial" w:eastAsia="Arial" w:hAnsi="Arial"/>
                <w:sz w:val="18"/>
                <w:szCs w:val="18"/>
                <w:color w:val="auto"/>
              </w:rPr>
              <w:t>Forfeited</w:t>
            </w:r>
          </w:p>
        </w:tc>
        <w:tc>
          <w:tcPr>
            <w:tcW w:w="2260" w:type="dxa"/>
            <w:vAlign w:val="bottom"/>
            <w:gridSpan w:val="3"/>
          </w:tcPr>
          <w:p>
            <w:pPr>
              <w:jc w:val="right"/>
              <w:ind w:right="60"/>
              <w:spacing w:after="0"/>
              <w:rPr>
                <w:sz w:val="20"/>
                <w:szCs w:val="20"/>
                <w:color w:val="auto"/>
              </w:rPr>
            </w:pPr>
            <w:r>
              <w:rPr>
                <w:rFonts w:ascii="Arial" w:cs="Arial" w:eastAsia="Arial" w:hAnsi="Arial"/>
                <w:sz w:val="18"/>
                <w:szCs w:val="18"/>
                <w:color w:val="auto"/>
              </w:rPr>
              <w:t>(65,714)</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7.46</w:t>
            </w: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740" w:type="dxa"/>
            <w:vAlign w:val="bottom"/>
            <w:shd w:val="clear" w:color="auto" w:fill="CCEEFF"/>
          </w:tcPr>
          <w:p>
            <w:pPr>
              <w:spacing w:after="0"/>
              <w:rPr>
                <w:sz w:val="20"/>
                <w:szCs w:val="20"/>
                <w:color w:val="auto"/>
              </w:rPr>
            </w:pPr>
            <w:r>
              <w:rPr>
                <w:rFonts w:ascii="Arial" w:cs="Arial" w:eastAsia="Arial" w:hAnsi="Arial"/>
                <w:sz w:val="18"/>
                <w:szCs w:val="18"/>
                <w:color w:val="auto"/>
              </w:rPr>
              <w:t>Expired</w:t>
            </w:r>
          </w:p>
        </w:tc>
        <w:tc>
          <w:tcPr>
            <w:tcW w:w="22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(95,615)</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9.83</w:t>
            </w: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4900" w:type="dxa"/>
            <w:vAlign w:val="bottom"/>
            <w:gridSpan w:val="2"/>
            <w:vMerge w:val="restart"/>
          </w:tcPr>
          <w:p>
            <w:pPr>
              <w:ind w:left="1140"/>
              <w:spacing w:after="0"/>
              <w:rPr>
                <w:sz w:val="20"/>
                <w:szCs w:val="20"/>
                <w:color w:val="auto"/>
              </w:rPr>
            </w:pPr>
            <w:r>
              <w:rPr>
                <w:rFonts w:ascii="Arial" w:cs="Arial" w:eastAsia="Arial" w:hAnsi="Arial"/>
                <w:sz w:val="18"/>
                <w:szCs w:val="18"/>
                <w:color w:val="auto"/>
              </w:rPr>
              <w:t>Outstanding at September 30, 2010</w:t>
            </w:r>
          </w:p>
        </w:tc>
        <w:tc>
          <w:tcPr>
            <w:tcW w:w="216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gridSpan w:val="2"/>
          </w:tcPr>
          <w:p>
            <w:pPr>
              <w:spacing w:after="0"/>
              <w:rPr>
                <w:sz w:val="2"/>
                <w:szCs w:val="2"/>
                <w:color w:val="auto"/>
              </w:rPr>
            </w:pPr>
          </w:p>
        </w:tc>
        <w:tc>
          <w:tcPr>
            <w:tcW w:w="580" w:type="dxa"/>
            <w:vAlign w:val="bottom"/>
          </w:tcPr>
          <w:p>
            <w:pPr>
              <w:spacing w:after="0"/>
              <w:rPr>
                <w:sz w:val="2"/>
                <w:szCs w:val="2"/>
                <w:color w:val="auto"/>
              </w:rPr>
            </w:pPr>
          </w:p>
        </w:tc>
        <w:tc>
          <w:tcPr>
            <w:tcW w:w="1020" w:type="dxa"/>
            <w:vAlign w:val="bottom"/>
            <w:gridSpan w:val="2"/>
            <w:vMerge w:val="restart"/>
          </w:tcPr>
          <w:p>
            <w:pPr>
              <w:jc w:val="right"/>
              <w:spacing w:after="0"/>
              <w:rPr>
                <w:sz w:val="20"/>
                <w:szCs w:val="20"/>
                <w:color w:val="auto"/>
              </w:rPr>
            </w:pPr>
            <w:r>
              <w:rPr>
                <w:rFonts w:ascii="Arial" w:cs="Arial" w:eastAsia="Arial" w:hAnsi="Arial"/>
                <w:sz w:val="18"/>
                <w:szCs w:val="18"/>
                <w:color w:val="auto"/>
              </w:rPr>
              <w:t>6.4</w:t>
            </w:r>
          </w:p>
        </w:tc>
        <w:tc>
          <w:tcPr>
            <w:tcW w:w="26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940" w:type="dxa"/>
            <w:vAlign w:val="bottom"/>
            <w:vMerge w:val="restart"/>
          </w:tcPr>
          <w:p>
            <w:pPr>
              <w:jc w:val="right"/>
              <w:spacing w:after="0"/>
              <w:rPr>
                <w:sz w:val="20"/>
                <w:szCs w:val="20"/>
                <w:color w:val="auto"/>
              </w:rPr>
            </w:pPr>
            <w:r>
              <w:rPr>
                <w:rFonts w:ascii="Arial" w:cs="Arial" w:eastAsia="Arial" w:hAnsi="Arial"/>
                <w:sz w:val="18"/>
                <w:szCs w:val="18"/>
                <w:color w:val="auto"/>
              </w:rPr>
              <w:t>53</w:t>
            </w: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4900" w:type="dxa"/>
            <w:vAlign w:val="bottom"/>
            <w:gridSpan w:val="2"/>
            <w:vMerge w:val="continue"/>
          </w:tcPr>
          <w:p>
            <w:pPr>
              <w:spacing w:after="0"/>
              <w:rPr>
                <w:sz w:val="18"/>
                <w:szCs w:val="18"/>
                <w:color w:val="auto"/>
              </w:rPr>
            </w:pPr>
          </w:p>
        </w:tc>
        <w:tc>
          <w:tcPr>
            <w:tcW w:w="1320" w:type="dxa"/>
            <w:vAlign w:val="bottom"/>
          </w:tcPr>
          <w:p>
            <w:pPr>
              <w:spacing w:after="0"/>
              <w:rPr>
                <w:sz w:val="18"/>
                <w:szCs w:val="18"/>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973,027</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9.54</w:t>
            </w:r>
          </w:p>
        </w:tc>
        <w:tc>
          <w:tcPr>
            <w:tcW w:w="1020" w:type="dxa"/>
            <w:vAlign w:val="bottom"/>
            <w:gridSpan w:val="2"/>
            <w:vMerge w:val="continue"/>
          </w:tcPr>
          <w:p>
            <w:pPr>
              <w:spacing w:after="0"/>
              <w:rPr>
                <w:sz w:val="18"/>
                <w:szCs w:val="18"/>
                <w:color w:val="auto"/>
              </w:rPr>
            </w:pPr>
          </w:p>
        </w:tc>
        <w:tc>
          <w:tcPr>
            <w:tcW w:w="260" w:type="dxa"/>
            <w:vAlign w:val="bottom"/>
            <w:gridSpan w:val="2"/>
            <w:vMerge w:val="continue"/>
          </w:tcPr>
          <w:p>
            <w:pPr>
              <w:spacing w:after="0"/>
              <w:rPr>
                <w:sz w:val="18"/>
                <w:szCs w:val="18"/>
                <w:color w:val="auto"/>
              </w:rPr>
            </w:pPr>
          </w:p>
        </w:tc>
        <w:tc>
          <w:tcPr>
            <w:tcW w:w="94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1160" w:type="dxa"/>
            <w:vAlign w:val="bottom"/>
          </w:tcPr>
          <w:p>
            <w:pPr>
              <w:spacing w:after="0" w:line="20" w:lineRule="exact"/>
              <w:rPr>
                <w:sz w:val="1"/>
                <w:szCs w:val="1"/>
                <w:color w:val="auto"/>
              </w:rPr>
            </w:pPr>
          </w:p>
        </w:tc>
        <w:tc>
          <w:tcPr>
            <w:tcW w:w="37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37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1160" w:type="dxa"/>
            <w:vAlign w:val="bottom"/>
          </w:tcPr>
          <w:p>
            <w:pPr>
              <w:spacing w:after="0"/>
              <w:rPr>
                <w:sz w:val="17"/>
                <w:szCs w:val="17"/>
                <w:color w:val="auto"/>
              </w:rPr>
            </w:pPr>
          </w:p>
        </w:tc>
        <w:tc>
          <w:tcPr>
            <w:tcW w:w="37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Options exercisable at September 30, 2010</w:t>
            </w:r>
          </w:p>
        </w:tc>
        <w:tc>
          <w:tcPr>
            <w:tcW w:w="216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303,614</w:t>
            </w:r>
          </w:p>
        </w:tc>
        <w:tc>
          <w:tcPr>
            <w:tcW w:w="100" w:type="dxa"/>
            <w:vAlign w:val="bottom"/>
            <w:shd w:val="clear" w:color="auto" w:fill="CCEEFF"/>
          </w:tcPr>
          <w:p>
            <w:pPr>
              <w:spacing w:after="0"/>
              <w:rPr>
                <w:sz w:val="17"/>
                <w:szCs w:val="17"/>
                <w:color w:val="auto"/>
              </w:rPr>
            </w:pPr>
          </w:p>
        </w:tc>
        <w:tc>
          <w:tcPr>
            <w:tcW w:w="16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12.13</w:t>
            </w:r>
          </w:p>
        </w:tc>
        <w:tc>
          <w:tcPr>
            <w:tcW w:w="102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4.6</w:t>
            </w:r>
          </w:p>
        </w:tc>
        <w:tc>
          <w:tcPr>
            <w:tcW w:w="26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53</w:t>
            </w:r>
          </w:p>
        </w:tc>
        <w:tc>
          <w:tcPr>
            <w:tcW w:w="160" w:type="dxa"/>
            <w:vAlign w:val="bottom"/>
            <w:shd w:val="clear" w:color="auto" w:fill="CCEEFF"/>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
        </w:trPr>
        <w:tc>
          <w:tcPr>
            <w:tcW w:w="1160" w:type="dxa"/>
            <w:vAlign w:val="bottom"/>
          </w:tcPr>
          <w:p>
            <w:pPr>
              <w:spacing w:after="0"/>
              <w:rPr>
                <w:sz w:val="2"/>
                <w:szCs w:val="2"/>
                <w:color w:val="auto"/>
              </w:rPr>
            </w:pPr>
          </w:p>
        </w:tc>
        <w:tc>
          <w:tcPr>
            <w:tcW w:w="3740" w:type="dxa"/>
            <w:vAlign w:val="bottom"/>
          </w:tcPr>
          <w:p>
            <w:pPr>
              <w:spacing w:after="0"/>
              <w:rPr>
                <w:sz w:val="2"/>
                <w:szCs w:val="2"/>
                <w:color w:val="auto"/>
              </w:rPr>
            </w:pPr>
          </w:p>
        </w:tc>
        <w:tc>
          <w:tcPr>
            <w:tcW w:w="1320" w:type="dxa"/>
            <w:vAlign w:val="bottom"/>
            <w:vMerge w:val="restart"/>
          </w:tcPr>
          <w:p>
            <w:pPr>
              <w:jc w:val="right"/>
              <w:ind w:right="332"/>
              <w:spacing w:after="0"/>
              <w:rPr>
                <w:sz w:val="20"/>
                <w:szCs w:val="20"/>
                <w:color w:val="auto"/>
              </w:rPr>
            </w:pPr>
            <w:r>
              <w:rPr>
                <w:rFonts w:ascii="Arial" w:cs="Arial" w:eastAsia="Arial" w:hAnsi="Arial"/>
                <w:sz w:val="18"/>
                <w:szCs w:val="18"/>
                <w:color w:val="auto"/>
              </w:rPr>
              <w:t>21</w:t>
            </w:r>
          </w:p>
        </w:tc>
        <w:tc>
          <w:tcPr>
            <w:tcW w:w="8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3740" w:type="dxa"/>
            <w:vAlign w:val="bottom"/>
          </w:tcPr>
          <w:p>
            <w:pPr>
              <w:spacing w:after="0" w:line="20" w:lineRule="exact"/>
              <w:rPr>
                <w:sz w:val="1"/>
                <w:szCs w:val="1"/>
                <w:color w:val="auto"/>
              </w:rPr>
            </w:pPr>
          </w:p>
        </w:tc>
        <w:tc>
          <w:tcPr>
            <w:tcW w:w="1320" w:type="dxa"/>
            <w:vAlign w:val="bottom"/>
            <w:vMerge w:val="continue"/>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1"/>
        </w:trPr>
        <w:tc>
          <w:tcPr>
            <w:tcW w:w="1160" w:type="dxa"/>
            <w:vAlign w:val="bottom"/>
          </w:tcPr>
          <w:p>
            <w:pPr>
              <w:spacing w:after="0"/>
              <w:rPr>
                <w:sz w:val="24"/>
                <w:szCs w:val="24"/>
                <w:color w:val="auto"/>
              </w:rPr>
            </w:pPr>
          </w:p>
        </w:tc>
        <w:tc>
          <w:tcPr>
            <w:tcW w:w="3740" w:type="dxa"/>
            <w:vAlign w:val="bottom"/>
          </w:tcPr>
          <w:p>
            <w:pPr>
              <w:spacing w:after="0"/>
              <w:rPr>
                <w:sz w:val="24"/>
                <w:szCs w:val="24"/>
                <w:color w:val="auto"/>
              </w:rPr>
            </w:pPr>
          </w:p>
        </w:tc>
        <w:tc>
          <w:tcPr>
            <w:tcW w:w="1320" w:type="dxa"/>
            <w:vAlign w:val="bottom"/>
            <w:vMerge w:val="continue"/>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1160" w:type="dxa"/>
            <w:vAlign w:val="bottom"/>
            <w:tcBorders>
              <w:bottom w:val="single" w:sz="8" w:color="808080"/>
            </w:tcBorders>
          </w:tcPr>
          <w:p>
            <w:pPr>
              <w:spacing w:after="0"/>
              <w:rPr>
                <w:sz w:val="19"/>
                <w:szCs w:val="19"/>
                <w:color w:val="auto"/>
              </w:rPr>
            </w:pPr>
          </w:p>
        </w:tc>
        <w:tc>
          <w:tcPr>
            <w:tcW w:w="3740" w:type="dxa"/>
            <w:vAlign w:val="bottom"/>
            <w:tcBorders>
              <w:bottom w:val="single" w:sz="8" w:color="808080"/>
            </w:tcBorders>
          </w:tcPr>
          <w:p>
            <w:pPr>
              <w:spacing w:after="0"/>
              <w:rPr>
                <w:sz w:val="19"/>
                <w:szCs w:val="19"/>
                <w:color w:val="auto"/>
              </w:rPr>
            </w:pPr>
          </w:p>
        </w:tc>
        <w:tc>
          <w:tcPr>
            <w:tcW w:w="1320" w:type="dxa"/>
            <w:vAlign w:val="bottom"/>
            <w:tcBorders>
              <w:bottom w:val="single" w:sz="8" w:color="808080"/>
            </w:tcBorders>
          </w:tcPr>
          <w:p>
            <w:pPr>
              <w:spacing w:after="0"/>
              <w:rPr>
                <w:sz w:val="19"/>
                <w:szCs w:val="19"/>
                <w:color w:val="auto"/>
              </w:rPr>
            </w:pPr>
          </w:p>
        </w:tc>
        <w:tc>
          <w:tcPr>
            <w:tcW w:w="84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6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58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84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94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14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2" w:name="page23"/>
    <w:bookmarkEnd w:id="2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TREE.COM, INC. AND SUBSIDIARIES</w:t>
      </w:r>
    </w:p>
    <w:p>
      <w:pPr>
        <w:spacing w:after="0" w:line="225" w:lineRule="exact"/>
        <w:rPr>
          <w:sz w:val="20"/>
          <w:szCs w:val="20"/>
          <w:color w:val="auto"/>
        </w:rPr>
      </w:pPr>
    </w:p>
    <w:p>
      <w:pPr>
        <w:ind w:left="294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8—EARNINGS PER SHARE AND STOCK-BASED COMPENSATION (Continued)</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following table summarizes the information about stock options outstanding and exercisable as of September 30, 2010:</w:t>
      </w:r>
    </w:p>
    <w:p>
      <w:pPr>
        <w:spacing w:after="0" w:line="275"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2300" w:type="dxa"/>
            <w:vAlign w:val="bottom"/>
            <w:tcBorders>
              <w:bottom w:val="single" w:sz="8" w:color="auto"/>
            </w:tcBorders>
            <w:gridSpan w:val="4"/>
          </w:tcPr>
          <w:p>
            <w:pPr>
              <w:ind w:left="1040"/>
              <w:spacing w:after="0"/>
              <w:rPr>
                <w:sz w:val="20"/>
                <w:szCs w:val="20"/>
                <w:color w:val="auto"/>
              </w:rPr>
            </w:pPr>
            <w:r>
              <w:rPr>
                <w:rFonts w:ascii="Arial" w:cs="Arial" w:eastAsia="Arial" w:hAnsi="Arial"/>
                <w:sz w:val="14"/>
                <w:szCs w:val="14"/>
                <w:b w:val="1"/>
                <w:bCs w:val="1"/>
                <w:color w:val="auto"/>
                <w:w w:val="89"/>
              </w:rPr>
              <w:t>Options Outstanding</w:t>
            </w:r>
          </w:p>
        </w:tc>
        <w:tc>
          <w:tcPr>
            <w:tcW w:w="14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gridSpan w:val="2"/>
          </w:tcPr>
          <w:p>
            <w:pPr>
              <w:jc w:val="center"/>
              <w:ind w:right="180"/>
              <w:spacing w:after="0" w:line="142" w:lineRule="exact"/>
              <w:rPr>
                <w:sz w:val="20"/>
                <w:szCs w:val="20"/>
                <w:color w:val="auto"/>
              </w:rPr>
            </w:pPr>
            <w:r>
              <w:rPr>
                <w:rFonts w:ascii="Arial" w:cs="Arial" w:eastAsia="Arial" w:hAnsi="Arial"/>
                <w:sz w:val="14"/>
                <w:szCs w:val="14"/>
                <w:b w:val="1"/>
                <w:bCs w:val="1"/>
                <w:color w:val="auto"/>
                <w:w w:val="85"/>
              </w:rPr>
              <w:t>Weighted</w:t>
            </w:r>
          </w:p>
        </w:tc>
        <w:tc>
          <w:tcPr>
            <w:tcW w:w="1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320" w:type="dxa"/>
            <w:vAlign w:val="bottom"/>
            <w:gridSpan w:val="5"/>
          </w:tcPr>
          <w:p>
            <w:pPr>
              <w:ind w:left="500"/>
              <w:spacing w:after="0" w:line="142" w:lineRule="exact"/>
              <w:rPr>
                <w:sz w:val="20"/>
                <w:szCs w:val="20"/>
                <w:color w:val="auto"/>
              </w:rPr>
            </w:pPr>
            <w:r>
              <w:rPr>
                <w:rFonts w:ascii="Arial" w:cs="Arial" w:eastAsia="Arial" w:hAnsi="Arial"/>
                <w:sz w:val="14"/>
                <w:szCs w:val="14"/>
                <w:b w:val="1"/>
                <w:bCs w:val="1"/>
                <w:color w:val="auto"/>
              </w:rPr>
              <w:t>Options Exercisable</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gridSpan w:val="2"/>
            <w:vMerge w:val="restart"/>
          </w:tcPr>
          <w:p>
            <w:pPr>
              <w:jc w:val="center"/>
              <w:ind w:right="180"/>
              <w:spacing w:after="0" w:line="136" w:lineRule="exact"/>
              <w:rPr>
                <w:sz w:val="20"/>
                <w:szCs w:val="20"/>
                <w:color w:val="auto"/>
              </w:rPr>
            </w:pPr>
            <w:r>
              <w:rPr>
                <w:rFonts w:ascii="Arial" w:cs="Arial" w:eastAsia="Arial" w:hAnsi="Arial"/>
                <w:sz w:val="14"/>
                <w:szCs w:val="14"/>
                <w:b w:val="1"/>
                <w:bCs w:val="1"/>
                <w:color w:val="auto"/>
                <w:w w:val="83"/>
              </w:rPr>
              <w:t>Average</w:t>
            </w: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1580" w:type="dxa"/>
            <w:vAlign w:val="bottom"/>
          </w:tcPr>
          <w:p>
            <w:pPr>
              <w:spacing w:after="0"/>
              <w:rPr>
                <w:sz w:val="7"/>
                <w:szCs w:val="7"/>
                <w:color w:val="auto"/>
              </w:rPr>
            </w:pPr>
          </w:p>
        </w:tc>
        <w:tc>
          <w:tcPr>
            <w:tcW w:w="174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80" w:type="dxa"/>
            <w:vAlign w:val="bottom"/>
            <w:gridSpan w:val="2"/>
            <w:vMerge w:val="continue"/>
          </w:tcPr>
          <w:p>
            <w:pPr>
              <w:spacing w:after="0"/>
              <w:rPr>
                <w:sz w:val="7"/>
                <w:szCs w:val="7"/>
                <w:color w:val="auto"/>
              </w:rPr>
            </w:pPr>
          </w:p>
        </w:tc>
        <w:tc>
          <w:tcPr>
            <w:tcW w:w="140" w:type="dxa"/>
            <w:vAlign w:val="bottom"/>
          </w:tcPr>
          <w:p>
            <w:pPr>
              <w:spacing w:after="0"/>
              <w:rPr>
                <w:sz w:val="7"/>
                <w:szCs w:val="7"/>
                <w:color w:val="auto"/>
              </w:rPr>
            </w:pPr>
          </w:p>
        </w:tc>
        <w:tc>
          <w:tcPr>
            <w:tcW w:w="86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00" w:type="dxa"/>
            <w:vAlign w:val="bottom"/>
          </w:tcPr>
          <w:p>
            <w:pPr>
              <w:spacing w:after="0"/>
              <w:rPr>
                <w:sz w:val="7"/>
                <w:szCs w:val="7"/>
                <w:color w:val="auto"/>
              </w:rPr>
            </w:pPr>
          </w:p>
        </w:tc>
        <w:tc>
          <w:tcPr>
            <w:tcW w:w="160" w:type="dxa"/>
            <w:vAlign w:val="bottom"/>
          </w:tcPr>
          <w:p>
            <w:pPr>
              <w:spacing w:after="0"/>
              <w:rPr>
                <w:sz w:val="7"/>
                <w:szCs w:val="7"/>
                <w:color w:val="auto"/>
              </w:rPr>
            </w:pPr>
          </w:p>
        </w:tc>
        <w:tc>
          <w:tcPr>
            <w:tcW w:w="160" w:type="dxa"/>
            <w:vAlign w:val="bottom"/>
          </w:tcPr>
          <w:p>
            <w:pPr>
              <w:spacing w:after="0"/>
              <w:rPr>
                <w:sz w:val="7"/>
                <w:szCs w:val="7"/>
                <w:color w:val="auto"/>
              </w:rPr>
            </w:pPr>
          </w:p>
        </w:tc>
        <w:tc>
          <w:tcPr>
            <w:tcW w:w="840" w:type="dxa"/>
            <w:vAlign w:val="bottom"/>
          </w:tcPr>
          <w:p>
            <w:pPr>
              <w:spacing w:after="0"/>
              <w:rPr>
                <w:sz w:val="7"/>
                <w:szCs w:val="7"/>
                <w:color w:val="auto"/>
              </w:rPr>
            </w:pPr>
          </w:p>
        </w:tc>
        <w:tc>
          <w:tcPr>
            <w:tcW w:w="1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122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7"/>
              </w:rPr>
              <w:t>Outstanding at</w:t>
            </w:r>
          </w:p>
        </w:tc>
        <w:tc>
          <w:tcPr>
            <w:tcW w:w="108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6"/>
              </w:rPr>
              <w:t>Remaining</w:t>
            </w:r>
          </w:p>
        </w:tc>
        <w:tc>
          <w:tcPr>
            <w:tcW w:w="140" w:type="dxa"/>
            <w:vAlign w:val="bottom"/>
          </w:tcPr>
          <w:p>
            <w:pPr>
              <w:spacing w:after="0"/>
              <w:rPr>
                <w:sz w:val="12"/>
                <w:szCs w:val="12"/>
                <w:color w:val="auto"/>
              </w:rPr>
            </w:pPr>
          </w:p>
        </w:tc>
        <w:tc>
          <w:tcPr>
            <w:tcW w:w="860" w:type="dxa"/>
            <w:vAlign w:val="bottom"/>
          </w:tcPr>
          <w:p>
            <w:pPr>
              <w:jc w:val="center"/>
              <w:ind w:right="77"/>
              <w:spacing w:after="0" w:line="149" w:lineRule="exact"/>
              <w:rPr>
                <w:sz w:val="20"/>
                <w:szCs w:val="20"/>
                <w:color w:val="auto"/>
              </w:rPr>
            </w:pPr>
            <w:r>
              <w:rPr>
                <w:rFonts w:ascii="Arial" w:cs="Arial" w:eastAsia="Arial" w:hAnsi="Arial"/>
                <w:sz w:val="14"/>
                <w:szCs w:val="14"/>
                <w:b w:val="1"/>
                <w:bCs w:val="1"/>
                <w:color w:val="auto"/>
                <w:w w:val="85"/>
              </w:rPr>
              <w:t>Weighted</w:t>
            </w:r>
          </w:p>
        </w:tc>
        <w:tc>
          <w:tcPr>
            <w:tcW w:w="160" w:type="dxa"/>
            <w:vAlign w:val="bottom"/>
          </w:tcPr>
          <w:p>
            <w:pPr>
              <w:spacing w:after="0"/>
              <w:rPr>
                <w:sz w:val="12"/>
                <w:szCs w:val="12"/>
                <w:color w:val="auto"/>
              </w:rPr>
            </w:pPr>
          </w:p>
        </w:tc>
        <w:tc>
          <w:tcPr>
            <w:tcW w:w="10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Exercisable at</w:t>
            </w: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85"/>
              </w:rPr>
              <w:t>Weighted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122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5"/>
              </w:rPr>
              <w:t>September 30,</w:t>
            </w:r>
          </w:p>
        </w:tc>
        <w:tc>
          <w:tcPr>
            <w:tcW w:w="108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9"/>
              </w:rPr>
              <w:t>Contractual</w:t>
            </w:r>
          </w:p>
        </w:tc>
        <w:tc>
          <w:tcPr>
            <w:tcW w:w="140" w:type="dxa"/>
            <w:vAlign w:val="bottom"/>
          </w:tcPr>
          <w:p>
            <w:pPr>
              <w:spacing w:after="0"/>
              <w:rPr>
                <w:sz w:val="12"/>
                <w:szCs w:val="12"/>
                <w:color w:val="auto"/>
              </w:rPr>
            </w:pPr>
          </w:p>
        </w:tc>
        <w:tc>
          <w:tcPr>
            <w:tcW w:w="860" w:type="dxa"/>
            <w:vAlign w:val="bottom"/>
          </w:tcPr>
          <w:p>
            <w:pPr>
              <w:jc w:val="center"/>
              <w:ind w:right="77"/>
              <w:spacing w:after="0" w:line="149" w:lineRule="exact"/>
              <w:rPr>
                <w:sz w:val="20"/>
                <w:szCs w:val="20"/>
                <w:color w:val="auto"/>
              </w:rPr>
            </w:pPr>
            <w:r>
              <w:rPr>
                <w:rFonts w:ascii="Arial" w:cs="Arial" w:eastAsia="Arial" w:hAnsi="Arial"/>
                <w:sz w:val="14"/>
                <w:szCs w:val="14"/>
                <w:b w:val="1"/>
                <w:bCs w:val="1"/>
                <w:color w:val="auto"/>
                <w:w w:val="83"/>
              </w:rPr>
              <w:t>Average</w:t>
            </w:r>
          </w:p>
        </w:tc>
        <w:tc>
          <w:tcPr>
            <w:tcW w:w="160" w:type="dxa"/>
            <w:vAlign w:val="bottom"/>
          </w:tcPr>
          <w:p>
            <w:pPr>
              <w:spacing w:after="0"/>
              <w:rPr>
                <w:sz w:val="12"/>
                <w:szCs w:val="12"/>
                <w:color w:val="auto"/>
              </w:rPr>
            </w:pPr>
          </w:p>
        </w:tc>
        <w:tc>
          <w:tcPr>
            <w:tcW w:w="10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September 30,</w:t>
            </w: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83"/>
              </w:rPr>
              <w:t>Average</w:t>
            </w:r>
          </w:p>
        </w:tc>
        <w:tc>
          <w:tcPr>
            <w:tcW w:w="0" w:type="dxa"/>
            <w:vAlign w:val="bottom"/>
          </w:tcPr>
          <w:p>
            <w:pPr>
              <w:spacing w:after="0"/>
              <w:rPr>
                <w:sz w:val="1"/>
                <w:szCs w:val="1"/>
                <w:color w:val="auto"/>
              </w:rPr>
            </w:pPr>
          </w:p>
        </w:tc>
      </w:tr>
      <w:tr>
        <w:trPr>
          <w:trHeight w:val="161"/>
        </w:trPr>
        <w:tc>
          <w:tcPr>
            <w:tcW w:w="3340" w:type="dxa"/>
            <w:vAlign w:val="bottom"/>
            <w:gridSpan w:val="3"/>
          </w:tcPr>
          <w:p>
            <w:pPr>
              <w:spacing w:after="0"/>
              <w:rPr>
                <w:sz w:val="20"/>
                <w:szCs w:val="20"/>
                <w:color w:val="auto"/>
              </w:rPr>
            </w:pPr>
            <w:r>
              <w:rPr>
                <w:rFonts w:ascii="Arial" w:cs="Arial" w:eastAsia="Arial" w:hAnsi="Arial"/>
                <w:sz w:val="14"/>
                <w:szCs w:val="14"/>
                <w:b w:val="1"/>
                <w:bCs w:val="1"/>
                <w:color w:val="auto"/>
              </w:rPr>
              <w:t>Range of Exercise Prices</w:t>
            </w:r>
          </w:p>
        </w:tc>
        <w:tc>
          <w:tcPr>
            <w:tcW w:w="1060" w:type="dxa"/>
            <w:vAlign w:val="bottom"/>
          </w:tcPr>
          <w:p>
            <w:pPr>
              <w:jc w:val="center"/>
              <w:spacing w:after="0"/>
              <w:rPr>
                <w:sz w:val="20"/>
                <w:szCs w:val="20"/>
                <w:color w:val="auto"/>
              </w:rPr>
            </w:pPr>
            <w:r>
              <w:rPr>
                <w:rFonts w:ascii="Arial" w:cs="Arial" w:eastAsia="Arial" w:hAnsi="Arial"/>
                <w:sz w:val="14"/>
                <w:szCs w:val="14"/>
                <w:b w:val="1"/>
                <w:bCs w:val="1"/>
                <w:color w:val="auto"/>
                <w:w w:val="83"/>
              </w:rPr>
              <w:t>2010</w:t>
            </w:r>
          </w:p>
        </w:tc>
        <w:tc>
          <w:tcPr>
            <w:tcW w:w="160" w:type="dxa"/>
            <w:vAlign w:val="bottom"/>
          </w:tcPr>
          <w:p>
            <w:pPr>
              <w:spacing w:after="0"/>
              <w:rPr>
                <w:sz w:val="14"/>
                <w:szCs w:val="14"/>
                <w:color w:val="auto"/>
              </w:rPr>
            </w:pPr>
          </w:p>
        </w:tc>
        <w:tc>
          <w:tcPr>
            <w:tcW w:w="108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8"/>
              </w:rPr>
              <w:t>Life in Years</w:t>
            </w:r>
          </w:p>
        </w:tc>
        <w:tc>
          <w:tcPr>
            <w:tcW w:w="1000" w:type="dxa"/>
            <w:vAlign w:val="bottom"/>
            <w:gridSpan w:val="2"/>
          </w:tcPr>
          <w:p>
            <w:pPr>
              <w:jc w:val="center"/>
              <w:spacing w:after="0"/>
              <w:rPr>
                <w:sz w:val="20"/>
                <w:szCs w:val="20"/>
                <w:color w:val="auto"/>
              </w:rPr>
            </w:pPr>
            <w:r>
              <w:rPr>
                <w:rFonts w:ascii="Arial" w:cs="Arial" w:eastAsia="Arial" w:hAnsi="Arial"/>
                <w:sz w:val="14"/>
                <w:szCs w:val="14"/>
                <w:b w:val="1"/>
                <w:bCs w:val="1"/>
                <w:color w:val="auto"/>
                <w:w w:val="85"/>
              </w:rPr>
              <w:t>Exercise Price</w:t>
            </w:r>
          </w:p>
        </w:tc>
        <w:tc>
          <w:tcPr>
            <w:tcW w:w="1160" w:type="dxa"/>
            <w:vAlign w:val="bottom"/>
            <w:gridSpan w:val="2"/>
          </w:tcPr>
          <w:p>
            <w:pPr>
              <w:jc w:val="center"/>
              <w:ind w:left="55"/>
              <w:spacing w:after="0"/>
              <w:rPr>
                <w:sz w:val="20"/>
                <w:szCs w:val="20"/>
                <w:color w:val="auto"/>
              </w:rPr>
            </w:pPr>
            <w:r>
              <w:rPr>
                <w:rFonts w:ascii="Arial" w:cs="Arial" w:eastAsia="Arial" w:hAnsi="Arial"/>
                <w:sz w:val="14"/>
                <w:szCs w:val="14"/>
                <w:b w:val="1"/>
                <w:bCs w:val="1"/>
                <w:color w:val="auto"/>
                <w:w w:val="83"/>
              </w:rPr>
              <w:t>2010</w:t>
            </w:r>
          </w:p>
        </w:tc>
        <w:tc>
          <w:tcPr>
            <w:tcW w:w="160" w:type="dxa"/>
            <w:vAlign w:val="bottom"/>
          </w:tcPr>
          <w:p>
            <w:pPr>
              <w:spacing w:after="0"/>
              <w:rPr>
                <w:sz w:val="14"/>
                <w:szCs w:val="14"/>
                <w:color w:val="auto"/>
              </w:rPr>
            </w:pPr>
          </w:p>
        </w:tc>
        <w:tc>
          <w:tcPr>
            <w:tcW w:w="1160" w:type="dxa"/>
            <w:vAlign w:val="bottom"/>
            <w:gridSpan w:val="3"/>
          </w:tcPr>
          <w:p>
            <w:pPr>
              <w:jc w:val="center"/>
              <w:ind w:right="180"/>
              <w:spacing w:after="0"/>
              <w:rPr>
                <w:sz w:val="20"/>
                <w:szCs w:val="20"/>
                <w:color w:val="auto"/>
              </w:rPr>
            </w:pPr>
            <w:r>
              <w:rPr>
                <w:rFonts w:ascii="Arial" w:cs="Arial" w:eastAsia="Arial" w:hAnsi="Arial"/>
                <w:sz w:val="14"/>
                <w:szCs w:val="14"/>
                <w:b w:val="1"/>
                <w:bCs w:val="1"/>
                <w:color w:val="auto"/>
                <w:w w:val="85"/>
              </w:rPr>
              <w:t>Exercise Price</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580" w:type="dxa"/>
            <w:vAlign w:val="bottom"/>
            <w:shd w:val="clear" w:color="auto" w:fill="000000"/>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1580" w:type="dxa"/>
            <w:vAlign w:val="bottom"/>
            <w:shd w:val="clear" w:color="auto" w:fill="CCEEFF"/>
          </w:tcPr>
          <w:p>
            <w:pPr>
              <w:spacing w:after="0"/>
              <w:rPr>
                <w:sz w:val="20"/>
                <w:szCs w:val="20"/>
                <w:color w:val="auto"/>
              </w:rPr>
            </w:pPr>
            <w:r>
              <w:rPr>
                <w:rFonts w:ascii="Arial" w:cs="Arial" w:eastAsia="Arial" w:hAnsi="Arial"/>
                <w:sz w:val="18"/>
                <w:szCs w:val="18"/>
                <w:color w:val="auto"/>
              </w:rPr>
              <w:t>$.01 to $4.99</w:t>
            </w:r>
          </w:p>
        </w:tc>
        <w:tc>
          <w:tcPr>
            <w:tcW w:w="17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14,265</w:t>
            </w: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2.99</w:t>
            </w: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14,265</w:t>
            </w:r>
          </w:p>
        </w:tc>
        <w:tc>
          <w:tcPr>
            <w:tcW w:w="320" w:type="dxa"/>
            <w:vAlign w:val="bottom"/>
            <w:gridSpan w:val="2"/>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2.99</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2"/>
          </w:tcPr>
          <w:p>
            <w:pPr>
              <w:spacing w:after="0"/>
              <w:rPr>
                <w:sz w:val="20"/>
                <w:szCs w:val="20"/>
                <w:color w:val="auto"/>
              </w:rPr>
            </w:pPr>
            <w:r>
              <w:rPr>
                <w:rFonts w:ascii="Arial" w:cs="Arial" w:eastAsia="Arial" w:hAnsi="Arial"/>
                <w:sz w:val="18"/>
                <w:szCs w:val="18"/>
                <w:color w:val="auto"/>
              </w:rPr>
              <w:t>$5.00 to $7.45</w:t>
            </w:r>
          </w:p>
        </w:tc>
        <w:tc>
          <w:tcPr>
            <w:tcW w:w="1060" w:type="dxa"/>
            <w:vAlign w:val="bottom"/>
          </w:tcPr>
          <w:p>
            <w:pPr>
              <w:jc w:val="right"/>
              <w:spacing w:after="0"/>
              <w:rPr>
                <w:sz w:val="20"/>
                <w:szCs w:val="20"/>
                <w:color w:val="auto"/>
              </w:rPr>
            </w:pPr>
            <w:r>
              <w:rPr>
                <w:rFonts w:ascii="Arial" w:cs="Arial" w:eastAsia="Arial" w:hAnsi="Arial"/>
                <w:sz w:val="18"/>
                <w:szCs w:val="18"/>
                <w:color w:val="auto"/>
              </w:rPr>
              <w:t>12,849</w:t>
            </w: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2.16</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6.67</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12,849</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6.67</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$7.46 to $9.99</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763,034</w:t>
            </w: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7.17</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8.28</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93,621</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7.69</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2"/>
          </w:tcPr>
          <w:p>
            <w:pPr>
              <w:spacing w:after="0"/>
              <w:rPr>
                <w:sz w:val="20"/>
                <w:szCs w:val="20"/>
                <w:color w:val="auto"/>
              </w:rPr>
            </w:pPr>
            <w:r>
              <w:rPr>
                <w:rFonts w:ascii="Arial" w:cs="Arial" w:eastAsia="Arial" w:hAnsi="Arial"/>
                <w:sz w:val="18"/>
                <w:szCs w:val="18"/>
                <w:color w:val="auto"/>
              </w:rPr>
              <w:t>$10.00 to $14.99</w:t>
            </w:r>
          </w:p>
        </w:tc>
        <w:tc>
          <w:tcPr>
            <w:tcW w:w="1060" w:type="dxa"/>
            <w:vAlign w:val="bottom"/>
          </w:tcPr>
          <w:p>
            <w:pPr>
              <w:jc w:val="right"/>
              <w:spacing w:after="0"/>
              <w:rPr>
                <w:sz w:val="20"/>
                <w:szCs w:val="20"/>
                <w:color w:val="auto"/>
              </w:rPr>
            </w:pPr>
            <w:r>
              <w:rPr>
                <w:rFonts w:ascii="Arial" w:cs="Arial" w:eastAsia="Arial" w:hAnsi="Arial"/>
                <w:sz w:val="18"/>
                <w:szCs w:val="18"/>
                <w:color w:val="auto"/>
              </w:rPr>
              <w:t>54,779</w:t>
            </w: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2.60</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12.23</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54,779</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12.23</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$15.00 to $19.99</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81,437</w:t>
            </w: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4.65</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15.03</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81,437</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15.03</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320" w:type="dxa"/>
            <w:vAlign w:val="bottom"/>
            <w:gridSpan w:val="2"/>
          </w:tcPr>
          <w:p>
            <w:pPr>
              <w:spacing w:after="0"/>
              <w:rPr>
                <w:sz w:val="20"/>
                <w:szCs w:val="20"/>
                <w:color w:val="auto"/>
              </w:rPr>
            </w:pPr>
            <w:r>
              <w:rPr>
                <w:rFonts w:ascii="Arial" w:cs="Arial" w:eastAsia="Arial" w:hAnsi="Arial"/>
                <w:sz w:val="18"/>
                <w:szCs w:val="18"/>
                <w:color w:val="auto"/>
              </w:rPr>
              <w:t>$20.00 to $24.99</w:t>
            </w:r>
          </w:p>
        </w:tc>
        <w:tc>
          <w:tcPr>
            <w:tcW w:w="1060" w:type="dxa"/>
            <w:vAlign w:val="bottom"/>
          </w:tcPr>
          <w:p>
            <w:pPr>
              <w:jc w:val="right"/>
              <w:spacing w:after="0"/>
              <w:rPr>
                <w:sz w:val="20"/>
                <w:szCs w:val="20"/>
                <w:color w:val="auto"/>
              </w:rPr>
            </w:pPr>
            <w:r>
              <w:rPr>
                <w:rFonts w:ascii="Arial" w:cs="Arial" w:eastAsia="Arial" w:hAnsi="Arial"/>
                <w:sz w:val="18"/>
                <w:szCs w:val="18"/>
                <w:color w:val="auto"/>
              </w:rPr>
              <w:t>46,663</w:t>
            </w:r>
          </w:p>
        </w:tc>
        <w:tc>
          <w:tcPr>
            <w:tcW w:w="1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4.69</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20.19</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46,663</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20.19</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973,027</w:t>
            </w: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6.44</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9.54</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303,614</w:t>
            </w:r>
          </w:p>
        </w:tc>
        <w:tc>
          <w:tcPr>
            <w:tcW w:w="320" w:type="dxa"/>
            <w:vAlign w:val="bottom"/>
            <w:gridSpan w:val="2"/>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12.13</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ind w:left="360"/>
        <w:spacing w:after="0"/>
        <w:rPr>
          <w:sz w:val="20"/>
          <w:szCs w:val="20"/>
          <w:color w:val="auto"/>
        </w:rPr>
      </w:pPr>
      <w:r>
        <w:rPr>
          <w:rFonts w:ascii="Arial" w:cs="Arial" w:eastAsia="Arial" w:hAnsi="Arial"/>
          <w:sz w:val="15"/>
          <w:szCs w:val="15"/>
          <w:color w:val="auto"/>
        </w:rPr>
        <w:t>Nonvested RSUs and restricted stock outstanding as of September 30, 2010 and changes during the nine months ended September 30, 2010 were as follows:</w:t>
      </w:r>
    </w:p>
    <w:p>
      <w:pPr>
        <w:spacing w:after="0" w:line="309" w:lineRule="exact"/>
        <w:rPr>
          <w:sz w:val="20"/>
          <w:szCs w:val="20"/>
          <w:color w:val="auto"/>
        </w:rPr>
      </w:pPr>
    </w:p>
    <w:tbl>
      <w:tblPr>
        <w:tblLayout w:type="fixed"/>
        <w:tblInd w:w="2300" w:type="dxa"/>
        <w:tblCellMar>
          <w:top w:w="0" w:type="dxa"/>
          <w:left w:w="0" w:type="dxa"/>
          <w:bottom w:w="0" w:type="dxa"/>
          <w:right w:w="0" w:type="dxa"/>
        </w:tblCellMar>
      </w:tblPr>
      <w:tr>
        <w:trPr>
          <w:trHeight w:val="161"/>
        </w:trPr>
        <w:tc>
          <w:tcPr>
            <w:tcW w:w="3200" w:type="dxa"/>
            <w:vAlign w:val="bottom"/>
          </w:tcPr>
          <w:p>
            <w:pPr>
              <w:spacing w:after="0"/>
              <w:rPr>
                <w:sz w:val="14"/>
                <w:szCs w:val="14"/>
                <w:color w:val="auto"/>
              </w:rPr>
            </w:pPr>
          </w:p>
        </w:tc>
        <w:tc>
          <w:tcPr>
            <w:tcW w:w="1040" w:type="dxa"/>
            <w:vAlign w:val="bottom"/>
            <w:gridSpan w:val="3"/>
          </w:tcPr>
          <w:p>
            <w:pPr>
              <w:jc w:val="right"/>
              <w:spacing w:after="0"/>
              <w:rPr>
                <w:sz w:val="20"/>
                <w:szCs w:val="20"/>
                <w:color w:val="auto"/>
              </w:rPr>
            </w:pPr>
            <w:r>
              <w:rPr>
                <w:rFonts w:ascii="Arial" w:cs="Arial" w:eastAsia="Arial" w:hAnsi="Arial"/>
                <w:sz w:val="14"/>
                <w:szCs w:val="14"/>
                <w:b w:val="1"/>
                <w:bCs w:val="1"/>
                <w:color w:val="auto"/>
              </w:rPr>
              <w:t>RSUs</w:t>
            </w: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20" w:type="dxa"/>
            <w:vAlign w:val="bottom"/>
            <w:gridSpan w:val="5"/>
          </w:tcPr>
          <w:p>
            <w:pPr>
              <w:ind w:left="360"/>
              <w:spacing w:after="0"/>
              <w:rPr>
                <w:sz w:val="20"/>
                <w:szCs w:val="20"/>
                <w:color w:val="auto"/>
              </w:rPr>
            </w:pPr>
            <w:r>
              <w:rPr>
                <w:rFonts w:ascii="Arial" w:cs="Arial" w:eastAsia="Arial" w:hAnsi="Arial"/>
                <w:sz w:val="14"/>
                <w:szCs w:val="14"/>
                <w:b w:val="1"/>
                <w:bCs w:val="1"/>
                <w:color w:val="auto"/>
              </w:rPr>
              <w:t>Restricted Stock</w:t>
            </w:r>
          </w:p>
        </w:tc>
      </w:tr>
      <w:tr>
        <w:trPr>
          <w:trHeight w:val="129"/>
        </w:trPr>
        <w:tc>
          <w:tcPr>
            <w:tcW w:w="3200" w:type="dxa"/>
            <w:vAlign w:val="bottom"/>
          </w:tcPr>
          <w:p>
            <w:pPr>
              <w:spacing w:after="0"/>
              <w:rPr>
                <w:sz w:val="11"/>
                <w:szCs w:val="11"/>
                <w:color w:val="auto"/>
              </w:rPr>
            </w:pPr>
          </w:p>
        </w:tc>
        <w:tc>
          <w:tcPr>
            <w:tcW w:w="78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gridSpan w:val="2"/>
          </w:tcPr>
          <w:p>
            <w:pPr>
              <w:jc w:val="center"/>
              <w:spacing w:after="0" w:line="129" w:lineRule="exact"/>
              <w:rPr>
                <w:sz w:val="20"/>
                <w:szCs w:val="20"/>
                <w:color w:val="auto"/>
              </w:rPr>
            </w:pPr>
            <w:r>
              <w:rPr>
                <w:rFonts w:ascii="Arial" w:cs="Arial" w:eastAsia="Arial" w:hAnsi="Arial"/>
                <w:sz w:val="14"/>
                <w:szCs w:val="14"/>
                <w:b w:val="1"/>
                <w:bCs w:val="1"/>
                <w:color w:val="auto"/>
                <w:w w:val="85"/>
              </w:rPr>
              <w:t>Weighted</w:t>
            </w:r>
          </w:p>
        </w:tc>
        <w:tc>
          <w:tcPr>
            <w:tcW w:w="160" w:type="dxa"/>
            <w:vAlign w:val="bottom"/>
          </w:tcPr>
          <w:p>
            <w:pPr>
              <w:spacing w:after="0"/>
              <w:rPr>
                <w:sz w:val="11"/>
                <w:szCs w:val="11"/>
                <w:color w:val="auto"/>
              </w:rPr>
            </w:pPr>
          </w:p>
        </w:tc>
        <w:tc>
          <w:tcPr>
            <w:tcW w:w="78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gridSpan w:val="2"/>
          </w:tcPr>
          <w:p>
            <w:pPr>
              <w:jc w:val="center"/>
              <w:spacing w:after="0" w:line="129" w:lineRule="exact"/>
              <w:rPr>
                <w:sz w:val="20"/>
                <w:szCs w:val="20"/>
                <w:color w:val="auto"/>
              </w:rPr>
            </w:pPr>
            <w:r>
              <w:rPr>
                <w:rFonts w:ascii="Arial" w:cs="Arial" w:eastAsia="Arial" w:hAnsi="Arial"/>
                <w:sz w:val="14"/>
                <w:szCs w:val="14"/>
                <w:b w:val="1"/>
                <w:bCs w:val="1"/>
                <w:color w:val="auto"/>
                <w:w w:val="88"/>
              </w:rPr>
              <w:t>Weighted</w:t>
            </w:r>
          </w:p>
        </w:tc>
        <w:tc>
          <w:tcPr>
            <w:tcW w:w="160" w:type="dxa"/>
            <w:vAlign w:val="bottom"/>
          </w:tcPr>
          <w:p>
            <w:pPr>
              <w:spacing w:after="0"/>
              <w:rPr>
                <w:sz w:val="11"/>
                <w:szCs w:val="11"/>
                <w:color w:val="auto"/>
              </w:rPr>
            </w:pPr>
          </w:p>
        </w:tc>
      </w:tr>
      <w:tr>
        <w:trPr>
          <w:trHeight w:val="149"/>
        </w:trPr>
        <w:tc>
          <w:tcPr>
            <w:tcW w:w="32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3"/>
              </w:rPr>
              <w:t>Average</w:t>
            </w: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6"/>
              </w:rPr>
              <w:t>Average</w:t>
            </w:r>
          </w:p>
        </w:tc>
      </w:tr>
      <w:tr>
        <w:trPr>
          <w:trHeight w:val="149"/>
        </w:trPr>
        <w:tc>
          <w:tcPr>
            <w:tcW w:w="32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6"/>
              </w:rPr>
              <w:t>Grant</w:t>
            </w: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6"/>
              </w:rPr>
              <w:t>Grant</w:t>
            </w:r>
          </w:p>
        </w:tc>
      </w:tr>
      <w:tr>
        <w:trPr>
          <w:trHeight w:val="149"/>
        </w:trPr>
        <w:tc>
          <w:tcPr>
            <w:tcW w:w="3200" w:type="dxa"/>
            <w:vAlign w:val="bottom"/>
          </w:tcPr>
          <w:p>
            <w:pPr>
              <w:spacing w:after="0"/>
              <w:rPr>
                <w:sz w:val="12"/>
                <w:szCs w:val="12"/>
                <w:color w:val="auto"/>
              </w:rPr>
            </w:pPr>
          </w:p>
        </w:tc>
        <w:tc>
          <w:tcPr>
            <w:tcW w:w="940" w:type="dxa"/>
            <w:vAlign w:val="bottom"/>
            <w:gridSpan w:val="2"/>
          </w:tcPr>
          <w:p>
            <w:pPr>
              <w:jc w:val="right"/>
              <w:ind w:right="240"/>
              <w:spacing w:after="0" w:line="149" w:lineRule="exact"/>
              <w:rPr>
                <w:sz w:val="20"/>
                <w:szCs w:val="20"/>
                <w:color w:val="auto"/>
              </w:rPr>
            </w:pPr>
            <w:r>
              <w:rPr>
                <w:rFonts w:ascii="Arial" w:cs="Arial" w:eastAsia="Arial" w:hAnsi="Arial"/>
                <w:sz w:val="14"/>
                <w:szCs w:val="14"/>
                <w:b w:val="1"/>
                <w:bCs w:val="1"/>
                <w:color w:val="auto"/>
                <w:w w:val="97"/>
              </w:rPr>
              <w:t>Number of</w:t>
            </w:r>
          </w:p>
        </w:tc>
        <w:tc>
          <w:tcPr>
            <w:tcW w:w="880" w:type="dxa"/>
            <w:vAlign w:val="bottom"/>
            <w:gridSpan w:val="3"/>
          </w:tcPr>
          <w:p>
            <w:pPr>
              <w:jc w:val="center"/>
              <w:ind w:right="160"/>
              <w:spacing w:after="0" w:line="149" w:lineRule="exact"/>
              <w:rPr>
                <w:sz w:val="20"/>
                <w:szCs w:val="20"/>
                <w:color w:val="auto"/>
              </w:rPr>
            </w:pPr>
            <w:r>
              <w:rPr>
                <w:rFonts w:ascii="Arial" w:cs="Arial" w:eastAsia="Arial" w:hAnsi="Arial"/>
                <w:sz w:val="14"/>
                <w:szCs w:val="14"/>
                <w:b w:val="1"/>
                <w:bCs w:val="1"/>
                <w:color w:val="auto"/>
                <w:w w:val="93"/>
              </w:rPr>
              <w:t>Date Fair</w:t>
            </w:r>
          </w:p>
        </w:tc>
        <w:tc>
          <w:tcPr>
            <w:tcW w:w="940" w:type="dxa"/>
            <w:vAlign w:val="bottom"/>
            <w:gridSpan w:val="2"/>
          </w:tcPr>
          <w:p>
            <w:pPr>
              <w:jc w:val="right"/>
              <w:ind w:right="240"/>
              <w:spacing w:after="0" w:line="149" w:lineRule="exact"/>
              <w:rPr>
                <w:sz w:val="20"/>
                <w:szCs w:val="20"/>
                <w:color w:val="auto"/>
              </w:rPr>
            </w:pPr>
            <w:r>
              <w:rPr>
                <w:rFonts w:ascii="Arial" w:cs="Arial" w:eastAsia="Arial" w:hAnsi="Arial"/>
                <w:sz w:val="14"/>
                <w:szCs w:val="14"/>
                <w:b w:val="1"/>
                <w:bCs w:val="1"/>
                <w:color w:val="auto"/>
                <w:w w:val="97"/>
              </w:rPr>
              <w:t>Number of</w:t>
            </w:r>
          </w:p>
        </w:tc>
        <w:tc>
          <w:tcPr>
            <w:tcW w:w="880" w:type="dxa"/>
            <w:vAlign w:val="bottom"/>
            <w:gridSpan w:val="3"/>
          </w:tcPr>
          <w:p>
            <w:pPr>
              <w:jc w:val="center"/>
              <w:ind w:right="160"/>
              <w:spacing w:after="0" w:line="149" w:lineRule="exact"/>
              <w:rPr>
                <w:sz w:val="20"/>
                <w:szCs w:val="20"/>
                <w:color w:val="auto"/>
              </w:rPr>
            </w:pPr>
            <w:r>
              <w:rPr>
                <w:rFonts w:ascii="Arial" w:cs="Arial" w:eastAsia="Arial" w:hAnsi="Arial"/>
                <w:sz w:val="14"/>
                <w:szCs w:val="14"/>
                <w:b w:val="1"/>
                <w:bCs w:val="1"/>
                <w:color w:val="auto"/>
                <w:w w:val="93"/>
              </w:rPr>
              <w:t>Date Fair</w:t>
            </w:r>
          </w:p>
        </w:tc>
      </w:tr>
      <w:tr>
        <w:trPr>
          <w:trHeight w:val="161"/>
        </w:trPr>
        <w:tc>
          <w:tcPr>
            <w:tcW w:w="3200" w:type="dxa"/>
            <w:vAlign w:val="bottom"/>
          </w:tcPr>
          <w:p>
            <w:pPr>
              <w:spacing w:after="0"/>
              <w:rPr>
                <w:sz w:val="14"/>
                <w:szCs w:val="14"/>
                <w:color w:val="auto"/>
              </w:rPr>
            </w:pPr>
          </w:p>
        </w:tc>
        <w:tc>
          <w:tcPr>
            <w:tcW w:w="780" w:type="dxa"/>
            <w:vAlign w:val="bottom"/>
            <w:tcBorders>
              <w:bottom w:val="single" w:sz="8" w:color="auto"/>
            </w:tcBorders>
          </w:tcPr>
          <w:p>
            <w:pPr>
              <w:jc w:val="right"/>
              <w:ind w:right="120"/>
              <w:spacing w:after="0"/>
              <w:rPr>
                <w:sz w:val="20"/>
                <w:szCs w:val="20"/>
                <w:color w:val="auto"/>
              </w:rPr>
            </w:pPr>
            <w:r>
              <w:rPr>
                <w:rFonts w:ascii="Arial" w:cs="Arial" w:eastAsia="Arial" w:hAnsi="Arial"/>
                <w:sz w:val="14"/>
                <w:szCs w:val="14"/>
                <w:b w:val="1"/>
                <w:bCs w:val="1"/>
                <w:color w:val="auto"/>
              </w:rPr>
              <w:t>Shares</w:t>
            </w:r>
          </w:p>
        </w:tc>
        <w:tc>
          <w:tcPr>
            <w:tcW w:w="1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center"/>
              <w:ind w:right="20"/>
              <w:spacing w:after="0"/>
              <w:rPr>
                <w:sz w:val="20"/>
                <w:szCs w:val="20"/>
                <w:color w:val="auto"/>
              </w:rPr>
            </w:pPr>
            <w:r>
              <w:rPr>
                <w:rFonts w:ascii="Arial" w:cs="Arial" w:eastAsia="Arial" w:hAnsi="Arial"/>
                <w:sz w:val="14"/>
                <w:szCs w:val="14"/>
                <w:b w:val="1"/>
                <w:bCs w:val="1"/>
                <w:color w:val="auto"/>
                <w:w w:val="85"/>
              </w:rPr>
              <w:t>Value</w:t>
            </w:r>
          </w:p>
        </w:tc>
        <w:tc>
          <w:tcPr>
            <w:tcW w:w="160" w:type="dxa"/>
            <w:vAlign w:val="bottom"/>
          </w:tcPr>
          <w:p>
            <w:pPr>
              <w:spacing w:after="0"/>
              <w:rPr>
                <w:sz w:val="14"/>
                <w:szCs w:val="14"/>
                <w:color w:val="auto"/>
              </w:rPr>
            </w:pPr>
          </w:p>
        </w:tc>
        <w:tc>
          <w:tcPr>
            <w:tcW w:w="780" w:type="dxa"/>
            <w:vAlign w:val="bottom"/>
            <w:tcBorders>
              <w:bottom w:val="single" w:sz="8" w:color="auto"/>
            </w:tcBorders>
          </w:tcPr>
          <w:p>
            <w:pPr>
              <w:jc w:val="right"/>
              <w:ind w:right="120"/>
              <w:spacing w:after="0"/>
              <w:rPr>
                <w:sz w:val="20"/>
                <w:szCs w:val="20"/>
                <w:color w:val="auto"/>
              </w:rPr>
            </w:pPr>
            <w:r>
              <w:rPr>
                <w:rFonts w:ascii="Arial" w:cs="Arial" w:eastAsia="Arial" w:hAnsi="Arial"/>
                <w:sz w:val="14"/>
                <w:szCs w:val="14"/>
                <w:b w:val="1"/>
                <w:bCs w:val="1"/>
                <w:color w:val="auto"/>
              </w:rPr>
              <w:t>Shares</w:t>
            </w:r>
          </w:p>
        </w:tc>
        <w:tc>
          <w:tcPr>
            <w:tcW w:w="1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center"/>
              <w:ind w:right="20"/>
              <w:spacing w:after="0"/>
              <w:rPr>
                <w:sz w:val="20"/>
                <w:szCs w:val="20"/>
                <w:color w:val="auto"/>
              </w:rPr>
            </w:pPr>
            <w:r>
              <w:rPr>
                <w:rFonts w:ascii="Arial" w:cs="Arial" w:eastAsia="Arial" w:hAnsi="Arial"/>
                <w:sz w:val="14"/>
                <w:szCs w:val="14"/>
                <w:b w:val="1"/>
                <w:bCs w:val="1"/>
                <w:color w:val="auto"/>
                <w:w w:val="85"/>
              </w:rPr>
              <w:t>Value</w:t>
            </w:r>
          </w:p>
        </w:tc>
        <w:tc>
          <w:tcPr>
            <w:tcW w:w="160" w:type="dxa"/>
            <w:vAlign w:val="bottom"/>
          </w:tcPr>
          <w:p>
            <w:pPr>
              <w:spacing w:after="0"/>
              <w:rPr>
                <w:sz w:val="14"/>
                <w:szCs w:val="14"/>
                <w:color w:val="auto"/>
              </w:rPr>
            </w:pPr>
          </w:p>
        </w:tc>
      </w:tr>
      <w:tr>
        <w:trPr>
          <w:trHeight w:val="210"/>
        </w:trPr>
        <w:tc>
          <w:tcPr>
            <w:tcW w:w="3200" w:type="dxa"/>
            <w:vAlign w:val="bottom"/>
            <w:shd w:val="clear" w:color="auto" w:fill="CCEEFF"/>
          </w:tcPr>
          <w:p>
            <w:pPr>
              <w:spacing w:after="0"/>
              <w:rPr>
                <w:sz w:val="20"/>
                <w:szCs w:val="20"/>
                <w:color w:val="auto"/>
              </w:rPr>
            </w:pPr>
            <w:r>
              <w:rPr>
                <w:rFonts w:ascii="Arial" w:cs="Arial" w:eastAsia="Arial" w:hAnsi="Arial"/>
                <w:sz w:val="18"/>
                <w:szCs w:val="18"/>
                <w:color w:val="auto"/>
              </w:rPr>
              <w:t>Nonvested at January 1, 2010</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704,938</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8.03</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350,000</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5.42</w:t>
            </w:r>
          </w:p>
        </w:tc>
      </w:tr>
      <w:tr>
        <w:trPr>
          <w:trHeight w:val="216"/>
        </w:trPr>
        <w:tc>
          <w:tcPr>
            <w:tcW w:w="3200" w:type="dxa"/>
            <w:vAlign w:val="bottom"/>
          </w:tcPr>
          <w:p>
            <w:pPr>
              <w:spacing w:after="0"/>
              <w:rPr>
                <w:sz w:val="20"/>
                <w:szCs w:val="20"/>
                <w:color w:val="auto"/>
              </w:rPr>
            </w:pPr>
            <w:r>
              <w:rPr>
                <w:rFonts w:ascii="Arial" w:cs="Arial" w:eastAsia="Arial" w:hAnsi="Arial"/>
                <w:sz w:val="18"/>
                <w:szCs w:val="18"/>
                <w:color w:val="auto"/>
              </w:rPr>
              <w:t>Granted</w:t>
            </w:r>
          </w:p>
        </w:tc>
        <w:tc>
          <w:tcPr>
            <w:tcW w:w="780" w:type="dxa"/>
            <w:vAlign w:val="bottom"/>
          </w:tcPr>
          <w:p>
            <w:pPr>
              <w:jc w:val="right"/>
              <w:spacing w:after="0"/>
              <w:rPr>
                <w:sz w:val="20"/>
                <w:szCs w:val="20"/>
                <w:color w:val="auto"/>
              </w:rPr>
            </w:pPr>
            <w:r>
              <w:rPr>
                <w:rFonts w:ascii="Arial" w:cs="Arial" w:eastAsia="Arial" w:hAnsi="Arial"/>
                <w:sz w:val="18"/>
                <w:szCs w:val="18"/>
                <w:color w:val="auto"/>
              </w:rPr>
              <w:t>454,370</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8.20</w:t>
            </w:r>
          </w:p>
        </w:tc>
        <w:tc>
          <w:tcPr>
            <w:tcW w:w="780" w:type="dxa"/>
            <w:vAlign w:val="bottom"/>
          </w:tcPr>
          <w:p>
            <w:pPr>
              <w:jc w:val="right"/>
              <w:spacing w:after="0"/>
              <w:rPr>
                <w:sz w:val="20"/>
                <w:szCs w:val="20"/>
                <w:color w:val="auto"/>
              </w:rPr>
            </w:pPr>
            <w:r>
              <w:rPr>
                <w:rFonts w:ascii="Arial" w:cs="Arial" w:eastAsia="Arial" w:hAnsi="Arial"/>
                <w:sz w:val="18"/>
                <w:szCs w:val="18"/>
                <w:color w:val="auto"/>
              </w:rPr>
              <w:t>150,000</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9.15</w:t>
            </w:r>
          </w:p>
        </w:tc>
      </w:tr>
      <w:tr>
        <w:trPr>
          <w:trHeight w:val="216"/>
        </w:trPr>
        <w:tc>
          <w:tcPr>
            <w:tcW w:w="3200" w:type="dxa"/>
            <w:vAlign w:val="bottom"/>
            <w:shd w:val="clear" w:color="auto" w:fill="CCEEFF"/>
          </w:tcPr>
          <w:p>
            <w:pPr>
              <w:spacing w:after="0"/>
              <w:rPr>
                <w:sz w:val="20"/>
                <w:szCs w:val="20"/>
                <w:color w:val="auto"/>
              </w:rPr>
            </w:pPr>
            <w:r>
              <w:rPr>
                <w:rFonts w:ascii="Arial" w:cs="Arial" w:eastAsia="Arial" w:hAnsi="Arial"/>
                <w:sz w:val="18"/>
                <w:szCs w:val="18"/>
                <w:color w:val="auto"/>
              </w:rPr>
              <w:t>Vested</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(283,845)</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10.53</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(87,500)</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5.42</w:t>
            </w:r>
          </w:p>
        </w:tc>
      </w:tr>
      <w:tr>
        <w:trPr>
          <w:trHeight w:val="222"/>
        </w:trPr>
        <w:tc>
          <w:tcPr>
            <w:tcW w:w="3200" w:type="dxa"/>
            <w:vAlign w:val="bottom"/>
          </w:tcPr>
          <w:p>
            <w:pPr>
              <w:spacing w:after="0"/>
              <w:rPr>
                <w:sz w:val="20"/>
                <w:szCs w:val="20"/>
                <w:color w:val="auto"/>
              </w:rPr>
            </w:pPr>
            <w:r>
              <w:rPr>
                <w:rFonts w:ascii="Arial" w:cs="Arial" w:eastAsia="Arial" w:hAnsi="Arial"/>
                <w:sz w:val="18"/>
                <w:szCs w:val="18"/>
                <w:color w:val="auto"/>
              </w:rPr>
              <w:t>Forfeited</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(282,638)</w:t>
            </w:r>
          </w:p>
        </w:tc>
        <w:tc>
          <w:tcPr>
            <w:tcW w:w="100" w:type="dxa"/>
            <w:vAlign w:val="bottom"/>
          </w:tcPr>
          <w:p>
            <w:pPr>
              <w:spacing w:after="0"/>
              <w:rPr>
                <w:sz w:val="19"/>
                <w:szCs w:val="19"/>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7.33</w:t>
            </w: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21"/>
        </w:trPr>
        <w:tc>
          <w:tcPr>
            <w:tcW w:w="320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0"/>
        </w:trPr>
        <w:tc>
          <w:tcPr>
            <w:tcW w:w="3200" w:type="dxa"/>
            <w:vAlign w:val="bottom"/>
            <w:shd w:val="clear" w:color="auto" w:fill="CCEEFF"/>
          </w:tcPr>
          <w:p>
            <w:pPr>
              <w:spacing w:after="0"/>
              <w:rPr>
                <w:sz w:val="20"/>
                <w:szCs w:val="20"/>
                <w:color w:val="auto"/>
              </w:rPr>
            </w:pPr>
            <w:r>
              <w:rPr>
                <w:rFonts w:ascii="Arial" w:cs="Arial" w:eastAsia="Arial" w:hAnsi="Arial"/>
                <w:sz w:val="18"/>
                <w:szCs w:val="18"/>
                <w:color w:val="auto"/>
              </w:rPr>
              <w:t>Nonvested at September 30, 2010</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592,825</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7.48</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412,500</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6.78</w:t>
            </w:r>
          </w:p>
        </w:tc>
      </w:tr>
      <w:tr>
        <w:trPr>
          <w:trHeight w:val="27"/>
        </w:trPr>
        <w:tc>
          <w:tcPr>
            <w:tcW w:w="3200" w:type="dxa"/>
            <w:vAlign w:val="bottom"/>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r>
      <w:tr>
        <w:trPr>
          <w:trHeight w:val="20"/>
        </w:trPr>
        <w:tc>
          <w:tcPr>
            <w:tcW w:w="320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9—FAIR VALUE MEASUREMENTS</w:t>
      </w:r>
    </w:p>
    <w:p>
      <w:pPr>
        <w:spacing w:after="0" w:line="231" w:lineRule="exact"/>
        <w:rPr>
          <w:sz w:val="20"/>
          <w:szCs w:val="20"/>
          <w:color w:val="auto"/>
        </w:rPr>
      </w:pPr>
    </w:p>
    <w:p>
      <w:pPr>
        <w:ind w:right="240" w:firstLine="348"/>
        <w:spacing w:after="0" w:line="268" w:lineRule="auto"/>
        <w:rPr>
          <w:sz w:val="20"/>
          <w:szCs w:val="20"/>
          <w:color w:val="auto"/>
        </w:rPr>
      </w:pPr>
      <w:r>
        <w:rPr>
          <w:rFonts w:ascii="Arial" w:cs="Arial" w:eastAsia="Arial" w:hAnsi="Arial"/>
          <w:sz w:val="18"/>
          <w:szCs w:val="18"/>
          <w:color w:val="auto"/>
        </w:rPr>
        <w:t>Tree.com categorizes its assets and liabilities measured at fair value into a fair value hierarchy that prioritizes the assumptions used in pricing the asset or liability into the following three levels:</w:t>
      </w:r>
    </w:p>
    <w:p>
      <w:pPr>
        <w:spacing w:after="0" w:line="199" w:lineRule="exact"/>
        <w:rPr>
          <w:sz w:val="20"/>
          <w:szCs w:val="20"/>
          <w:color w:val="auto"/>
        </w:rPr>
      </w:pPr>
    </w:p>
    <w:p>
      <w:pPr>
        <w:ind w:left="1080" w:hanging="532"/>
        <w:spacing w:after="0"/>
        <w:tabs>
          <w:tab w:leader="none" w:pos="1080" w:val="left"/>
        </w:tabs>
        <w:numPr>
          <w:ilvl w:val="0"/>
          <w:numId w:val="6"/>
        </w:numPr>
        <w:rPr>
          <w:rFonts w:ascii="Arial" w:cs="Arial" w:eastAsia="Arial" w:hAnsi="Arial"/>
          <w:sz w:val="16"/>
          <w:szCs w:val="16"/>
          <w:color w:val="auto"/>
        </w:rPr>
      </w:pPr>
      <w:r>
        <w:rPr>
          <w:rFonts w:ascii="Arial" w:cs="Arial" w:eastAsia="Arial" w:hAnsi="Arial"/>
          <w:sz w:val="16"/>
          <w:szCs w:val="16"/>
          <w:color w:val="auto"/>
        </w:rPr>
        <w:t>Level 1:  Observable inputs such as quoted prices for identical assets and liabilities in active markets obtained from independent sources.</w:t>
      </w:r>
    </w:p>
    <w:p>
      <w:pPr>
        <w:spacing w:after="0" w:line="275" w:lineRule="exact"/>
        <w:rPr>
          <w:rFonts w:ascii="Arial" w:cs="Arial" w:eastAsia="Arial" w:hAnsi="Arial"/>
          <w:sz w:val="16"/>
          <w:szCs w:val="16"/>
          <w:color w:val="auto"/>
        </w:rPr>
      </w:pPr>
    </w:p>
    <w:p>
      <w:pPr>
        <w:ind w:left="1080" w:right="280" w:hanging="532"/>
        <w:spacing w:after="0" w:line="259" w:lineRule="auto"/>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Level 2: Other inputs that are observable directly or indirectly, such as quoted prices for similar assets or liabilities in active markets, quoted prices for identical or similar assets or liabilities in markets that are not active and inputs that are derived principally from or corroborated by observable market data.</w:t>
      </w:r>
    </w:p>
    <w:p>
      <w:pPr>
        <w:spacing w:after="0" w:line="207" w:lineRule="exact"/>
        <w:rPr>
          <w:rFonts w:ascii="Arial" w:cs="Arial" w:eastAsia="Arial" w:hAnsi="Arial"/>
          <w:sz w:val="18"/>
          <w:szCs w:val="18"/>
          <w:color w:val="auto"/>
        </w:rPr>
      </w:pPr>
    </w:p>
    <w:p>
      <w:pPr>
        <w:ind w:left="1080" w:right="60" w:hanging="532"/>
        <w:spacing w:after="0" w:line="332" w:lineRule="auto"/>
        <w:tabs>
          <w:tab w:leader="none" w:pos="1080" w:val="left"/>
        </w:tabs>
        <w:numPr>
          <w:ilvl w:val="0"/>
          <w:numId w:val="6"/>
        </w:numPr>
        <w:rPr>
          <w:rFonts w:ascii="Arial" w:cs="Arial" w:eastAsia="Arial" w:hAnsi="Arial"/>
          <w:sz w:val="16"/>
          <w:szCs w:val="16"/>
          <w:color w:val="auto"/>
        </w:rPr>
      </w:pPr>
      <w:r>
        <w:rPr>
          <w:rFonts w:ascii="Arial" w:cs="Arial" w:eastAsia="Arial" w:hAnsi="Arial"/>
          <w:sz w:val="16"/>
          <w:szCs w:val="16"/>
          <w:color w:val="auto"/>
        </w:rPr>
        <w:t>Level 3: Unobservable inputs for which there is little or no market data and require Tree.com to develop its own assumptions, based on the best information available in the circumstances, about the assumptions market participants would use in pricing the asset or liability.</w:t>
      </w:r>
    </w:p>
    <w:p>
      <w:pPr>
        <w:spacing w:after="0" w:line="13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23" w:name="page24"/>
    <w:bookmarkEnd w:id="2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TREE.COM, INC. AND SUBSIDIARIES</w:t>
      </w:r>
    </w:p>
    <w:p>
      <w:pPr>
        <w:spacing w:after="0" w:line="225" w:lineRule="exact"/>
        <w:rPr>
          <w:sz w:val="20"/>
          <w:szCs w:val="20"/>
          <w:color w:val="auto"/>
        </w:rPr>
      </w:pPr>
    </w:p>
    <w:p>
      <w:pPr>
        <w:ind w:left="294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9—FAIR VALUE MEASUREMENTS (Continued)</w:t>
      </w:r>
    </w:p>
    <w:p>
      <w:pPr>
        <w:spacing w:after="0" w:line="231" w:lineRule="exact"/>
        <w:rPr>
          <w:sz w:val="20"/>
          <w:szCs w:val="20"/>
          <w:color w:val="auto"/>
        </w:rPr>
      </w:pPr>
    </w:p>
    <w:p>
      <w:pPr>
        <w:ind w:right="20" w:firstLine="351"/>
        <w:spacing w:after="0" w:line="286" w:lineRule="auto"/>
        <w:rPr>
          <w:sz w:val="20"/>
          <w:szCs w:val="20"/>
          <w:color w:val="auto"/>
        </w:rPr>
      </w:pPr>
      <w:r>
        <w:rPr>
          <w:rFonts w:ascii="Arial" w:cs="Arial" w:eastAsia="Arial" w:hAnsi="Arial"/>
          <w:sz w:val="16"/>
          <w:szCs w:val="16"/>
          <w:color w:val="auto"/>
        </w:rPr>
        <w:t>LendingTree Loans enters into commitments with consumers to originate loans at a specified interest rate (interest rate lock commitments—"IRLCs"). Tree.com reports IRLCs as derivative instruments at fair value with changes in fair value being recorded in current earnings as a component of revenue from the origination and sale of loans. IRLCs for loans to be sold to investors using a mandatory or assignment of trade ("AOT") method are hedged using "to be announced mortgage-backed securities" ("TBA MBS") and are valued using quantitative risk models. The IRLCs derive their base value from an underlying loan type with similar characteristics using the TBA MBS market which is actively quoted and easily validated through external sources. The most significant data inputs used in this valuation include, but are not limited to, loan type, underlying loan amount, note rate, loan program, and expected sale date of the loan. IRLCs for loans sold to investors on a best efforts basis are hedged using best efforts forward delivery commitments and are valued on an individual loan basis using a proprietary database program. These valuations are based on investor pricing tables stratified by product, note rate and term. The valuation is adjusted at the loan level to consider the servicing release premium and loan pricing adjustments specific to each loan. The Company applies an anticipated loan funding probability based on its own experience to value IRLCs, which results in the classification of these derivatives as Level 3. At September 30, 2010 and December 31, 2009, there were $370.3 million and $258.4 million, respectively, of IRLCs notional value outstanding.</w:t>
      </w:r>
    </w:p>
    <w:p>
      <w:pPr>
        <w:spacing w:after="0" w:line="181" w:lineRule="exact"/>
        <w:rPr>
          <w:sz w:val="20"/>
          <w:szCs w:val="20"/>
          <w:color w:val="auto"/>
        </w:rPr>
      </w:pPr>
    </w:p>
    <w:p>
      <w:pPr>
        <w:ind w:right="20" w:firstLine="351"/>
        <w:spacing w:after="0" w:line="289" w:lineRule="auto"/>
        <w:rPr>
          <w:sz w:val="20"/>
          <w:szCs w:val="20"/>
          <w:color w:val="auto"/>
        </w:rPr>
      </w:pPr>
      <w:r>
        <w:rPr>
          <w:rFonts w:ascii="Arial" w:cs="Arial" w:eastAsia="Arial" w:hAnsi="Arial"/>
          <w:sz w:val="16"/>
          <w:szCs w:val="16"/>
          <w:color w:val="auto"/>
        </w:rPr>
        <w:t>Loans held for sale measured at fair value and sold to investors using a mandatory or AOT method are also hedged using TBA MBS and valued using quantitative risk models. The valuation is based on the loan amount, note rate, loan program, and expected sale date of the loan. Loans held for sale measured at fair value and sold to investors on a best efforts basis are hedged using best efforts forward delivery commitments and are valued using a proprietary database program. The best efforts valuations are based on daily investor pricing tables stratified by product, note rate and term. These valuations are adjusted at the loan level to consider the servicing release premium and loan pricing adjustments specific to each loan. Loans held for sale, excluding impaired loans, are classified as Level 2. Loans held for sale measured at fair value that become impaired are transferred from Level 2 to Level 3, as the estimate of fair value is based on the Company's experience considering lien position and current status of the loan. LendingTree Loans recognizes interest income separately from other changes in fair value.</w:t>
      </w:r>
    </w:p>
    <w:p>
      <w:pPr>
        <w:spacing w:after="0" w:line="172" w:lineRule="exact"/>
        <w:rPr>
          <w:sz w:val="20"/>
          <w:szCs w:val="20"/>
          <w:color w:val="auto"/>
        </w:rPr>
      </w:pPr>
    </w:p>
    <w:p>
      <w:pPr>
        <w:ind w:firstLine="351"/>
        <w:spacing w:after="0" w:line="288" w:lineRule="auto"/>
        <w:rPr>
          <w:sz w:val="20"/>
          <w:szCs w:val="20"/>
          <w:color w:val="auto"/>
        </w:rPr>
      </w:pPr>
      <w:r>
        <w:rPr>
          <w:rFonts w:ascii="Arial" w:cs="Arial" w:eastAsia="Arial" w:hAnsi="Arial"/>
          <w:sz w:val="16"/>
          <w:szCs w:val="16"/>
          <w:color w:val="auto"/>
        </w:rPr>
        <w:t>Under LendingTree Loans' risk management policy, LendingTree Loans economically hedges the changes in fair value of IRLCs and loans held for sale caused by changes in interest rates by using TBA MBS and entering into best efforts forward delivery commitments. These hedging instruments are recorded at fair value with changes in fair value recorded in current earnings as a component of revenue from the origination and sale of loans. TBA MBS used to hedge both IRLCs and loans are valued using quantitative risk models based primarily on inputs related to characteristics of the MBS stratified by product, coupon, and settlement date. These derivatives are classified as Level 2. Best efforts forward delivery commitments are valued using a proprietary database program using investor pricing tables considering the current base loan price. An anticipated loan funding probability is applied to value best efforts commitments hedging IRLCs, which results in the classification of these contracts as Level 3. The best efforts forward delivery commitments hedging loans held for sale are classified as Level 2, so such contracts are transferred from Level 3 to Level 2 at the time the underlying loan is originated. For the purposes of the tables below, we refer to TBA MBS and best efforts forward delivery commitments collectively as "Forward Delivery Contracts".</w:t>
      </w:r>
    </w:p>
    <w:p>
      <w:pPr>
        <w:spacing w:after="0" w:line="17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24" w:name="page25"/>
    <w:bookmarkEnd w:id="2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TREE.COM, INC. AND SUBSIDIARIES</w:t>
      </w:r>
    </w:p>
    <w:p>
      <w:pPr>
        <w:spacing w:after="0" w:line="225" w:lineRule="exact"/>
        <w:rPr>
          <w:sz w:val="20"/>
          <w:szCs w:val="20"/>
          <w:color w:val="auto"/>
        </w:rPr>
      </w:pPr>
    </w:p>
    <w:p>
      <w:pPr>
        <w:ind w:left="294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9—FAIR VALUE MEASUREMENTS (Continued)</w:t>
      </w:r>
    </w:p>
    <w:p>
      <w:pPr>
        <w:spacing w:after="0" w:line="231" w:lineRule="exact"/>
        <w:rPr>
          <w:sz w:val="20"/>
          <w:szCs w:val="20"/>
          <w:color w:val="auto"/>
        </w:rPr>
      </w:pPr>
    </w:p>
    <w:p>
      <w:pPr>
        <w:ind w:right="20" w:firstLine="348"/>
        <w:spacing w:after="0" w:line="268" w:lineRule="auto"/>
        <w:rPr>
          <w:sz w:val="20"/>
          <w:szCs w:val="20"/>
          <w:color w:val="auto"/>
        </w:rPr>
      </w:pPr>
      <w:r>
        <w:rPr>
          <w:rFonts w:ascii="Arial" w:cs="Arial" w:eastAsia="Arial" w:hAnsi="Arial"/>
          <w:sz w:val="18"/>
          <w:szCs w:val="18"/>
          <w:color w:val="auto"/>
        </w:rPr>
        <w:t>The following presents Tree.com's assets and liabilities that are measured at fair value on a recurring basis at September 30, 2010 and December 31, 2009 (in thousands):</w:t>
      </w:r>
    </w:p>
    <w:p>
      <w:pPr>
        <w:spacing w:after="0" w:line="236"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5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940" w:type="dxa"/>
            <w:vAlign w:val="bottom"/>
            <w:tcBorders>
              <w:bottom w:val="single" w:sz="8" w:color="auto"/>
            </w:tcBorders>
            <w:gridSpan w:val="6"/>
          </w:tcPr>
          <w:p>
            <w:pPr>
              <w:jc w:val="right"/>
              <w:ind w:right="340"/>
              <w:spacing w:after="0"/>
              <w:rPr>
                <w:sz w:val="20"/>
                <w:szCs w:val="20"/>
                <w:color w:val="auto"/>
              </w:rPr>
            </w:pPr>
            <w:r>
              <w:rPr>
                <w:rFonts w:ascii="Arial" w:cs="Arial" w:eastAsia="Arial" w:hAnsi="Arial"/>
                <w:sz w:val="14"/>
                <w:szCs w:val="14"/>
                <w:b w:val="1"/>
                <w:bCs w:val="1"/>
                <w:color w:val="auto"/>
                <w:w w:val="93"/>
              </w:rPr>
              <w:t>As of September 30, 2010</w:t>
            </w:r>
          </w:p>
        </w:tc>
        <w:tc>
          <w:tcPr>
            <w:tcW w:w="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5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3320" w:type="dxa"/>
            <w:vAlign w:val="bottom"/>
            <w:tcBorders>
              <w:bottom w:val="single" w:sz="8" w:color="auto"/>
            </w:tcBorders>
            <w:gridSpan w:val="11"/>
          </w:tcPr>
          <w:p>
            <w:pPr>
              <w:ind w:left="840"/>
              <w:spacing w:after="0" w:line="142" w:lineRule="exact"/>
              <w:rPr>
                <w:sz w:val="20"/>
                <w:szCs w:val="20"/>
                <w:color w:val="auto"/>
              </w:rPr>
            </w:pPr>
            <w:r>
              <w:rPr>
                <w:rFonts w:ascii="Arial" w:cs="Arial" w:eastAsia="Arial" w:hAnsi="Arial"/>
                <w:sz w:val="14"/>
                <w:szCs w:val="14"/>
                <w:b w:val="1"/>
                <w:bCs w:val="1"/>
                <w:color w:val="auto"/>
                <w:w w:val="87"/>
              </w:rPr>
              <w:t>Recurring Fair Value Measurements Using</w:t>
            </w:r>
          </w:p>
        </w:tc>
        <w:tc>
          <w:tcPr>
            <w:tcW w:w="980" w:type="dxa"/>
            <w:vAlign w:val="bottom"/>
            <w:tcBorders>
              <w:bottom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45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60" w:type="dxa"/>
            <w:vAlign w:val="bottom"/>
            <w:gridSpan w:val="2"/>
          </w:tcPr>
          <w:p>
            <w:pPr>
              <w:jc w:val="center"/>
              <w:spacing w:after="0" w:line="129" w:lineRule="exact"/>
              <w:rPr>
                <w:sz w:val="20"/>
                <w:szCs w:val="20"/>
                <w:color w:val="auto"/>
              </w:rPr>
            </w:pPr>
            <w:r>
              <w:rPr>
                <w:rFonts w:ascii="Arial" w:cs="Arial" w:eastAsia="Arial" w:hAnsi="Arial"/>
                <w:sz w:val="14"/>
                <w:szCs w:val="14"/>
                <w:b w:val="1"/>
                <w:bCs w:val="1"/>
                <w:color w:val="auto"/>
                <w:w w:val="91"/>
              </w:rPr>
              <w:t>Quoted Market</w:t>
            </w: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6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6"/>
              </w:rPr>
              <w:t>Prices in Active</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6"/>
              </w:rPr>
              <w:t>Significant</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tcPr>
          <w:p>
            <w:pPr>
              <w:jc w:val="center"/>
              <w:ind w:right="83"/>
              <w:spacing w:after="0" w:line="149" w:lineRule="exact"/>
              <w:rPr>
                <w:sz w:val="20"/>
                <w:szCs w:val="20"/>
                <w:color w:val="auto"/>
              </w:rPr>
            </w:pPr>
            <w:r>
              <w:rPr>
                <w:rFonts w:ascii="Arial" w:cs="Arial" w:eastAsia="Arial" w:hAnsi="Arial"/>
                <w:sz w:val="14"/>
                <w:szCs w:val="14"/>
                <w:b w:val="1"/>
                <w:bCs w:val="1"/>
                <w:color w:val="auto"/>
                <w:w w:val="92"/>
              </w:rPr>
              <w:t>Markets for</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6"/>
              </w:rPr>
              <w:t>Other</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6"/>
              </w:rPr>
              <w:t>Significant</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tcPr>
          <w:p>
            <w:pPr>
              <w:jc w:val="center"/>
              <w:ind w:right="83"/>
              <w:spacing w:after="0" w:line="149" w:lineRule="exact"/>
              <w:rPr>
                <w:sz w:val="20"/>
                <w:szCs w:val="20"/>
                <w:color w:val="auto"/>
              </w:rPr>
            </w:pPr>
            <w:r>
              <w:rPr>
                <w:rFonts w:ascii="Arial" w:cs="Arial" w:eastAsia="Arial" w:hAnsi="Arial"/>
                <w:sz w:val="14"/>
                <w:szCs w:val="14"/>
                <w:b w:val="1"/>
                <w:bCs w:val="1"/>
                <w:color w:val="auto"/>
                <w:w w:val="87"/>
              </w:rPr>
              <w:t>Identical</w:t>
            </w:r>
          </w:p>
        </w:tc>
        <w:tc>
          <w:tcPr>
            <w:tcW w:w="160" w:type="dxa"/>
            <w:vAlign w:val="bottom"/>
          </w:tcPr>
          <w:p>
            <w:pPr>
              <w:spacing w:after="0"/>
              <w:rPr>
                <w:sz w:val="12"/>
                <w:szCs w:val="12"/>
                <w:color w:val="auto"/>
              </w:rPr>
            </w:pPr>
          </w:p>
        </w:tc>
        <w:tc>
          <w:tcPr>
            <w:tcW w:w="92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86"/>
              </w:rPr>
              <w:t>Observable</w:t>
            </w:r>
          </w:p>
        </w:tc>
        <w:tc>
          <w:tcPr>
            <w:tcW w:w="60" w:type="dxa"/>
            <w:vAlign w:val="bottom"/>
          </w:tcPr>
          <w:p>
            <w:pPr>
              <w:spacing w:after="0"/>
              <w:rPr>
                <w:sz w:val="12"/>
                <w:szCs w:val="12"/>
                <w:color w:val="auto"/>
              </w:rPr>
            </w:pPr>
          </w:p>
        </w:tc>
        <w:tc>
          <w:tcPr>
            <w:tcW w:w="106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84"/>
              </w:rPr>
              <w:t>Unobservable</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tcPr>
          <w:p>
            <w:pPr>
              <w:jc w:val="center"/>
              <w:ind w:right="63"/>
              <w:spacing w:after="0" w:line="149" w:lineRule="exact"/>
              <w:rPr>
                <w:sz w:val="20"/>
                <w:szCs w:val="20"/>
                <w:color w:val="auto"/>
              </w:rPr>
            </w:pPr>
            <w:r>
              <w:rPr>
                <w:rFonts w:ascii="Arial" w:cs="Arial" w:eastAsia="Arial" w:hAnsi="Arial"/>
                <w:sz w:val="14"/>
                <w:szCs w:val="14"/>
                <w:b w:val="1"/>
                <w:bCs w:val="1"/>
                <w:color w:val="auto"/>
                <w:w w:val="78"/>
              </w:rPr>
              <w:t>Assets</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5"/>
              </w:rPr>
              <w:t>Inputs</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0"/>
              </w:rPr>
              <w:t>Inputs</w:t>
            </w:r>
          </w:p>
        </w:tc>
        <w:tc>
          <w:tcPr>
            <w:tcW w:w="60" w:type="dxa"/>
            <w:vAlign w:val="bottom"/>
          </w:tcPr>
          <w:p>
            <w:pPr>
              <w:spacing w:after="0"/>
              <w:rPr>
                <w:sz w:val="12"/>
                <w:szCs w:val="12"/>
                <w:color w:val="auto"/>
              </w:rPr>
            </w:pPr>
          </w:p>
        </w:tc>
        <w:tc>
          <w:tcPr>
            <w:tcW w:w="1260" w:type="dxa"/>
            <w:vAlign w:val="bottom"/>
            <w:gridSpan w:val="3"/>
          </w:tcPr>
          <w:p>
            <w:pPr>
              <w:jc w:val="right"/>
              <w:ind w:right="240"/>
              <w:spacing w:after="0" w:line="149" w:lineRule="exact"/>
              <w:rPr>
                <w:sz w:val="20"/>
                <w:szCs w:val="20"/>
                <w:color w:val="auto"/>
              </w:rPr>
            </w:pPr>
            <w:r>
              <w:rPr>
                <w:rFonts w:ascii="Arial" w:cs="Arial" w:eastAsia="Arial" w:hAnsi="Arial"/>
                <w:sz w:val="14"/>
                <w:szCs w:val="14"/>
                <w:b w:val="1"/>
                <w:bCs w:val="1"/>
                <w:color w:val="auto"/>
                <w:w w:val="95"/>
              </w:rPr>
              <w:t>Total Fair Value</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5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center"/>
              <w:ind w:right="83"/>
              <w:spacing w:after="0"/>
              <w:rPr>
                <w:sz w:val="20"/>
                <w:szCs w:val="20"/>
                <w:color w:val="auto"/>
              </w:rPr>
            </w:pPr>
            <w:r>
              <w:rPr>
                <w:rFonts w:ascii="Arial" w:cs="Arial" w:eastAsia="Arial" w:hAnsi="Arial"/>
                <w:sz w:val="14"/>
                <w:szCs w:val="14"/>
                <w:b w:val="1"/>
                <w:bCs w:val="1"/>
                <w:color w:val="auto"/>
                <w:w w:val="87"/>
              </w:rPr>
              <w:t>(Level 1)</w:t>
            </w:r>
          </w:p>
        </w:tc>
        <w:tc>
          <w:tcPr>
            <w:tcW w:w="1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center"/>
              <w:ind w:right="43"/>
              <w:spacing w:after="0"/>
              <w:rPr>
                <w:sz w:val="20"/>
                <w:szCs w:val="20"/>
                <w:color w:val="auto"/>
              </w:rPr>
            </w:pPr>
            <w:r>
              <w:rPr>
                <w:rFonts w:ascii="Arial" w:cs="Arial" w:eastAsia="Arial" w:hAnsi="Arial"/>
                <w:sz w:val="14"/>
                <w:szCs w:val="14"/>
                <w:b w:val="1"/>
                <w:bCs w:val="1"/>
                <w:color w:val="auto"/>
                <w:w w:val="91"/>
              </w:rPr>
              <w:t>(Level 2)</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center"/>
              <w:ind w:right="61"/>
              <w:spacing w:after="0"/>
              <w:rPr>
                <w:sz w:val="20"/>
                <w:szCs w:val="20"/>
                <w:color w:val="auto"/>
              </w:rPr>
            </w:pPr>
            <w:r>
              <w:rPr>
                <w:rFonts w:ascii="Arial" w:cs="Arial" w:eastAsia="Arial" w:hAnsi="Arial"/>
                <w:sz w:val="14"/>
                <w:szCs w:val="14"/>
                <w:b w:val="1"/>
                <w:bCs w:val="1"/>
                <w:color w:val="auto"/>
                <w:w w:val="87"/>
              </w:rPr>
              <w:t>(Level 3)</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56"/>
              <w:spacing w:after="0"/>
              <w:rPr>
                <w:sz w:val="20"/>
                <w:szCs w:val="20"/>
                <w:color w:val="auto"/>
              </w:rPr>
            </w:pPr>
            <w:r>
              <w:rPr>
                <w:rFonts w:ascii="Arial" w:cs="Arial" w:eastAsia="Arial" w:hAnsi="Arial"/>
                <w:sz w:val="14"/>
                <w:szCs w:val="14"/>
                <w:b w:val="1"/>
                <w:bCs w:val="1"/>
                <w:color w:val="auto"/>
                <w:w w:val="83"/>
              </w:rPr>
              <w:t>Measurements</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Loans held for sale</w:t>
            </w: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CEEFF"/>
          </w:tcPr>
          <w:p>
            <w:pPr>
              <w:ind w:left="760"/>
              <w:spacing w:after="0"/>
              <w:rPr>
                <w:sz w:val="20"/>
                <w:szCs w:val="20"/>
                <w:color w:val="auto"/>
              </w:rPr>
            </w:pPr>
            <w:r>
              <w:rPr>
                <w:rFonts w:ascii="Arial" w:cs="Arial" w:eastAsia="Arial" w:hAnsi="Arial"/>
                <w:sz w:val="18"/>
                <w:szCs w:val="18"/>
                <w:color w:val="auto"/>
                <w:w w:val="88"/>
              </w:rPr>
              <w:t>—</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162,283</w:t>
            </w:r>
          </w:p>
        </w:tc>
        <w:tc>
          <w:tcPr>
            <w:tcW w:w="10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1,036</w:t>
            </w:r>
          </w:p>
        </w:tc>
        <w:tc>
          <w:tcPr>
            <w:tcW w:w="10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163,319</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tcPr>
          <w:p>
            <w:pPr>
              <w:spacing w:after="0"/>
              <w:rPr>
                <w:sz w:val="20"/>
                <w:szCs w:val="20"/>
                <w:color w:val="auto"/>
              </w:rPr>
            </w:pPr>
            <w:r>
              <w:rPr>
                <w:rFonts w:ascii="Arial" w:cs="Arial" w:eastAsia="Arial" w:hAnsi="Arial"/>
                <w:sz w:val="18"/>
                <w:szCs w:val="18"/>
                <w:color w:val="auto"/>
              </w:rPr>
              <w:t>Interest rate lock commitments ("IRLCs")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ind w:left="760"/>
              <w:spacing w:after="0"/>
              <w:rPr>
                <w:sz w:val="20"/>
                <w:szCs w:val="20"/>
                <w:color w:val="auto"/>
              </w:rPr>
            </w:pPr>
            <w:r>
              <w:rPr>
                <w:rFonts w:ascii="Arial" w:cs="Arial" w:eastAsia="Arial" w:hAnsi="Arial"/>
                <w:sz w:val="18"/>
                <w:szCs w:val="18"/>
                <w:color w:val="auto"/>
                <w:w w:val="88"/>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10,249</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10,249</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Forward delivery contracts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ind w:left="760"/>
              <w:spacing w:after="0"/>
              <w:rPr>
                <w:sz w:val="20"/>
                <w:szCs w:val="20"/>
                <w:color w:val="auto"/>
              </w:rPr>
            </w:pPr>
            <w:r>
              <w:rPr>
                <w:rFonts w:ascii="Arial" w:cs="Arial" w:eastAsia="Arial" w:hAnsi="Arial"/>
                <w:sz w:val="18"/>
                <w:szCs w:val="18"/>
                <w:color w:val="auto"/>
                <w:w w:val="88"/>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(503)</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(17)</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(520)</w:t>
            </w:r>
          </w:p>
        </w:tc>
        <w:tc>
          <w:tcPr>
            <w:tcW w:w="0" w:type="dxa"/>
            <w:vAlign w:val="bottom"/>
          </w:tcPr>
          <w:p>
            <w:pPr>
              <w:spacing w:after="0"/>
              <w:rPr>
                <w:sz w:val="1"/>
                <w:szCs w:val="1"/>
                <w:color w:val="auto"/>
              </w:rPr>
            </w:pPr>
          </w:p>
        </w:tc>
      </w:tr>
      <w:tr>
        <w:trPr>
          <w:trHeight w:val="27"/>
        </w:trPr>
        <w:tc>
          <w:tcPr>
            <w:tcW w:w="4540" w:type="dxa"/>
            <w:vAlign w:val="bottom"/>
            <w:gridSpan w:val="2"/>
            <w:vMerge w:val="restart"/>
          </w:tcPr>
          <w:p>
            <w:pPr>
              <w:spacing w:after="0"/>
              <w:rPr>
                <w:sz w:val="20"/>
                <w:szCs w:val="20"/>
                <w:color w:val="auto"/>
              </w:rPr>
            </w:pPr>
            <w:r>
              <w:rPr>
                <w:rFonts w:ascii="Arial" w:cs="Arial" w:eastAsia="Arial" w:hAnsi="Arial"/>
                <w:sz w:val="18"/>
                <w:szCs w:val="18"/>
                <w:color w:val="auto"/>
              </w:rPr>
              <w:t>Total</w:t>
            </w:r>
          </w:p>
        </w:tc>
        <w:tc>
          <w:tcPr>
            <w:tcW w:w="140" w:type="dxa"/>
            <w:vAlign w:val="bottom"/>
            <w:gridSpan w:val="2"/>
          </w:tcPr>
          <w:p>
            <w:pPr>
              <w:spacing w:after="0"/>
              <w:rPr>
                <w:sz w:val="2"/>
                <w:szCs w:val="2"/>
                <w:color w:val="auto"/>
              </w:rPr>
            </w:pPr>
          </w:p>
        </w:tc>
        <w:tc>
          <w:tcPr>
            <w:tcW w:w="940" w:type="dxa"/>
            <w:vAlign w:val="bottom"/>
          </w:tcPr>
          <w:p>
            <w:pPr>
              <w:spacing w:after="0"/>
              <w:rPr>
                <w:sz w:val="2"/>
                <w:szCs w:val="2"/>
                <w:color w:val="auto"/>
              </w:rPr>
            </w:pPr>
          </w:p>
        </w:tc>
        <w:tc>
          <w:tcPr>
            <w:tcW w:w="260" w:type="dxa"/>
            <w:vAlign w:val="bottom"/>
            <w:gridSpan w:val="2"/>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gridSpan w:val="2"/>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gridSpan w:val="2"/>
          </w:tcPr>
          <w:p>
            <w:pPr>
              <w:spacing w:after="0"/>
              <w:rPr>
                <w:sz w:val="2"/>
                <w:szCs w:val="2"/>
                <w:color w:val="auto"/>
              </w:rPr>
            </w:pPr>
          </w:p>
        </w:tc>
        <w:tc>
          <w:tcPr>
            <w:tcW w:w="980" w:type="dxa"/>
            <w:vAlign w:val="bottom"/>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4540" w:type="dxa"/>
            <w:vAlign w:val="bottom"/>
            <w:gridSpan w:val="2"/>
            <w:vMerge w:val="continue"/>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940" w:type="dxa"/>
            <w:vAlign w:val="bottom"/>
            <w:tcBorders>
              <w:top w:val="single" w:sz="8" w:color="auto"/>
            </w:tcBorders>
          </w:tcPr>
          <w:p>
            <w:pPr>
              <w:ind w:left="760"/>
              <w:spacing w:after="0"/>
              <w:rPr>
                <w:sz w:val="20"/>
                <w:szCs w:val="20"/>
                <w:color w:val="auto"/>
              </w:rPr>
            </w:pPr>
            <w:r>
              <w:rPr>
                <w:rFonts w:ascii="Arial" w:cs="Arial" w:eastAsia="Arial" w:hAnsi="Arial"/>
                <w:sz w:val="18"/>
                <w:szCs w:val="18"/>
                <w:color w:val="auto"/>
                <w:w w:val="88"/>
              </w:rPr>
              <w:t>—</w:t>
            </w:r>
          </w:p>
        </w:tc>
        <w:tc>
          <w:tcPr>
            <w:tcW w:w="16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161,780</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11,268</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173,048</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5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37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840" w:type="dxa"/>
            <w:vAlign w:val="bottom"/>
            <w:tcBorders>
              <w:bottom w:val="single" w:sz="8" w:color="auto"/>
            </w:tcBorders>
            <w:gridSpan w:val="4"/>
          </w:tcPr>
          <w:p>
            <w:pPr>
              <w:jc w:val="right"/>
              <w:ind w:right="181"/>
              <w:spacing w:after="0"/>
              <w:rPr>
                <w:sz w:val="20"/>
                <w:szCs w:val="20"/>
                <w:color w:val="auto"/>
              </w:rPr>
            </w:pPr>
            <w:r>
              <w:rPr>
                <w:rFonts w:ascii="Arial" w:cs="Arial" w:eastAsia="Arial" w:hAnsi="Arial"/>
                <w:sz w:val="14"/>
                <w:szCs w:val="14"/>
                <w:b w:val="1"/>
                <w:bCs w:val="1"/>
                <w:color w:val="auto"/>
                <w:w w:val="94"/>
              </w:rPr>
              <w:t>As of December 31, 2009</w:t>
            </w:r>
          </w:p>
        </w:tc>
        <w:tc>
          <w:tcPr>
            <w:tcW w:w="1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1160" w:type="dxa"/>
            <w:vAlign w:val="bottom"/>
          </w:tcPr>
          <w:p>
            <w:pPr>
              <w:spacing w:after="0"/>
              <w:rPr>
                <w:sz w:val="12"/>
                <w:szCs w:val="12"/>
                <w:color w:val="auto"/>
              </w:rPr>
            </w:pPr>
          </w:p>
        </w:tc>
        <w:tc>
          <w:tcPr>
            <w:tcW w:w="37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3300" w:type="dxa"/>
            <w:vAlign w:val="bottom"/>
            <w:tcBorders>
              <w:bottom w:val="single" w:sz="8" w:color="auto"/>
            </w:tcBorders>
            <w:gridSpan w:val="9"/>
          </w:tcPr>
          <w:p>
            <w:pPr>
              <w:ind w:left="820"/>
              <w:spacing w:after="0" w:line="142" w:lineRule="exact"/>
              <w:rPr>
                <w:sz w:val="20"/>
                <w:szCs w:val="20"/>
                <w:color w:val="auto"/>
              </w:rPr>
            </w:pPr>
            <w:r>
              <w:rPr>
                <w:rFonts w:ascii="Arial" w:cs="Arial" w:eastAsia="Arial" w:hAnsi="Arial"/>
                <w:sz w:val="14"/>
                <w:szCs w:val="14"/>
                <w:b w:val="1"/>
                <w:bCs w:val="1"/>
                <w:color w:val="auto"/>
                <w:w w:val="87"/>
              </w:rPr>
              <w:t>Recurring Fair Value Measurements Using</w:t>
            </w:r>
          </w:p>
        </w:tc>
        <w:tc>
          <w:tcPr>
            <w:tcW w:w="980" w:type="dxa"/>
            <w:vAlign w:val="bottom"/>
            <w:tcBorders>
              <w:bottom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1160" w:type="dxa"/>
            <w:vAlign w:val="bottom"/>
          </w:tcPr>
          <w:p>
            <w:pPr>
              <w:spacing w:after="0"/>
              <w:rPr>
                <w:sz w:val="11"/>
                <w:szCs w:val="11"/>
                <w:color w:val="auto"/>
              </w:rPr>
            </w:pPr>
          </w:p>
        </w:tc>
        <w:tc>
          <w:tcPr>
            <w:tcW w:w="37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60" w:type="dxa"/>
            <w:vAlign w:val="bottom"/>
            <w:gridSpan w:val="2"/>
          </w:tcPr>
          <w:p>
            <w:pPr>
              <w:jc w:val="center"/>
              <w:spacing w:after="0" w:line="129" w:lineRule="exact"/>
              <w:rPr>
                <w:sz w:val="20"/>
                <w:szCs w:val="20"/>
                <w:color w:val="auto"/>
              </w:rPr>
            </w:pPr>
            <w:r>
              <w:rPr>
                <w:rFonts w:ascii="Arial" w:cs="Arial" w:eastAsia="Arial" w:hAnsi="Arial"/>
                <w:sz w:val="14"/>
                <w:szCs w:val="14"/>
                <w:b w:val="1"/>
                <w:bCs w:val="1"/>
                <w:color w:val="auto"/>
                <w:w w:val="91"/>
              </w:rPr>
              <w:t>Quoted Market</w:t>
            </w: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160" w:type="dxa"/>
            <w:vAlign w:val="bottom"/>
          </w:tcPr>
          <w:p>
            <w:pPr>
              <w:spacing w:after="0"/>
              <w:rPr>
                <w:sz w:val="12"/>
                <w:szCs w:val="12"/>
                <w:color w:val="auto"/>
              </w:rPr>
            </w:pPr>
          </w:p>
        </w:tc>
        <w:tc>
          <w:tcPr>
            <w:tcW w:w="37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6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6"/>
              </w:rPr>
              <w:t>Prices in Active</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jc w:val="center"/>
              <w:ind w:right="23"/>
              <w:spacing w:after="0" w:line="149" w:lineRule="exact"/>
              <w:rPr>
                <w:sz w:val="20"/>
                <w:szCs w:val="20"/>
                <w:color w:val="auto"/>
              </w:rPr>
            </w:pPr>
            <w:r>
              <w:rPr>
                <w:rFonts w:ascii="Arial" w:cs="Arial" w:eastAsia="Arial" w:hAnsi="Arial"/>
                <w:sz w:val="14"/>
                <w:szCs w:val="14"/>
                <w:b w:val="1"/>
                <w:bCs w:val="1"/>
                <w:color w:val="auto"/>
                <w:w w:val="86"/>
              </w:rPr>
              <w:t>Significant</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160" w:type="dxa"/>
            <w:vAlign w:val="bottom"/>
          </w:tcPr>
          <w:p>
            <w:pPr>
              <w:spacing w:after="0"/>
              <w:rPr>
                <w:sz w:val="12"/>
                <w:szCs w:val="12"/>
                <w:color w:val="auto"/>
              </w:rPr>
            </w:pPr>
          </w:p>
        </w:tc>
        <w:tc>
          <w:tcPr>
            <w:tcW w:w="37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tcPr>
          <w:p>
            <w:pPr>
              <w:jc w:val="center"/>
              <w:ind w:right="103"/>
              <w:spacing w:after="0" w:line="149" w:lineRule="exact"/>
              <w:rPr>
                <w:sz w:val="20"/>
                <w:szCs w:val="20"/>
                <w:color w:val="auto"/>
              </w:rPr>
            </w:pPr>
            <w:r>
              <w:rPr>
                <w:rFonts w:ascii="Arial" w:cs="Arial" w:eastAsia="Arial" w:hAnsi="Arial"/>
                <w:sz w:val="14"/>
                <w:szCs w:val="14"/>
                <w:b w:val="1"/>
                <w:bCs w:val="1"/>
                <w:color w:val="auto"/>
                <w:w w:val="92"/>
              </w:rPr>
              <w:t>Markets for</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jc w:val="center"/>
              <w:ind w:right="43"/>
              <w:spacing w:after="0" w:line="149" w:lineRule="exact"/>
              <w:rPr>
                <w:sz w:val="20"/>
                <w:szCs w:val="20"/>
                <w:color w:val="auto"/>
              </w:rPr>
            </w:pPr>
            <w:r>
              <w:rPr>
                <w:rFonts w:ascii="Arial" w:cs="Arial" w:eastAsia="Arial" w:hAnsi="Arial"/>
                <w:sz w:val="14"/>
                <w:szCs w:val="14"/>
                <w:b w:val="1"/>
                <w:bCs w:val="1"/>
                <w:color w:val="auto"/>
                <w:w w:val="96"/>
              </w:rPr>
              <w:t>Other</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jc w:val="center"/>
              <w:ind w:right="61"/>
              <w:spacing w:after="0" w:line="149" w:lineRule="exact"/>
              <w:rPr>
                <w:sz w:val="20"/>
                <w:szCs w:val="20"/>
                <w:color w:val="auto"/>
              </w:rPr>
            </w:pPr>
            <w:r>
              <w:rPr>
                <w:rFonts w:ascii="Arial" w:cs="Arial" w:eastAsia="Arial" w:hAnsi="Arial"/>
                <w:sz w:val="14"/>
                <w:szCs w:val="14"/>
                <w:b w:val="1"/>
                <w:bCs w:val="1"/>
                <w:color w:val="auto"/>
                <w:w w:val="86"/>
              </w:rPr>
              <w:t>Significant</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160" w:type="dxa"/>
            <w:vAlign w:val="bottom"/>
          </w:tcPr>
          <w:p>
            <w:pPr>
              <w:spacing w:after="0"/>
              <w:rPr>
                <w:sz w:val="12"/>
                <w:szCs w:val="12"/>
                <w:color w:val="auto"/>
              </w:rPr>
            </w:pPr>
          </w:p>
        </w:tc>
        <w:tc>
          <w:tcPr>
            <w:tcW w:w="37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tcPr>
          <w:p>
            <w:pPr>
              <w:jc w:val="center"/>
              <w:ind w:right="103"/>
              <w:spacing w:after="0" w:line="149" w:lineRule="exact"/>
              <w:rPr>
                <w:sz w:val="20"/>
                <w:szCs w:val="20"/>
                <w:color w:val="auto"/>
              </w:rPr>
            </w:pPr>
            <w:r>
              <w:rPr>
                <w:rFonts w:ascii="Arial" w:cs="Arial" w:eastAsia="Arial" w:hAnsi="Arial"/>
                <w:sz w:val="14"/>
                <w:szCs w:val="14"/>
                <w:b w:val="1"/>
                <w:bCs w:val="1"/>
                <w:color w:val="auto"/>
                <w:w w:val="87"/>
              </w:rPr>
              <w:t>Identical</w:t>
            </w:r>
          </w:p>
        </w:tc>
        <w:tc>
          <w:tcPr>
            <w:tcW w:w="160" w:type="dxa"/>
            <w:vAlign w:val="bottom"/>
          </w:tcPr>
          <w:p>
            <w:pPr>
              <w:spacing w:after="0"/>
              <w:rPr>
                <w:sz w:val="12"/>
                <w:szCs w:val="12"/>
                <w:color w:val="auto"/>
              </w:rPr>
            </w:pPr>
          </w:p>
        </w:tc>
        <w:tc>
          <w:tcPr>
            <w:tcW w:w="82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6"/>
              </w:rPr>
              <w:t>Observable</w:t>
            </w:r>
          </w:p>
        </w:tc>
        <w:tc>
          <w:tcPr>
            <w:tcW w:w="160" w:type="dxa"/>
            <w:vAlign w:val="bottom"/>
          </w:tcPr>
          <w:p>
            <w:pPr>
              <w:spacing w:after="0"/>
              <w:rPr>
                <w:sz w:val="12"/>
                <w:szCs w:val="12"/>
                <w:color w:val="auto"/>
              </w:rPr>
            </w:pPr>
          </w:p>
        </w:tc>
        <w:tc>
          <w:tcPr>
            <w:tcW w:w="96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4"/>
              </w:rPr>
              <w:t>Unobservable</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160" w:type="dxa"/>
            <w:vAlign w:val="bottom"/>
          </w:tcPr>
          <w:p>
            <w:pPr>
              <w:spacing w:after="0"/>
              <w:rPr>
                <w:sz w:val="12"/>
                <w:szCs w:val="12"/>
                <w:color w:val="auto"/>
              </w:rPr>
            </w:pPr>
          </w:p>
        </w:tc>
        <w:tc>
          <w:tcPr>
            <w:tcW w:w="37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tcPr>
          <w:p>
            <w:pPr>
              <w:jc w:val="center"/>
              <w:ind w:right="83"/>
              <w:spacing w:after="0" w:line="149" w:lineRule="exact"/>
              <w:rPr>
                <w:sz w:val="20"/>
                <w:szCs w:val="20"/>
                <w:color w:val="auto"/>
              </w:rPr>
            </w:pPr>
            <w:r>
              <w:rPr>
                <w:rFonts w:ascii="Arial" w:cs="Arial" w:eastAsia="Arial" w:hAnsi="Arial"/>
                <w:sz w:val="14"/>
                <w:szCs w:val="14"/>
                <w:b w:val="1"/>
                <w:bCs w:val="1"/>
                <w:color w:val="auto"/>
                <w:w w:val="78"/>
              </w:rPr>
              <w:t>Assets</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jc w:val="center"/>
              <w:ind w:right="43"/>
              <w:spacing w:after="0" w:line="149" w:lineRule="exact"/>
              <w:rPr>
                <w:sz w:val="20"/>
                <w:szCs w:val="20"/>
                <w:color w:val="auto"/>
              </w:rPr>
            </w:pPr>
            <w:r>
              <w:rPr>
                <w:rFonts w:ascii="Arial" w:cs="Arial" w:eastAsia="Arial" w:hAnsi="Arial"/>
                <w:sz w:val="14"/>
                <w:szCs w:val="14"/>
                <w:b w:val="1"/>
                <w:bCs w:val="1"/>
                <w:color w:val="auto"/>
                <w:w w:val="85"/>
              </w:rPr>
              <w:t>Inputs</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jc w:val="center"/>
              <w:ind w:right="61"/>
              <w:spacing w:after="0" w:line="149" w:lineRule="exact"/>
              <w:rPr>
                <w:sz w:val="20"/>
                <w:szCs w:val="20"/>
                <w:color w:val="auto"/>
              </w:rPr>
            </w:pPr>
            <w:r>
              <w:rPr>
                <w:rFonts w:ascii="Arial" w:cs="Arial" w:eastAsia="Arial" w:hAnsi="Arial"/>
                <w:sz w:val="14"/>
                <w:szCs w:val="14"/>
                <w:b w:val="1"/>
                <w:bCs w:val="1"/>
                <w:color w:val="auto"/>
                <w:w w:val="90"/>
              </w:rPr>
              <w:t>Inputs</w:t>
            </w:r>
          </w:p>
        </w:tc>
        <w:tc>
          <w:tcPr>
            <w:tcW w:w="160" w:type="dxa"/>
            <w:vAlign w:val="bottom"/>
          </w:tcPr>
          <w:p>
            <w:pPr>
              <w:spacing w:after="0"/>
              <w:rPr>
                <w:sz w:val="12"/>
                <w:szCs w:val="12"/>
                <w:color w:val="auto"/>
              </w:rPr>
            </w:pPr>
          </w:p>
        </w:tc>
        <w:tc>
          <w:tcPr>
            <w:tcW w:w="2400" w:type="dxa"/>
            <w:vAlign w:val="bottom"/>
            <w:gridSpan w:val="4"/>
          </w:tcPr>
          <w:p>
            <w:pPr>
              <w:ind w:left="80"/>
              <w:spacing w:after="0" w:line="149" w:lineRule="exact"/>
              <w:rPr>
                <w:sz w:val="20"/>
                <w:szCs w:val="20"/>
                <w:color w:val="auto"/>
              </w:rPr>
            </w:pPr>
            <w:r>
              <w:rPr>
                <w:rFonts w:ascii="Arial" w:cs="Arial" w:eastAsia="Arial" w:hAnsi="Arial"/>
                <w:sz w:val="14"/>
                <w:szCs w:val="14"/>
                <w:b w:val="1"/>
                <w:bCs w:val="1"/>
                <w:color w:val="auto"/>
              </w:rPr>
              <w:t>Total Fair Value</w:t>
            </w:r>
          </w:p>
        </w:tc>
        <w:tc>
          <w:tcPr>
            <w:tcW w:w="0" w:type="dxa"/>
            <w:vAlign w:val="bottom"/>
          </w:tcPr>
          <w:p>
            <w:pPr>
              <w:spacing w:after="0"/>
              <w:rPr>
                <w:sz w:val="1"/>
                <w:szCs w:val="1"/>
                <w:color w:val="auto"/>
              </w:rPr>
            </w:pPr>
          </w:p>
        </w:tc>
      </w:tr>
      <w:tr>
        <w:trPr>
          <w:trHeight w:val="161"/>
        </w:trPr>
        <w:tc>
          <w:tcPr>
            <w:tcW w:w="1160" w:type="dxa"/>
            <w:vAlign w:val="bottom"/>
          </w:tcPr>
          <w:p>
            <w:pPr>
              <w:spacing w:after="0"/>
              <w:rPr>
                <w:sz w:val="14"/>
                <w:szCs w:val="14"/>
                <w:color w:val="auto"/>
              </w:rPr>
            </w:pPr>
          </w:p>
        </w:tc>
        <w:tc>
          <w:tcPr>
            <w:tcW w:w="37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center"/>
              <w:ind w:right="103"/>
              <w:spacing w:after="0"/>
              <w:rPr>
                <w:sz w:val="20"/>
                <w:szCs w:val="20"/>
                <w:color w:val="auto"/>
              </w:rPr>
            </w:pPr>
            <w:r>
              <w:rPr>
                <w:rFonts w:ascii="Arial" w:cs="Arial" w:eastAsia="Arial" w:hAnsi="Arial"/>
                <w:sz w:val="14"/>
                <w:szCs w:val="14"/>
                <w:b w:val="1"/>
                <w:bCs w:val="1"/>
                <w:color w:val="auto"/>
                <w:w w:val="87"/>
              </w:rPr>
              <w:t>(Level 1)</w:t>
            </w:r>
          </w:p>
        </w:tc>
        <w:tc>
          <w:tcPr>
            <w:tcW w:w="1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center"/>
              <w:ind w:right="43"/>
              <w:spacing w:after="0"/>
              <w:rPr>
                <w:sz w:val="20"/>
                <w:szCs w:val="20"/>
                <w:color w:val="auto"/>
              </w:rPr>
            </w:pPr>
            <w:r>
              <w:rPr>
                <w:rFonts w:ascii="Arial" w:cs="Arial" w:eastAsia="Arial" w:hAnsi="Arial"/>
                <w:sz w:val="14"/>
                <w:szCs w:val="14"/>
                <w:b w:val="1"/>
                <w:bCs w:val="1"/>
                <w:color w:val="auto"/>
                <w:w w:val="91"/>
              </w:rPr>
              <w:t>(Level 2)</w:t>
            </w:r>
          </w:p>
        </w:tc>
        <w:tc>
          <w:tcPr>
            <w:tcW w:w="1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center"/>
              <w:ind w:right="61"/>
              <w:spacing w:after="0"/>
              <w:rPr>
                <w:sz w:val="20"/>
                <w:szCs w:val="20"/>
                <w:color w:val="auto"/>
              </w:rPr>
            </w:pPr>
            <w:r>
              <w:rPr>
                <w:rFonts w:ascii="Arial" w:cs="Arial" w:eastAsia="Arial" w:hAnsi="Arial"/>
                <w:sz w:val="14"/>
                <w:szCs w:val="14"/>
                <w:b w:val="1"/>
                <w:bCs w:val="1"/>
                <w:color w:val="auto"/>
                <w:w w:val="87"/>
              </w:rPr>
              <w:t>(Level 3)</w:t>
            </w:r>
          </w:p>
        </w:tc>
        <w:tc>
          <w:tcPr>
            <w:tcW w:w="1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56"/>
              <w:spacing w:after="0"/>
              <w:rPr>
                <w:sz w:val="20"/>
                <w:szCs w:val="20"/>
                <w:color w:val="auto"/>
              </w:rPr>
            </w:pPr>
            <w:r>
              <w:rPr>
                <w:rFonts w:ascii="Arial" w:cs="Arial" w:eastAsia="Arial" w:hAnsi="Arial"/>
                <w:sz w:val="14"/>
                <w:szCs w:val="14"/>
                <w:b w:val="1"/>
                <w:bCs w:val="1"/>
                <w:color w:val="auto"/>
                <w:w w:val="83"/>
              </w:rPr>
              <w:t>Measurements</w:t>
            </w:r>
          </w:p>
        </w:tc>
        <w:tc>
          <w:tcPr>
            <w:tcW w:w="130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Loans held for sale</w:t>
            </w:r>
          </w:p>
        </w:tc>
        <w:tc>
          <w:tcPr>
            <w:tcW w:w="980" w:type="dxa"/>
            <w:vAlign w:val="bottom"/>
            <w:gridSpan w:val="3"/>
            <w:shd w:val="clear" w:color="auto" w:fill="CCEEFF"/>
          </w:tcPr>
          <w:p>
            <w:pPr>
              <w:jc w:val="center"/>
              <w:ind w:left="652"/>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ind w:left="740"/>
              <w:spacing w:after="0"/>
              <w:rPr>
                <w:sz w:val="20"/>
                <w:szCs w:val="20"/>
                <w:color w:val="auto"/>
              </w:rPr>
            </w:pPr>
            <w:r>
              <w:rPr>
                <w:rFonts w:ascii="Arial" w:cs="Arial" w:eastAsia="Arial" w:hAnsi="Arial"/>
                <w:sz w:val="18"/>
                <w:szCs w:val="18"/>
                <w:color w:val="auto"/>
                <w:w w:val="88"/>
              </w:rPr>
              <w:t>—</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91,459</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777</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92,236</w:t>
            </w:r>
          </w:p>
        </w:tc>
        <w:tc>
          <w:tcPr>
            <w:tcW w:w="1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700" w:type="dxa"/>
            <w:vAlign w:val="bottom"/>
          </w:tcPr>
          <w:p>
            <w:pPr>
              <w:spacing w:after="0"/>
              <w:rPr>
                <w:sz w:val="20"/>
                <w:szCs w:val="20"/>
                <w:color w:val="auto"/>
              </w:rPr>
            </w:pPr>
            <w:r>
              <w:rPr>
                <w:rFonts w:ascii="Arial" w:cs="Arial" w:eastAsia="Arial" w:hAnsi="Arial"/>
                <w:sz w:val="18"/>
                <w:szCs w:val="18"/>
                <w:color w:val="auto"/>
              </w:rPr>
              <w:t>Interest rate lock commitments ("IRLCs")</w:t>
            </w: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ind w:left="740"/>
              <w:spacing w:after="0"/>
              <w:rPr>
                <w:sz w:val="20"/>
                <w:szCs w:val="20"/>
                <w:color w:val="auto"/>
              </w:rPr>
            </w:pPr>
            <w:r>
              <w:rPr>
                <w:rFonts w:ascii="Arial" w:cs="Arial" w:eastAsia="Arial" w:hAnsi="Arial"/>
                <w:sz w:val="18"/>
                <w:szCs w:val="18"/>
                <w:color w:val="auto"/>
                <w:w w:val="88"/>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3,680</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3,680</w:t>
            </w: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Forward delivery contracts</w:t>
            </w:r>
          </w:p>
        </w:tc>
        <w:tc>
          <w:tcPr>
            <w:tcW w:w="8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ind w:left="740"/>
              <w:spacing w:after="0"/>
              <w:rPr>
                <w:sz w:val="20"/>
                <w:szCs w:val="20"/>
                <w:color w:val="auto"/>
              </w:rPr>
            </w:pPr>
            <w:r>
              <w:rPr>
                <w:rFonts w:ascii="Arial" w:cs="Arial" w:eastAsia="Arial" w:hAnsi="Arial"/>
                <w:sz w:val="18"/>
                <w:szCs w:val="18"/>
                <w:color w:val="auto"/>
                <w:w w:val="88"/>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2,737</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487</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3,224</w:t>
            </w:r>
          </w:p>
        </w:tc>
        <w:tc>
          <w:tcPr>
            <w:tcW w:w="1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4860" w:type="dxa"/>
            <w:vAlign w:val="bottom"/>
            <w:gridSpan w:val="2"/>
            <w:vMerge w:val="restart"/>
          </w:tcPr>
          <w:p>
            <w:pPr>
              <w:ind w:left="1140"/>
              <w:spacing w:after="0"/>
              <w:rPr>
                <w:sz w:val="20"/>
                <w:szCs w:val="20"/>
                <w:color w:val="auto"/>
              </w:rPr>
            </w:pPr>
            <w:r>
              <w:rPr>
                <w:rFonts w:ascii="Arial" w:cs="Arial" w:eastAsia="Arial" w:hAnsi="Arial"/>
                <w:sz w:val="18"/>
                <w:szCs w:val="18"/>
                <w:color w:val="auto"/>
              </w:rPr>
              <w:t>Total</w:t>
            </w:r>
          </w:p>
        </w:tc>
        <w:tc>
          <w:tcPr>
            <w:tcW w:w="820" w:type="dxa"/>
            <w:vAlign w:val="bottom"/>
          </w:tcPr>
          <w:p>
            <w:pPr>
              <w:spacing w:after="0"/>
              <w:rPr>
                <w:sz w:val="2"/>
                <w:szCs w:val="2"/>
                <w:color w:val="auto"/>
              </w:rPr>
            </w:pPr>
          </w:p>
        </w:tc>
        <w:tc>
          <w:tcPr>
            <w:tcW w:w="160" w:type="dxa"/>
            <w:vAlign w:val="bottom"/>
            <w:gridSpan w:val="2"/>
          </w:tcPr>
          <w:p>
            <w:pPr>
              <w:spacing w:after="0"/>
              <w:rPr>
                <w:sz w:val="2"/>
                <w:szCs w:val="2"/>
                <w:color w:val="auto"/>
              </w:rPr>
            </w:pPr>
          </w:p>
        </w:tc>
        <w:tc>
          <w:tcPr>
            <w:tcW w:w="920" w:type="dxa"/>
            <w:vAlign w:val="bottom"/>
          </w:tcPr>
          <w:p>
            <w:pPr>
              <w:spacing w:after="0"/>
              <w:rPr>
                <w:sz w:val="2"/>
                <w:szCs w:val="2"/>
                <w:color w:val="auto"/>
              </w:rPr>
            </w:pPr>
          </w:p>
        </w:tc>
        <w:tc>
          <w:tcPr>
            <w:tcW w:w="260" w:type="dxa"/>
            <w:vAlign w:val="bottom"/>
            <w:gridSpan w:val="2"/>
          </w:tcPr>
          <w:p>
            <w:pPr>
              <w:spacing w:after="0"/>
              <w:rPr>
                <w:sz w:val="2"/>
                <w:szCs w:val="2"/>
                <w:color w:val="auto"/>
              </w:rPr>
            </w:pPr>
          </w:p>
        </w:tc>
        <w:tc>
          <w:tcPr>
            <w:tcW w:w="720" w:type="dxa"/>
            <w:vAlign w:val="bottom"/>
          </w:tcPr>
          <w:p>
            <w:pPr>
              <w:spacing w:after="0"/>
              <w:rPr>
                <w:sz w:val="2"/>
                <w:szCs w:val="2"/>
                <w:color w:val="auto"/>
              </w:rPr>
            </w:pPr>
          </w:p>
        </w:tc>
        <w:tc>
          <w:tcPr>
            <w:tcW w:w="280" w:type="dxa"/>
            <w:vAlign w:val="bottom"/>
            <w:gridSpan w:val="2"/>
          </w:tcPr>
          <w:p>
            <w:pPr>
              <w:spacing w:after="0"/>
              <w:rPr>
                <w:sz w:val="2"/>
                <w:szCs w:val="2"/>
                <w:color w:val="auto"/>
              </w:rPr>
            </w:pPr>
          </w:p>
        </w:tc>
        <w:tc>
          <w:tcPr>
            <w:tcW w:w="840" w:type="dxa"/>
            <w:vAlign w:val="bottom"/>
          </w:tcPr>
          <w:p>
            <w:pPr>
              <w:spacing w:after="0"/>
              <w:rPr>
                <w:sz w:val="2"/>
                <w:szCs w:val="2"/>
                <w:color w:val="auto"/>
              </w:rPr>
            </w:pPr>
          </w:p>
        </w:tc>
        <w:tc>
          <w:tcPr>
            <w:tcW w:w="280" w:type="dxa"/>
            <w:vAlign w:val="bottom"/>
            <w:gridSpan w:val="2"/>
          </w:tcPr>
          <w:p>
            <w:pPr>
              <w:spacing w:after="0"/>
              <w:rPr>
                <w:sz w:val="2"/>
                <w:szCs w:val="2"/>
                <w:color w:val="auto"/>
              </w:rPr>
            </w:pPr>
          </w:p>
        </w:tc>
        <w:tc>
          <w:tcPr>
            <w:tcW w:w="9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4860" w:type="dxa"/>
            <w:vAlign w:val="bottom"/>
            <w:gridSpan w:val="2"/>
            <w:vMerge w:val="continue"/>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Borders>
              <w:top w:val="single" w:sz="8" w:color="auto"/>
            </w:tcBorders>
          </w:tcPr>
          <w:p>
            <w:pPr>
              <w:jc w:val="center"/>
              <w:ind w:right="9"/>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tcBorders>
          </w:tcPr>
          <w:p>
            <w:pPr>
              <w:ind w:left="740"/>
              <w:spacing w:after="0"/>
              <w:rPr>
                <w:sz w:val="20"/>
                <w:szCs w:val="20"/>
                <w:color w:val="auto"/>
              </w:rPr>
            </w:pPr>
            <w:r>
              <w:rPr>
                <w:rFonts w:ascii="Arial" w:cs="Arial" w:eastAsia="Arial" w:hAnsi="Arial"/>
                <w:sz w:val="18"/>
                <w:szCs w:val="18"/>
                <w:color w:val="auto"/>
                <w:w w:val="88"/>
              </w:rPr>
              <w:t>—</w:t>
            </w:r>
          </w:p>
        </w:tc>
        <w:tc>
          <w:tcPr>
            <w:tcW w:w="16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94,196</w:t>
            </w:r>
          </w:p>
        </w:tc>
        <w:tc>
          <w:tcPr>
            <w:tcW w:w="16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4,944</w:t>
            </w:r>
          </w:p>
        </w:tc>
        <w:tc>
          <w:tcPr>
            <w:tcW w:w="16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99,140</w:t>
            </w: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1160" w:type="dxa"/>
            <w:vAlign w:val="bottom"/>
          </w:tcPr>
          <w:p>
            <w:pPr>
              <w:spacing w:after="0" w:line="20" w:lineRule="exact"/>
              <w:rPr>
                <w:sz w:val="1"/>
                <w:szCs w:val="1"/>
                <w:color w:val="auto"/>
              </w:rPr>
            </w:pPr>
          </w:p>
        </w:tc>
        <w:tc>
          <w:tcPr>
            <w:tcW w:w="37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60" w:type="dxa"/>
            <w:vAlign w:val="bottom"/>
            <w:tcBorders>
              <w:bottom w:val="single" w:sz="8" w:color="auto"/>
            </w:tcBorders>
            <w:gridSpan w:val="2"/>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3700" w:type="dxa"/>
            <w:vAlign w:val="bottom"/>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1"/>
        </w:trPr>
        <w:tc>
          <w:tcPr>
            <w:tcW w:w="1160" w:type="dxa"/>
            <w:vAlign w:val="bottom"/>
          </w:tcPr>
          <w:p>
            <w:pPr>
              <w:spacing w:after="0"/>
              <w:rPr>
                <w:sz w:val="24"/>
                <w:szCs w:val="24"/>
                <w:color w:val="auto"/>
              </w:rPr>
            </w:pPr>
          </w:p>
        </w:tc>
        <w:tc>
          <w:tcPr>
            <w:tcW w:w="3700" w:type="dxa"/>
            <w:vAlign w:val="bottom"/>
          </w:tcPr>
          <w:p>
            <w:pPr>
              <w:spacing w:after="0"/>
              <w:rPr>
                <w:sz w:val="24"/>
                <w:szCs w:val="24"/>
                <w:color w:val="auto"/>
              </w:rPr>
            </w:pPr>
          </w:p>
        </w:tc>
        <w:tc>
          <w:tcPr>
            <w:tcW w:w="980" w:type="dxa"/>
            <w:vAlign w:val="bottom"/>
            <w:gridSpan w:val="3"/>
          </w:tcPr>
          <w:p>
            <w:pPr>
              <w:jc w:val="center"/>
              <w:ind w:left="632"/>
              <w:spacing w:after="0"/>
              <w:rPr>
                <w:sz w:val="20"/>
                <w:szCs w:val="20"/>
                <w:color w:val="auto"/>
              </w:rPr>
            </w:pPr>
            <w:r>
              <w:rPr>
                <w:rFonts w:ascii="Arial" w:cs="Arial" w:eastAsia="Arial" w:hAnsi="Arial"/>
                <w:sz w:val="18"/>
                <w:szCs w:val="18"/>
                <w:color w:val="auto"/>
                <w:w w:val="89"/>
              </w:rPr>
              <w:t>24</w:t>
            </w:r>
          </w:p>
        </w:tc>
        <w:tc>
          <w:tcPr>
            <w:tcW w:w="9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1160" w:type="dxa"/>
            <w:vAlign w:val="bottom"/>
            <w:tcBorders>
              <w:bottom w:val="single" w:sz="8" w:color="808080"/>
            </w:tcBorders>
          </w:tcPr>
          <w:p>
            <w:pPr>
              <w:spacing w:after="0"/>
              <w:rPr>
                <w:sz w:val="19"/>
                <w:szCs w:val="19"/>
                <w:color w:val="auto"/>
              </w:rPr>
            </w:pPr>
          </w:p>
        </w:tc>
        <w:tc>
          <w:tcPr>
            <w:tcW w:w="3700" w:type="dxa"/>
            <w:vAlign w:val="bottom"/>
            <w:tcBorders>
              <w:bottom w:val="single" w:sz="8" w:color="808080"/>
            </w:tcBorders>
          </w:tcPr>
          <w:p>
            <w:pPr>
              <w:spacing w:after="0"/>
              <w:rPr>
                <w:sz w:val="19"/>
                <w:szCs w:val="19"/>
                <w:color w:val="auto"/>
              </w:rPr>
            </w:pPr>
          </w:p>
        </w:tc>
        <w:tc>
          <w:tcPr>
            <w:tcW w:w="82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92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72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84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98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14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5" w:name="page26"/>
    <w:bookmarkEnd w:id="2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TREE.COM, INC. AND SUBSIDIARIES</w:t>
      </w:r>
    </w:p>
    <w:p>
      <w:pPr>
        <w:spacing w:after="0" w:line="225" w:lineRule="exact"/>
        <w:rPr>
          <w:sz w:val="20"/>
          <w:szCs w:val="20"/>
          <w:color w:val="auto"/>
        </w:rPr>
      </w:pPr>
    </w:p>
    <w:p>
      <w:pPr>
        <w:ind w:left="294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9—FAIR VALUE MEASUREMENTS (Continued)</w:t>
      </w:r>
    </w:p>
    <w:p>
      <w:pPr>
        <w:spacing w:after="0" w:line="231" w:lineRule="exact"/>
        <w:rPr>
          <w:sz w:val="20"/>
          <w:szCs w:val="20"/>
          <w:color w:val="auto"/>
        </w:rPr>
      </w:pPr>
    </w:p>
    <w:p>
      <w:pPr>
        <w:ind w:right="360" w:firstLine="348"/>
        <w:spacing w:after="0" w:line="268" w:lineRule="auto"/>
        <w:rPr>
          <w:sz w:val="20"/>
          <w:szCs w:val="20"/>
          <w:color w:val="auto"/>
        </w:rPr>
      </w:pPr>
      <w:r>
        <w:rPr>
          <w:rFonts w:ascii="Arial" w:cs="Arial" w:eastAsia="Arial" w:hAnsi="Arial"/>
          <w:sz w:val="18"/>
          <w:szCs w:val="18"/>
          <w:color w:val="auto"/>
        </w:rPr>
        <w:t>The following presents the changes in Tree.com's assets and liabilities that are measured at fair value on a recurring basis using significant unobservable inputs (Level 3) for the three and nine months ended September 30, 2010 and 2009 (in thousands):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300" w:type="dxa"/>
            <w:vAlign w:val="bottom"/>
          </w:tcPr>
          <w:p>
            <w:pPr>
              <w:spacing w:after="0"/>
              <w:rPr>
                <w:sz w:val="14"/>
                <w:szCs w:val="14"/>
                <w:color w:val="auto"/>
              </w:rPr>
            </w:pPr>
          </w:p>
        </w:tc>
        <w:tc>
          <w:tcPr>
            <w:tcW w:w="4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920" w:type="dxa"/>
            <w:vAlign w:val="bottom"/>
            <w:gridSpan w:val="5"/>
          </w:tcPr>
          <w:p>
            <w:pPr>
              <w:jc w:val="center"/>
              <w:ind w:left="418"/>
              <w:spacing w:after="0"/>
              <w:rPr>
                <w:sz w:val="20"/>
                <w:szCs w:val="20"/>
                <w:color w:val="auto"/>
              </w:rPr>
            </w:pPr>
            <w:r>
              <w:rPr>
                <w:rFonts w:ascii="Arial" w:cs="Arial" w:eastAsia="Arial" w:hAnsi="Arial"/>
                <w:sz w:val="14"/>
                <w:szCs w:val="14"/>
                <w:b w:val="1"/>
                <w:bCs w:val="1"/>
                <w:color w:val="auto"/>
                <w:w w:val="89"/>
              </w:rPr>
              <w:t>Three Months</w:t>
            </w: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300" w:type="dxa"/>
            <w:vAlign w:val="bottom"/>
          </w:tcPr>
          <w:p>
            <w:pPr>
              <w:spacing w:after="0"/>
              <w:rPr>
                <w:sz w:val="14"/>
                <w:szCs w:val="14"/>
                <w:color w:val="auto"/>
              </w:rPr>
            </w:pPr>
          </w:p>
        </w:tc>
        <w:tc>
          <w:tcPr>
            <w:tcW w:w="40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020" w:type="dxa"/>
            <w:vAlign w:val="bottom"/>
            <w:tcBorders>
              <w:bottom w:val="single" w:sz="8" w:color="auto"/>
            </w:tcBorders>
            <w:gridSpan w:val="6"/>
          </w:tcPr>
          <w:p>
            <w:pPr>
              <w:jc w:val="center"/>
              <w:ind w:left="318"/>
              <w:spacing w:after="0"/>
              <w:rPr>
                <w:sz w:val="20"/>
                <w:szCs w:val="20"/>
                <w:color w:val="auto"/>
              </w:rPr>
            </w:pPr>
            <w:r>
              <w:rPr>
                <w:rFonts w:ascii="Arial" w:cs="Arial" w:eastAsia="Arial" w:hAnsi="Arial"/>
                <w:sz w:val="14"/>
                <w:szCs w:val="14"/>
                <w:b w:val="1"/>
                <w:bCs w:val="1"/>
                <w:color w:val="auto"/>
                <w:w w:val="86"/>
              </w:rPr>
              <w:t>Ended September 30, 2010</w:t>
            </w:r>
          </w:p>
        </w:tc>
        <w:tc>
          <w:tcPr>
            <w:tcW w:w="52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300" w:type="dxa"/>
            <w:vAlign w:val="bottom"/>
          </w:tcPr>
          <w:p>
            <w:pPr>
              <w:spacing w:after="0"/>
              <w:rPr>
                <w:sz w:val="11"/>
                <w:szCs w:val="11"/>
                <w:color w:val="auto"/>
              </w:rPr>
            </w:pPr>
          </w:p>
        </w:tc>
        <w:tc>
          <w:tcPr>
            <w:tcW w:w="40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gridSpan w:val="2"/>
          </w:tcPr>
          <w:p>
            <w:pPr>
              <w:jc w:val="center"/>
              <w:ind w:right="260"/>
              <w:spacing w:after="0" w:line="129" w:lineRule="exact"/>
              <w:rPr>
                <w:sz w:val="20"/>
                <w:szCs w:val="20"/>
                <w:color w:val="auto"/>
              </w:rPr>
            </w:pPr>
            <w:r>
              <w:rPr>
                <w:rFonts w:ascii="Arial" w:cs="Arial" w:eastAsia="Arial" w:hAnsi="Arial"/>
                <w:sz w:val="14"/>
                <w:szCs w:val="14"/>
                <w:b w:val="1"/>
                <w:bCs w:val="1"/>
                <w:color w:val="auto"/>
                <w:w w:val="89"/>
              </w:rPr>
              <w:t>Interest Rate</w:t>
            </w:r>
          </w:p>
        </w:tc>
        <w:tc>
          <w:tcPr>
            <w:tcW w:w="100" w:type="dxa"/>
            <w:vAlign w:val="bottom"/>
          </w:tcPr>
          <w:p>
            <w:pPr>
              <w:spacing w:after="0"/>
              <w:rPr>
                <w:sz w:val="11"/>
                <w:szCs w:val="11"/>
                <w:color w:val="auto"/>
              </w:rPr>
            </w:pPr>
          </w:p>
        </w:tc>
        <w:tc>
          <w:tcPr>
            <w:tcW w:w="800" w:type="dxa"/>
            <w:vAlign w:val="bottom"/>
            <w:gridSpan w:val="2"/>
          </w:tcPr>
          <w:p>
            <w:pPr>
              <w:jc w:val="center"/>
              <w:ind w:right="260"/>
              <w:spacing w:after="0" w:line="129" w:lineRule="exact"/>
              <w:rPr>
                <w:sz w:val="20"/>
                <w:szCs w:val="20"/>
                <w:color w:val="auto"/>
              </w:rPr>
            </w:pPr>
            <w:r>
              <w:rPr>
                <w:rFonts w:ascii="Arial" w:cs="Arial" w:eastAsia="Arial" w:hAnsi="Arial"/>
                <w:sz w:val="14"/>
                <w:szCs w:val="14"/>
                <w:b w:val="1"/>
                <w:bCs w:val="1"/>
                <w:color w:val="auto"/>
                <w:w w:val="90"/>
              </w:rPr>
              <w:t>Forward</w:t>
            </w:r>
          </w:p>
        </w:tc>
        <w:tc>
          <w:tcPr>
            <w:tcW w:w="100" w:type="dxa"/>
            <w:vAlign w:val="bottom"/>
          </w:tcPr>
          <w:p>
            <w:pPr>
              <w:spacing w:after="0"/>
              <w:rPr>
                <w:sz w:val="11"/>
                <w:szCs w:val="11"/>
                <w:color w:val="auto"/>
              </w:rPr>
            </w:pPr>
          </w:p>
        </w:tc>
        <w:tc>
          <w:tcPr>
            <w:tcW w:w="520" w:type="dxa"/>
            <w:vAlign w:val="bottom"/>
          </w:tcPr>
          <w:p>
            <w:pPr>
              <w:jc w:val="center"/>
              <w:ind w:right="36"/>
              <w:spacing w:after="0" w:line="129" w:lineRule="exact"/>
              <w:rPr>
                <w:sz w:val="20"/>
                <w:szCs w:val="20"/>
                <w:color w:val="auto"/>
              </w:rPr>
            </w:pPr>
            <w:r>
              <w:rPr>
                <w:rFonts w:ascii="Arial" w:cs="Arial" w:eastAsia="Arial" w:hAnsi="Arial"/>
                <w:sz w:val="14"/>
                <w:szCs w:val="14"/>
                <w:b w:val="1"/>
                <w:bCs w:val="1"/>
                <w:color w:val="auto"/>
                <w:w w:val="87"/>
              </w:rPr>
              <w:t>Loans</w:t>
            </w:r>
          </w:p>
        </w:tc>
        <w:tc>
          <w:tcPr>
            <w:tcW w:w="2440" w:type="dxa"/>
            <w:vAlign w:val="bottom"/>
            <w:gridSpan w:val="2"/>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300" w:type="dxa"/>
            <w:vAlign w:val="bottom"/>
          </w:tcPr>
          <w:p>
            <w:pPr>
              <w:spacing w:after="0"/>
              <w:rPr>
                <w:sz w:val="12"/>
                <w:szCs w:val="12"/>
                <w:color w:val="auto"/>
              </w:rPr>
            </w:pPr>
          </w:p>
        </w:tc>
        <w:tc>
          <w:tcPr>
            <w:tcW w:w="4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1"/>
              </w:rPr>
              <w:t>Lock</w:t>
            </w:r>
          </w:p>
        </w:tc>
        <w:tc>
          <w:tcPr>
            <w:tcW w:w="100" w:type="dxa"/>
            <w:vAlign w:val="bottom"/>
          </w:tcPr>
          <w:p>
            <w:pPr>
              <w:spacing w:after="0"/>
              <w:rPr>
                <w:sz w:val="12"/>
                <w:szCs w:val="12"/>
                <w:color w:val="auto"/>
              </w:rPr>
            </w:pPr>
          </w:p>
        </w:tc>
        <w:tc>
          <w:tcPr>
            <w:tcW w:w="8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1"/>
              </w:rPr>
              <w:t>Delivery</w:t>
            </w:r>
          </w:p>
        </w:tc>
        <w:tc>
          <w:tcPr>
            <w:tcW w:w="100" w:type="dxa"/>
            <w:vAlign w:val="bottom"/>
          </w:tcPr>
          <w:p>
            <w:pPr>
              <w:spacing w:after="0"/>
              <w:rPr>
                <w:sz w:val="12"/>
                <w:szCs w:val="12"/>
                <w:color w:val="auto"/>
              </w:rPr>
            </w:pPr>
          </w:p>
        </w:tc>
        <w:tc>
          <w:tcPr>
            <w:tcW w:w="2960" w:type="dxa"/>
            <w:vAlign w:val="bottom"/>
            <w:gridSpan w:val="3"/>
          </w:tcPr>
          <w:p>
            <w:pPr>
              <w:jc w:val="center"/>
              <w:ind w:right="2560"/>
              <w:spacing w:after="0" w:line="149" w:lineRule="exact"/>
              <w:rPr>
                <w:sz w:val="20"/>
                <w:szCs w:val="20"/>
                <w:color w:val="auto"/>
              </w:rPr>
            </w:pPr>
            <w:r>
              <w:rPr>
                <w:rFonts w:ascii="Arial" w:cs="Arial" w:eastAsia="Arial" w:hAnsi="Arial"/>
                <w:sz w:val="14"/>
                <w:szCs w:val="14"/>
                <w:b w:val="1"/>
                <w:bCs w:val="1"/>
                <w:color w:val="auto"/>
                <w:w w:val="92"/>
              </w:rPr>
              <w:t>Held</w:t>
            </w:r>
          </w:p>
        </w:tc>
        <w:tc>
          <w:tcPr>
            <w:tcW w:w="0" w:type="dxa"/>
            <w:vAlign w:val="bottom"/>
          </w:tcPr>
          <w:p>
            <w:pPr>
              <w:spacing w:after="0"/>
              <w:rPr>
                <w:sz w:val="1"/>
                <w:szCs w:val="1"/>
                <w:color w:val="auto"/>
              </w:rPr>
            </w:pPr>
          </w:p>
        </w:tc>
      </w:tr>
      <w:tr>
        <w:trPr>
          <w:trHeight w:val="161"/>
        </w:trPr>
        <w:tc>
          <w:tcPr>
            <w:tcW w:w="2300" w:type="dxa"/>
            <w:vAlign w:val="bottom"/>
          </w:tcPr>
          <w:p>
            <w:pPr>
              <w:spacing w:after="0"/>
              <w:rPr>
                <w:sz w:val="14"/>
                <w:szCs w:val="14"/>
                <w:color w:val="auto"/>
              </w:rPr>
            </w:pPr>
          </w:p>
        </w:tc>
        <w:tc>
          <w:tcPr>
            <w:tcW w:w="4020" w:type="dxa"/>
            <w:vAlign w:val="bottom"/>
          </w:tcPr>
          <w:p>
            <w:pPr>
              <w:spacing w:after="0"/>
              <w:rPr>
                <w:sz w:val="14"/>
                <w:szCs w:val="14"/>
                <w:color w:val="auto"/>
              </w:rPr>
            </w:pPr>
          </w:p>
        </w:tc>
        <w:tc>
          <w:tcPr>
            <w:tcW w:w="98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7"/>
              </w:rPr>
              <w:t>Commitments</w:t>
            </w:r>
          </w:p>
        </w:tc>
        <w:tc>
          <w:tcPr>
            <w:tcW w:w="160" w:type="dxa"/>
            <w:vAlign w:val="bottom"/>
          </w:tcPr>
          <w:p>
            <w:pPr>
              <w:spacing w:after="0"/>
              <w:rPr>
                <w:sz w:val="14"/>
                <w:szCs w:val="14"/>
                <w:color w:val="auto"/>
              </w:rPr>
            </w:pPr>
          </w:p>
        </w:tc>
        <w:tc>
          <w:tcPr>
            <w:tcW w:w="74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8"/>
              </w:rPr>
              <w:t>Contracts</w:t>
            </w:r>
          </w:p>
        </w:tc>
        <w:tc>
          <w:tcPr>
            <w:tcW w:w="160" w:type="dxa"/>
            <w:vAlign w:val="bottom"/>
          </w:tcPr>
          <w:p>
            <w:pPr>
              <w:spacing w:after="0"/>
              <w:rPr>
                <w:sz w:val="14"/>
                <w:szCs w:val="14"/>
                <w:color w:val="auto"/>
              </w:rPr>
            </w:pPr>
          </w:p>
        </w:tc>
        <w:tc>
          <w:tcPr>
            <w:tcW w:w="62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5"/>
              </w:rPr>
              <w:t>for Sale</w:t>
            </w:r>
          </w:p>
        </w:tc>
        <w:tc>
          <w:tcPr>
            <w:tcW w:w="244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300" w:type="dxa"/>
            <w:vAlign w:val="bottom"/>
          </w:tcPr>
          <w:p>
            <w:pPr>
              <w:spacing w:after="0"/>
              <w:rPr>
                <w:sz w:val="18"/>
                <w:szCs w:val="18"/>
                <w:color w:val="auto"/>
              </w:rPr>
            </w:pPr>
          </w:p>
        </w:tc>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Balance at July 1, 2010</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10,848</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957</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00" w:type="dxa"/>
            <w:vAlign w:val="bottom"/>
          </w:tcPr>
          <w:p>
            <w:pPr>
              <w:spacing w:after="0"/>
              <w:rPr>
                <w:sz w:val="18"/>
                <w:szCs w:val="18"/>
                <w:color w:val="auto"/>
              </w:rPr>
            </w:pPr>
          </w:p>
        </w:tc>
        <w:tc>
          <w:tcPr>
            <w:tcW w:w="4020" w:type="dxa"/>
            <w:vAlign w:val="bottom"/>
          </w:tcPr>
          <w:p>
            <w:pPr>
              <w:ind w:left="120"/>
              <w:spacing w:after="0"/>
              <w:rPr>
                <w:sz w:val="20"/>
                <w:szCs w:val="20"/>
                <w:color w:val="auto"/>
              </w:rPr>
            </w:pPr>
            <w:r>
              <w:rPr>
                <w:rFonts w:ascii="Arial" w:cs="Arial" w:eastAsia="Arial" w:hAnsi="Arial"/>
                <w:sz w:val="18"/>
                <w:szCs w:val="18"/>
                <w:color w:val="auto"/>
              </w:rPr>
              <w:t>Transfers into Level 3</w:t>
            </w:r>
          </w:p>
        </w:tc>
        <w:tc>
          <w:tcPr>
            <w:tcW w:w="12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8"/>
                <w:szCs w:val="18"/>
                <w:color w:val="auto"/>
              </w:rPr>
              <w:t>378</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00" w:type="dxa"/>
            <w:vAlign w:val="bottom"/>
          </w:tcPr>
          <w:p>
            <w:pPr>
              <w:spacing w:after="0"/>
              <w:rPr>
                <w:sz w:val="18"/>
                <w:szCs w:val="18"/>
                <w:color w:val="auto"/>
              </w:rPr>
            </w:pPr>
          </w:p>
        </w:tc>
        <w:tc>
          <w:tcPr>
            <w:tcW w:w="40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Transfers out of Level 3</w:t>
            </w: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300" w:type="dxa"/>
            <w:vAlign w:val="bottom"/>
          </w:tcPr>
          <w:p>
            <w:pPr>
              <w:spacing w:after="0"/>
              <w:rPr>
                <w:sz w:val="18"/>
                <w:szCs w:val="18"/>
                <w:color w:val="auto"/>
              </w:rPr>
            </w:pPr>
          </w:p>
        </w:tc>
        <w:tc>
          <w:tcPr>
            <w:tcW w:w="4020" w:type="dxa"/>
            <w:vAlign w:val="bottom"/>
          </w:tcPr>
          <w:p>
            <w:pPr>
              <w:ind w:left="120"/>
              <w:spacing w:after="0"/>
              <w:rPr>
                <w:sz w:val="20"/>
                <w:szCs w:val="20"/>
                <w:color w:val="auto"/>
              </w:rPr>
            </w:pPr>
            <w:r>
              <w:rPr>
                <w:rFonts w:ascii="Arial" w:cs="Arial" w:eastAsia="Arial" w:hAnsi="Arial"/>
                <w:sz w:val="18"/>
                <w:szCs w:val="18"/>
                <w:color w:val="auto"/>
                <w:w w:val="91"/>
              </w:rPr>
              <w:t>Total net gains (losses) included in earnings (realized</w:t>
            </w: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300" w:type="dxa"/>
            <w:vAlign w:val="bottom"/>
          </w:tcPr>
          <w:p>
            <w:pPr>
              <w:spacing w:after="0"/>
              <w:rPr>
                <w:sz w:val="19"/>
                <w:szCs w:val="19"/>
                <w:color w:val="auto"/>
              </w:rPr>
            </w:pPr>
          </w:p>
        </w:tc>
        <w:tc>
          <w:tcPr>
            <w:tcW w:w="4020" w:type="dxa"/>
            <w:vAlign w:val="bottom"/>
          </w:tcPr>
          <w:p>
            <w:pPr>
              <w:ind w:left="300"/>
              <w:spacing w:after="0"/>
              <w:rPr>
                <w:sz w:val="20"/>
                <w:szCs w:val="20"/>
                <w:color w:val="auto"/>
              </w:rPr>
            </w:pPr>
            <w:r>
              <w:rPr>
                <w:rFonts w:ascii="Arial" w:cs="Arial" w:eastAsia="Arial" w:hAnsi="Arial"/>
                <w:sz w:val="18"/>
                <w:szCs w:val="18"/>
                <w:color w:val="auto"/>
              </w:rPr>
              <w:t>and unrealized)</w:t>
            </w:r>
          </w:p>
        </w:tc>
        <w:tc>
          <w:tcPr>
            <w:tcW w:w="1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33,683</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20</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(34)</w:t>
            </w:r>
          </w:p>
        </w:tc>
        <w:tc>
          <w:tcPr>
            <w:tcW w:w="2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300" w:type="dxa"/>
            <w:vAlign w:val="bottom"/>
          </w:tcPr>
          <w:p>
            <w:pPr>
              <w:spacing w:after="0"/>
              <w:rPr>
                <w:sz w:val="18"/>
                <w:szCs w:val="18"/>
                <w:color w:val="auto"/>
              </w:rPr>
            </w:pPr>
          </w:p>
        </w:tc>
        <w:tc>
          <w:tcPr>
            <w:tcW w:w="40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Purchases, sales, and settlements</w:t>
            </w: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00" w:type="dxa"/>
            <w:vAlign w:val="bottom"/>
          </w:tcPr>
          <w:p>
            <w:pPr>
              <w:spacing w:after="0"/>
              <w:rPr>
                <w:sz w:val="18"/>
                <w:szCs w:val="18"/>
                <w:color w:val="auto"/>
              </w:rPr>
            </w:pPr>
          </w:p>
        </w:tc>
        <w:tc>
          <w:tcPr>
            <w:tcW w:w="4020" w:type="dxa"/>
            <w:vAlign w:val="bottom"/>
          </w:tcPr>
          <w:p>
            <w:pPr>
              <w:ind w:left="260"/>
              <w:spacing w:after="0"/>
              <w:rPr>
                <w:sz w:val="20"/>
                <w:szCs w:val="20"/>
                <w:color w:val="auto"/>
              </w:rPr>
            </w:pPr>
            <w:r>
              <w:rPr>
                <w:rFonts w:ascii="Arial" w:cs="Arial" w:eastAsia="Arial" w:hAnsi="Arial"/>
                <w:sz w:val="18"/>
                <w:szCs w:val="18"/>
                <w:color w:val="auto"/>
              </w:rPr>
              <w:t>Purchases</w:t>
            </w:r>
          </w:p>
        </w:tc>
        <w:tc>
          <w:tcPr>
            <w:tcW w:w="12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00" w:type="dxa"/>
            <w:vAlign w:val="bottom"/>
          </w:tcPr>
          <w:p>
            <w:pPr>
              <w:spacing w:after="0"/>
              <w:rPr>
                <w:sz w:val="18"/>
                <w:szCs w:val="18"/>
                <w:color w:val="auto"/>
              </w:rPr>
            </w:pPr>
          </w:p>
        </w:tc>
        <w:tc>
          <w:tcPr>
            <w:tcW w:w="4020" w:type="dxa"/>
            <w:vAlign w:val="bottom"/>
            <w:shd w:val="clear" w:color="auto" w:fill="CCEEFF"/>
          </w:tcPr>
          <w:p>
            <w:pPr>
              <w:ind w:left="260"/>
              <w:spacing w:after="0"/>
              <w:rPr>
                <w:sz w:val="20"/>
                <w:szCs w:val="20"/>
                <w:color w:val="auto"/>
              </w:rPr>
            </w:pPr>
            <w:r>
              <w:rPr>
                <w:rFonts w:ascii="Arial" w:cs="Arial" w:eastAsia="Arial" w:hAnsi="Arial"/>
                <w:sz w:val="18"/>
                <w:szCs w:val="18"/>
                <w:color w:val="auto"/>
              </w:rPr>
              <w:t>Sales</w:t>
            </w: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(262)</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00" w:type="dxa"/>
            <w:vAlign w:val="bottom"/>
          </w:tcPr>
          <w:p>
            <w:pPr>
              <w:spacing w:after="0"/>
              <w:rPr>
                <w:sz w:val="18"/>
                <w:szCs w:val="18"/>
                <w:color w:val="auto"/>
              </w:rPr>
            </w:pPr>
          </w:p>
        </w:tc>
        <w:tc>
          <w:tcPr>
            <w:tcW w:w="4020" w:type="dxa"/>
            <w:vAlign w:val="bottom"/>
          </w:tcPr>
          <w:p>
            <w:pPr>
              <w:ind w:left="260"/>
              <w:spacing w:after="0"/>
              <w:rPr>
                <w:sz w:val="20"/>
                <w:szCs w:val="20"/>
                <w:color w:val="auto"/>
              </w:rPr>
            </w:pPr>
            <w:r>
              <w:rPr>
                <w:rFonts w:ascii="Arial" w:cs="Arial" w:eastAsia="Arial" w:hAnsi="Arial"/>
                <w:sz w:val="18"/>
                <w:szCs w:val="18"/>
                <w:color w:val="auto"/>
              </w:rPr>
              <w:t>Settlements</w:t>
            </w:r>
          </w:p>
        </w:tc>
        <w:tc>
          <w:tcPr>
            <w:tcW w:w="1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(3,533)</w:t>
            </w:r>
          </w:p>
        </w:tc>
        <w:tc>
          <w:tcPr>
            <w:tcW w:w="10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(3)</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00" w:type="dxa"/>
            <w:vAlign w:val="bottom"/>
          </w:tcPr>
          <w:p>
            <w:pPr>
              <w:spacing w:after="0"/>
              <w:rPr>
                <w:sz w:val="18"/>
                <w:szCs w:val="18"/>
                <w:color w:val="auto"/>
              </w:rPr>
            </w:pPr>
          </w:p>
        </w:tc>
        <w:tc>
          <w:tcPr>
            <w:tcW w:w="40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Transfers of IRLCs to closed loans</w:t>
            </w: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(30,749)</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6320" w:type="dxa"/>
            <w:vAlign w:val="bottom"/>
            <w:gridSpan w:val="2"/>
            <w:vMerge w:val="restart"/>
          </w:tcPr>
          <w:p>
            <w:pPr>
              <w:ind w:left="2300"/>
              <w:spacing w:after="0"/>
              <w:rPr>
                <w:sz w:val="20"/>
                <w:szCs w:val="20"/>
                <w:color w:val="auto"/>
              </w:rPr>
            </w:pPr>
            <w:r>
              <w:rPr>
                <w:rFonts w:ascii="Arial" w:cs="Arial" w:eastAsia="Arial" w:hAnsi="Arial"/>
                <w:sz w:val="18"/>
                <w:szCs w:val="18"/>
                <w:color w:val="auto"/>
              </w:rPr>
              <w:t>Balance at September 30, 2010</w:t>
            </w: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gridSpan w:val="2"/>
          </w:tcPr>
          <w:p>
            <w:pPr>
              <w:spacing w:after="0"/>
              <w:rPr>
                <w:sz w:val="2"/>
                <w:szCs w:val="2"/>
                <w:color w:val="auto"/>
              </w:rPr>
            </w:pPr>
          </w:p>
        </w:tc>
        <w:tc>
          <w:tcPr>
            <w:tcW w:w="22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6320" w:type="dxa"/>
            <w:vAlign w:val="bottom"/>
            <w:gridSpan w:val="2"/>
            <w:vMerge w:val="continue"/>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10,249</w:t>
            </w:r>
          </w:p>
        </w:tc>
        <w:tc>
          <w:tcPr>
            <w:tcW w:w="16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w:t>
            </w:r>
          </w:p>
        </w:tc>
        <w:tc>
          <w:tcPr>
            <w:tcW w:w="16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1,036</w:t>
            </w:r>
          </w:p>
        </w:tc>
        <w:tc>
          <w:tcPr>
            <w:tcW w:w="16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300" w:type="dxa"/>
            <w:vAlign w:val="bottom"/>
          </w:tcPr>
          <w:p>
            <w:pPr>
              <w:spacing w:after="0" w:line="20" w:lineRule="exact"/>
              <w:rPr>
                <w:sz w:val="1"/>
                <w:szCs w:val="1"/>
                <w:color w:val="auto"/>
              </w:rPr>
            </w:pPr>
          </w:p>
        </w:tc>
        <w:tc>
          <w:tcPr>
            <w:tcW w:w="40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Borders>
              <w:bottom w:val="single" w:sz="8" w:color="auto"/>
            </w:tcBorders>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2300" w:type="dxa"/>
            <w:vAlign w:val="bottom"/>
          </w:tcPr>
          <w:p>
            <w:pPr>
              <w:spacing w:after="0" w:line="20" w:lineRule="exact"/>
              <w:rPr>
                <w:sz w:val="1"/>
                <w:szCs w:val="1"/>
                <w:color w:val="auto"/>
              </w:rPr>
            </w:pPr>
          </w:p>
        </w:tc>
        <w:tc>
          <w:tcPr>
            <w:tcW w:w="40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Borders>
              <w:bottom w:val="single" w:sz="8" w:color="auto"/>
            </w:tcBorders>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65"/>
        </w:trPr>
        <w:tc>
          <w:tcPr>
            <w:tcW w:w="2300" w:type="dxa"/>
            <w:vAlign w:val="bottom"/>
          </w:tcPr>
          <w:p>
            <w:pPr>
              <w:spacing w:after="0"/>
              <w:rPr>
                <w:sz w:val="24"/>
                <w:szCs w:val="24"/>
                <w:color w:val="auto"/>
              </w:rPr>
            </w:pPr>
          </w:p>
        </w:tc>
        <w:tc>
          <w:tcPr>
            <w:tcW w:w="4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920" w:type="dxa"/>
            <w:vAlign w:val="bottom"/>
            <w:gridSpan w:val="5"/>
          </w:tcPr>
          <w:p>
            <w:pPr>
              <w:jc w:val="center"/>
              <w:ind w:left="418"/>
              <w:spacing w:after="0"/>
              <w:rPr>
                <w:sz w:val="20"/>
                <w:szCs w:val="20"/>
                <w:color w:val="auto"/>
              </w:rPr>
            </w:pPr>
            <w:r>
              <w:rPr>
                <w:rFonts w:ascii="Arial" w:cs="Arial" w:eastAsia="Arial" w:hAnsi="Arial"/>
                <w:sz w:val="14"/>
                <w:szCs w:val="14"/>
                <w:b w:val="1"/>
                <w:bCs w:val="1"/>
                <w:color w:val="auto"/>
                <w:w w:val="88"/>
              </w:rPr>
              <w:t>Nine Months</w:t>
            </w: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1"/>
        </w:trPr>
        <w:tc>
          <w:tcPr>
            <w:tcW w:w="2300" w:type="dxa"/>
            <w:vAlign w:val="bottom"/>
          </w:tcPr>
          <w:p>
            <w:pPr>
              <w:spacing w:after="0"/>
              <w:rPr>
                <w:sz w:val="14"/>
                <w:szCs w:val="14"/>
                <w:color w:val="auto"/>
              </w:rPr>
            </w:pPr>
          </w:p>
        </w:tc>
        <w:tc>
          <w:tcPr>
            <w:tcW w:w="40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020" w:type="dxa"/>
            <w:vAlign w:val="bottom"/>
            <w:tcBorders>
              <w:bottom w:val="single" w:sz="8" w:color="auto"/>
            </w:tcBorders>
            <w:gridSpan w:val="6"/>
          </w:tcPr>
          <w:p>
            <w:pPr>
              <w:jc w:val="center"/>
              <w:ind w:left="318"/>
              <w:spacing w:after="0"/>
              <w:rPr>
                <w:sz w:val="20"/>
                <w:szCs w:val="20"/>
                <w:color w:val="auto"/>
              </w:rPr>
            </w:pPr>
            <w:r>
              <w:rPr>
                <w:rFonts w:ascii="Arial" w:cs="Arial" w:eastAsia="Arial" w:hAnsi="Arial"/>
                <w:sz w:val="14"/>
                <w:szCs w:val="14"/>
                <w:b w:val="1"/>
                <w:bCs w:val="1"/>
                <w:color w:val="auto"/>
                <w:w w:val="86"/>
              </w:rPr>
              <w:t>Ended September 30, 2010</w:t>
            </w:r>
          </w:p>
        </w:tc>
        <w:tc>
          <w:tcPr>
            <w:tcW w:w="52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300" w:type="dxa"/>
            <w:vAlign w:val="bottom"/>
          </w:tcPr>
          <w:p>
            <w:pPr>
              <w:spacing w:after="0"/>
              <w:rPr>
                <w:sz w:val="11"/>
                <w:szCs w:val="11"/>
                <w:color w:val="auto"/>
              </w:rPr>
            </w:pPr>
          </w:p>
        </w:tc>
        <w:tc>
          <w:tcPr>
            <w:tcW w:w="40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gridSpan w:val="2"/>
          </w:tcPr>
          <w:p>
            <w:pPr>
              <w:jc w:val="center"/>
              <w:ind w:right="260"/>
              <w:spacing w:after="0" w:line="129" w:lineRule="exact"/>
              <w:rPr>
                <w:sz w:val="20"/>
                <w:szCs w:val="20"/>
                <w:color w:val="auto"/>
              </w:rPr>
            </w:pPr>
            <w:r>
              <w:rPr>
                <w:rFonts w:ascii="Arial" w:cs="Arial" w:eastAsia="Arial" w:hAnsi="Arial"/>
                <w:sz w:val="14"/>
                <w:szCs w:val="14"/>
                <w:b w:val="1"/>
                <w:bCs w:val="1"/>
                <w:color w:val="auto"/>
                <w:w w:val="89"/>
              </w:rPr>
              <w:t>Interest Rate</w:t>
            </w:r>
          </w:p>
        </w:tc>
        <w:tc>
          <w:tcPr>
            <w:tcW w:w="100" w:type="dxa"/>
            <w:vAlign w:val="bottom"/>
          </w:tcPr>
          <w:p>
            <w:pPr>
              <w:spacing w:after="0"/>
              <w:rPr>
                <w:sz w:val="11"/>
                <w:szCs w:val="11"/>
                <w:color w:val="auto"/>
              </w:rPr>
            </w:pPr>
          </w:p>
        </w:tc>
        <w:tc>
          <w:tcPr>
            <w:tcW w:w="800" w:type="dxa"/>
            <w:vAlign w:val="bottom"/>
            <w:gridSpan w:val="2"/>
          </w:tcPr>
          <w:p>
            <w:pPr>
              <w:jc w:val="center"/>
              <w:ind w:right="260"/>
              <w:spacing w:after="0" w:line="129" w:lineRule="exact"/>
              <w:rPr>
                <w:sz w:val="20"/>
                <w:szCs w:val="20"/>
                <w:color w:val="auto"/>
              </w:rPr>
            </w:pPr>
            <w:r>
              <w:rPr>
                <w:rFonts w:ascii="Arial" w:cs="Arial" w:eastAsia="Arial" w:hAnsi="Arial"/>
                <w:sz w:val="14"/>
                <w:szCs w:val="14"/>
                <w:b w:val="1"/>
                <w:bCs w:val="1"/>
                <w:color w:val="auto"/>
                <w:w w:val="90"/>
              </w:rPr>
              <w:t>Forward</w:t>
            </w:r>
          </w:p>
        </w:tc>
        <w:tc>
          <w:tcPr>
            <w:tcW w:w="100" w:type="dxa"/>
            <w:vAlign w:val="bottom"/>
          </w:tcPr>
          <w:p>
            <w:pPr>
              <w:spacing w:after="0"/>
              <w:rPr>
                <w:sz w:val="11"/>
                <w:szCs w:val="11"/>
                <w:color w:val="auto"/>
              </w:rPr>
            </w:pPr>
          </w:p>
        </w:tc>
        <w:tc>
          <w:tcPr>
            <w:tcW w:w="520" w:type="dxa"/>
            <w:vAlign w:val="bottom"/>
          </w:tcPr>
          <w:p>
            <w:pPr>
              <w:jc w:val="center"/>
              <w:ind w:right="36"/>
              <w:spacing w:after="0" w:line="129" w:lineRule="exact"/>
              <w:rPr>
                <w:sz w:val="20"/>
                <w:szCs w:val="20"/>
                <w:color w:val="auto"/>
              </w:rPr>
            </w:pPr>
            <w:r>
              <w:rPr>
                <w:rFonts w:ascii="Arial" w:cs="Arial" w:eastAsia="Arial" w:hAnsi="Arial"/>
                <w:sz w:val="14"/>
                <w:szCs w:val="14"/>
                <w:b w:val="1"/>
                <w:bCs w:val="1"/>
                <w:color w:val="auto"/>
                <w:w w:val="87"/>
              </w:rPr>
              <w:t>Loans</w:t>
            </w:r>
          </w:p>
        </w:tc>
        <w:tc>
          <w:tcPr>
            <w:tcW w:w="2440" w:type="dxa"/>
            <w:vAlign w:val="bottom"/>
            <w:gridSpan w:val="2"/>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300" w:type="dxa"/>
            <w:vAlign w:val="bottom"/>
          </w:tcPr>
          <w:p>
            <w:pPr>
              <w:spacing w:after="0"/>
              <w:rPr>
                <w:sz w:val="12"/>
                <w:szCs w:val="12"/>
                <w:color w:val="auto"/>
              </w:rPr>
            </w:pPr>
          </w:p>
        </w:tc>
        <w:tc>
          <w:tcPr>
            <w:tcW w:w="4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1"/>
              </w:rPr>
              <w:t>Lock</w:t>
            </w:r>
          </w:p>
        </w:tc>
        <w:tc>
          <w:tcPr>
            <w:tcW w:w="100" w:type="dxa"/>
            <w:vAlign w:val="bottom"/>
          </w:tcPr>
          <w:p>
            <w:pPr>
              <w:spacing w:after="0"/>
              <w:rPr>
                <w:sz w:val="12"/>
                <w:szCs w:val="12"/>
                <w:color w:val="auto"/>
              </w:rPr>
            </w:pPr>
          </w:p>
        </w:tc>
        <w:tc>
          <w:tcPr>
            <w:tcW w:w="8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1"/>
              </w:rPr>
              <w:t>Delivery</w:t>
            </w:r>
          </w:p>
        </w:tc>
        <w:tc>
          <w:tcPr>
            <w:tcW w:w="100" w:type="dxa"/>
            <w:vAlign w:val="bottom"/>
          </w:tcPr>
          <w:p>
            <w:pPr>
              <w:spacing w:after="0"/>
              <w:rPr>
                <w:sz w:val="12"/>
                <w:szCs w:val="12"/>
                <w:color w:val="auto"/>
              </w:rPr>
            </w:pPr>
          </w:p>
        </w:tc>
        <w:tc>
          <w:tcPr>
            <w:tcW w:w="2960" w:type="dxa"/>
            <w:vAlign w:val="bottom"/>
            <w:gridSpan w:val="3"/>
          </w:tcPr>
          <w:p>
            <w:pPr>
              <w:jc w:val="center"/>
              <w:ind w:right="2560"/>
              <w:spacing w:after="0" w:line="149" w:lineRule="exact"/>
              <w:rPr>
                <w:sz w:val="20"/>
                <w:szCs w:val="20"/>
                <w:color w:val="auto"/>
              </w:rPr>
            </w:pPr>
            <w:r>
              <w:rPr>
                <w:rFonts w:ascii="Arial" w:cs="Arial" w:eastAsia="Arial" w:hAnsi="Arial"/>
                <w:sz w:val="14"/>
                <w:szCs w:val="14"/>
                <w:b w:val="1"/>
                <w:bCs w:val="1"/>
                <w:color w:val="auto"/>
                <w:w w:val="92"/>
              </w:rPr>
              <w:t>Held</w:t>
            </w:r>
          </w:p>
        </w:tc>
        <w:tc>
          <w:tcPr>
            <w:tcW w:w="0" w:type="dxa"/>
            <w:vAlign w:val="bottom"/>
          </w:tcPr>
          <w:p>
            <w:pPr>
              <w:spacing w:after="0"/>
              <w:rPr>
                <w:sz w:val="1"/>
                <w:szCs w:val="1"/>
                <w:color w:val="auto"/>
              </w:rPr>
            </w:pPr>
          </w:p>
        </w:tc>
      </w:tr>
      <w:tr>
        <w:trPr>
          <w:trHeight w:val="161"/>
        </w:trPr>
        <w:tc>
          <w:tcPr>
            <w:tcW w:w="2300" w:type="dxa"/>
            <w:vAlign w:val="bottom"/>
          </w:tcPr>
          <w:p>
            <w:pPr>
              <w:spacing w:after="0"/>
              <w:rPr>
                <w:sz w:val="14"/>
                <w:szCs w:val="14"/>
                <w:color w:val="auto"/>
              </w:rPr>
            </w:pPr>
          </w:p>
        </w:tc>
        <w:tc>
          <w:tcPr>
            <w:tcW w:w="4020" w:type="dxa"/>
            <w:vAlign w:val="bottom"/>
          </w:tcPr>
          <w:p>
            <w:pPr>
              <w:spacing w:after="0"/>
              <w:rPr>
                <w:sz w:val="14"/>
                <w:szCs w:val="14"/>
                <w:color w:val="auto"/>
              </w:rPr>
            </w:pPr>
          </w:p>
        </w:tc>
        <w:tc>
          <w:tcPr>
            <w:tcW w:w="98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7"/>
              </w:rPr>
              <w:t>Commitments</w:t>
            </w:r>
          </w:p>
        </w:tc>
        <w:tc>
          <w:tcPr>
            <w:tcW w:w="160" w:type="dxa"/>
            <w:vAlign w:val="bottom"/>
          </w:tcPr>
          <w:p>
            <w:pPr>
              <w:spacing w:after="0"/>
              <w:rPr>
                <w:sz w:val="14"/>
                <w:szCs w:val="14"/>
                <w:color w:val="auto"/>
              </w:rPr>
            </w:pPr>
          </w:p>
        </w:tc>
        <w:tc>
          <w:tcPr>
            <w:tcW w:w="74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8"/>
              </w:rPr>
              <w:t>Contracts</w:t>
            </w:r>
          </w:p>
        </w:tc>
        <w:tc>
          <w:tcPr>
            <w:tcW w:w="160" w:type="dxa"/>
            <w:vAlign w:val="bottom"/>
          </w:tcPr>
          <w:p>
            <w:pPr>
              <w:spacing w:after="0"/>
              <w:rPr>
                <w:sz w:val="14"/>
                <w:szCs w:val="14"/>
                <w:color w:val="auto"/>
              </w:rPr>
            </w:pPr>
          </w:p>
        </w:tc>
        <w:tc>
          <w:tcPr>
            <w:tcW w:w="62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5"/>
              </w:rPr>
              <w:t>for Sale</w:t>
            </w:r>
          </w:p>
        </w:tc>
        <w:tc>
          <w:tcPr>
            <w:tcW w:w="244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300" w:type="dxa"/>
            <w:vAlign w:val="bottom"/>
          </w:tcPr>
          <w:p>
            <w:pPr>
              <w:spacing w:after="0"/>
              <w:rPr>
                <w:sz w:val="18"/>
                <w:szCs w:val="18"/>
                <w:color w:val="auto"/>
              </w:rPr>
            </w:pPr>
          </w:p>
        </w:tc>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Balance at January 1, 2010</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3,680</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487</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777</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00" w:type="dxa"/>
            <w:vAlign w:val="bottom"/>
          </w:tcPr>
          <w:p>
            <w:pPr>
              <w:spacing w:after="0"/>
              <w:rPr>
                <w:sz w:val="18"/>
                <w:szCs w:val="18"/>
                <w:color w:val="auto"/>
              </w:rPr>
            </w:pPr>
          </w:p>
        </w:tc>
        <w:tc>
          <w:tcPr>
            <w:tcW w:w="4020" w:type="dxa"/>
            <w:vAlign w:val="bottom"/>
          </w:tcPr>
          <w:p>
            <w:pPr>
              <w:ind w:left="120"/>
              <w:spacing w:after="0"/>
              <w:rPr>
                <w:sz w:val="20"/>
                <w:szCs w:val="20"/>
                <w:color w:val="auto"/>
              </w:rPr>
            </w:pPr>
            <w:r>
              <w:rPr>
                <w:rFonts w:ascii="Arial" w:cs="Arial" w:eastAsia="Arial" w:hAnsi="Arial"/>
                <w:sz w:val="18"/>
                <w:szCs w:val="18"/>
                <w:color w:val="auto"/>
              </w:rPr>
              <w:t>Transfers into Level 3</w:t>
            </w:r>
          </w:p>
        </w:tc>
        <w:tc>
          <w:tcPr>
            <w:tcW w:w="12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8"/>
                <w:szCs w:val="18"/>
                <w:color w:val="auto"/>
              </w:rPr>
              <w:t>640</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00" w:type="dxa"/>
            <w:vAlign w:val="bottom"/>
          </w:tcPr>
          <w:p>
            <w:pPr>
              <w:spacing w:after="0"/>
              <w:rPr>
                <w:sz w:val="18"/>
                <w:szCs w:val="18"/>
                <w:color w:val="auto"/>
              </w:rPr>
            </w:pPr>
          </w:p>
        </w:tc>
        <w:tc>
          <w:tcPr>
            <w:tcW w:w="40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Transfers out of Level 3</w:t>
            </w: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300" w:type="dxa"/>
            <w:vAlign w:val="bottom"/>
          </w:tcPr>
          <w:p>
            <w:pPr>
              <w:spacing w:after="0"/>
              <w:rPr>
                <w:sz w:val="18"/>
                <w:szCs w:val="18"/>
                <w:color w:val="auto"/>
              </w:rPr>
            </w:pPr>
          </w:p>
        </w:tc>
        <w:tc>
          <w:tcPr>
            <w:tcW w:w="4020" w:type="dxa"/>
            <w:vAlign w:val="bottom"/>
          </w:tcPr>
          <w:p>
            <w:pPr>
              <w:ind w:left="120"/>
              <w:spacing w:after="0"/>
              <w:rPr>
                <w:sz w:val="20"/>
                <w:szCs w:val="20"/>
                <w:color w:val="auto"/>
              </w:rPr>
            </w:pPr>
            <w:r>
              <w:rPr>
                <w:rFonts w:ascii="Arial" w:cs="Arial" w:eastAsia="Arial" w:hAnsi="Arial"/>
                <w:sz w:val="18"/>
                <w:szCs w:val="18"/>
                <w:color w:val="auto"/>
                <w:w w:val="91"/>
              </w:rPr>
              <w:t>Total net gains (losses) included in earnings (realized</w:t>
            </w: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300" w:type="dxa"/>
            <w:vAlign w:val="bottom"/>
          </w:tcPr>
          <w:p>
            <w:pPr>
              <w:spacing w:after="0"/>
              <w:rPr>
                <w:sz w:val="19"/>
                <w:szCs w:val="19"/>
                <w:color w:val="auto"/>
              </w:rPr>
            </w:pPr>
          </w:p>
        </w:tc>
        <w:tc>
          <w:tcPr>
            <w:tcW w:w="4020" w:type="dxa"/>
            <w:vAlign w:val="bottom"/>
          </w:tcPr>
          <w:p>
            <w:pPr>
              <w:ind w:left="300"/>
              <w:spacing w:after="0"/>
              <w:rPr>
                <w:sz w:val="20"/>
                <w:szCs w:val="20"/>
                <w:color w:val="auto"/>
              </w:rPr>
            </w:pPr>
            <w:r>
              <w:rPr>
                <w:rFonts w:ascii="Arial" w:cs="Arial" w:eastAsia="Arial" w:hAnsi="Arial"/>
                <w:sz w:val="18"/>
                <w:szCs w:val="18"/>
                <w:color w:val="auto"/>
              </w:rPr>
              <w:t>and unrealized)</w:t>
            </w:r>
          </w:p>
        </w:tc>
        <w:tc>
          <w:tcPr>
            <w:tcW w:w="1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83,752</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(613)</w:t>
            </w:r>
          </w:p>
        </w:tc>
        <w:tc>
          <w:tcPr>
            <w:tcW w:w="100" w:type="dxa"/>
            <w:vAlign w:val="bottom"/>
          </w:tcPr>
          <w:p>
            <w:pPr>
              <w:spacing w:after="0"/>
              <w:rPr>
                <w:sz w:val="19"/>
                <w:szCs w:val="19"/>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(111)</w:t>
            </w:r>
          </w:p>
        </w:tc>
        <w:tc>
          <w:tcPr>
            <w:tcW w:w="2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300" w:type="dxa"/>
            <w:vAlign w:val="bottom"/>
          </w:tcPr>
          <w:p>
            <w:pPr>
              <w:spacing w:after="0"/>
              <w:rPr>
                <w:sz w:val="18"/>
                <w:szCs w:val="18"/>
                <w:color w:val="auto"/>
              </w:rPr>
            </w:pPr>
          </w:p>
        </w:tc>
        <w:tc>
          <w:tcPr>
            <w:tcW w:w="40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Purchases, sales, and settlements</w:t>
            </w: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00" w:type="dxa"/>
            <w:vAlign w:val="bottom"/>
          </w:tcPr>
          <w:p>
            <w:pPr>
              <w:spacing w:after="0"/>
              <w:rPr>
                <w:sz w:val="18"/>
                <w:szCs w:val="18"/>
                <w:color w:val="auto"/>
              </w:rPr>
            </w:pPr>
          </w:p>
        </w:tc>
        <w:tc>
          <w:tcPr>
            <w:tcW w:w="4020" w:type="dxa"/>
            <w:vAlign w:val="bottom"/>
          </w:tcPr>
          <w:p>
            <w:pPr>
              <w:ind w:left="260"/>
              <w:spacing w:after="0"/>
              <w:rPr>
                <w:sz w:val="20"/>
                <w:szCs w:val="20"/>
                <w:color w:val="auto"/>
              </w:rPr>
            </w:pPr>
            <w:r>
              <w:rPr>
                <w:rFonts w:ascii="Arial" w:cs="Arial" w:eastAsia="Arial" w:hAnsi="Arial"/>
                <w:sz w:val="18"/>
                <w:szCs w:val="18"/>
                <w:color w:val="auto"/>
              </w:rPr>
              <w:t>Purchases</w:t>
            </w:r>
          </w:p>
        </w:tc>
        <w:tc>
          <w:tcPr>
            <w:tcW w:w="12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00" w:type="dxa"/>
            <w:vAlign w:val="bottom"/>
          </w:tcPr>
          <w:p>
            <w:pPr>
              <w:spacing w:after="0"/>
              <w:rPr>
                <w:sz w:val="18"/>
                <w:szCs w:val="18"/>
                <w:color w:val="auto"/>
              </w:rPr>
            </w:pPr>
          </w:p>
        </w:tc>
        <w:tc>
          <w:tcPr>
            <w:tcW w:w="4020" w:type="dxa"/>
            <w:vAlign w:val="bottom"/>
            <w:shd w:val="clear" w:color="auto" w:fill="CCEEFF"/>
          </w:tcPr>
          <w:p>
            <w:pPr>
              <w:ind w:left="260"/>
              <w:spacing w:after="0"/>
              <w:rPr>
                <w:sz w:val="20"/>
                <w:szCs w:val="20"/>
                <w:color w:val="auto"/>
              </w:rPr>
            </w:pPr>
            <w:r>
              <w:rPr>
                <w:rFonts w:ascii="Arial" w:cs="Arial" w:eastAsia="Arial" w:hAnsi="Arial"/>
                <w:sz w:val="18"/>
                <w:szCs w:val="18"/>
                <w:color w:val="auto"/>
              </w:rPr>
              <w:t>Sales</w:t>
            </w: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(262)</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00" w:type="dxa"/>
            <w:vAlign w:val="bottom"/>
          </w:tcPr>
          <w:p>
            <w:pPr>
              <w:spacing w:after="0"/>
              <w:rPr>
                <w:sz w:val="18"/>
                <w:szCs w:val="18"/>
                <w:color w:val="auto"/>
              </w:rPr>
            </w:pPr>
          </w:p>
        </w:tc>
        <w:tc>
          <w:tcPr>
            <w:tcW w:w="4020" w:type="dxa"/>
            <w:vAlign w:val="bottom"/>
          </w:tcPr>
          <w:p>
            <w:pPr>
              <w:ind w:left="260"/>
              <w:spacing w:after="0"/>
              <w:rPr>
                <w:sz w:val="20"/>
                <w:szCs w:val="20"/>
                <w:color w:val="auto"/>
              </w:rPr>
            </w:pPr>
            <w:r>
              <w:rPr>
                <w:rFonts w:ascii="Arial" w:cs="Arial" w:eastAsia="Arial" w:hAnsi="Arial"/>
                <w:sz w:val="18"/>
                <w:szCs w:val="18"/>
                <w:color w:val="auto"/>
              </w:rPr>
              <w:t>Settlements</w:t>
            </w:r>
          </w:p>
        </w:tc>
        <w:tc>
          <w:tcPr>
            <w:tcW w:w="1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(12,250)</w:t>
            </w:r>
          </w:p>
        </w:tc>
        <w:tc>
          <w:tcPr>
            <w:tcW w:w="10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(8)</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00" w:type="dxa"/>
            <w:vAlign w:val="bottom"/>
          </w:tcPr>
          <w:p>
            <w:pPr>
              <w:spacing w:after="0"/>
              <w:rPr>
                <w:sz w:val="18"/>
                <w:szCs w:val="18"/>
                <w:color w:val="auto"/>
              </w:rPr>
            </w:pPr>
          </w:p>
        </w:tc>
        <w:tc>
          <w:tcPr>
            <w:tcW w:w="40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Transfers of IRLCs to closed loans</w:t>
            </w: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(64,933)</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6320" w:type="dxa"/>
            <w:vAlign w:val="bottom"/>
            <w:gridSpan w:val="2"/>
            <w:vMerge w:val="restart"/>
          </w:tcPr>
          <w:p>
            <w:pPr>
              <w:ind w:left="2300"/>
              <w:spacing w:after="0"/>
              <w:rPr>
                <w:sz w:val="20"/>
                <w:szCs w:val="20"/>
                <w:color w:val="auto"/>
              </w:rPr>
            </w:pPr>
            <w:r>
              <w:rPr>
                <w:rFonts w:ascii="Arial" w:cs="Arial" w:eastAsia="Arial" w:hAnsi="Arial"/>
                <w:sz w:val="18"/>
                <w:szCs w:val="18"/>
                <w:color w:val="auto"/>
              </w:rPr>
              <w:t>Balance at September 30, 2010</w:t>
            </w: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gridSpan w:val="2"/>
          </w:tcPr>
          <w:p>
            <w:pPr>
              <w:spacing w:after="0"/>
              <w:rPr>
                <w:sz w:val="2"/>
                <w:szCs w:val="2"/>
                <w:color w:val="auto"/>
              </w:rPr>
            </w:pPr>
          </w:p>
        </w:tc>
        <w:tc>
          <w:tcPr>
            <w:tcW w:w="22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6320" w:type="dxa"/>
            <w:vAlign w:val="bottom"/>
            <w:gridSpan w:val="2"/>
            <w:vMerge w:val="continue"/>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10,249</w:t>
            </w:r>
          </w:p>
        </w:tc>
        <w:tc>
          <w:tcPr>
            <w:tcW w:w="16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w:t>
            </w:r>
          </w:p>
        </w:tc>
        <w:tc>
          <w:tcPr>
            <w:tcW w:w="16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1,036</w:t>
            </w:r>
          </w:p>
        </w:tc>
        <w:tc>
          <w:tcPr>
            <w:tcW w:w="16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6320" w:type="dxa"/>
            <w:vAlign w:val="bottom"/>
            <w:gridSpan w:val="2"/>
            <w:vMerge w:val="restart"/>
          </w:tcPr>
          <w:p>
            <w:pPr>
              <w:jc w:val="right"/>
              <w:ind w:right="432"/>
              <w:spacing w:after="0"/>
              <w:rPr>
                <w:sz w:val="20"/>
                <w:szCs w:val="20"/>
                <w:color w:val="auto"/>
              </w:rPr>
            </w:pPr>
            <w:r>
              <w:rPr>
                <w:rFonts w:ascii="Arial" w:cs="Arial" w:eastAsia="Arial" w:hAnsi="Arial"/>
                <w:sz w:val="18"/>
                <w:szCs w:val="18"/>
                <w:color w:val="auto"/>
              </w:rPr>
              <w:t>25</w:t>
            </w: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6320" w:type="dxa"/>
            <w:vAlign w:val="bottom"/>
            <w:gridSpan w:val="2"/>
            <w:vMerge w:val="continue"/>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1"/>
        </w:trPr>
        <w:tc>
          <w:tcPr>
            <w:tcW w:w="6320" w:type="dxa"/>
            <w:vAlign w:val="bottom"/>
            <w:gridSpan w:val="2"/>
            <w:vMerge w:val="continue"/>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2300" w:type="dxa"/>
            <w:vAlign w:val="bottom"/>
            <w:tcBorders>
              <w:bottom w:val="single" w:sz="8" w:color="808080"/>
            </w:tcBorders>
          </w:tcPr>
          <w:p>
            <w:pPr>
              <w:spacing w:after="0"/>
              <w:rPr>
                <w:sz w:val="19"/>
                <w:szCs w:val="19"/>
                <w:color w:val="auto"/>
              </w:rPr>
            </w:pPr>
          </w:p>
        </w:tc>
        <w:tc>
          <w:tcPr>
            <w:tcW w:w="402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86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64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52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228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6" w:name="page27"/>
    <w:bookmarkEnd w:id="2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TREE.COM, INC. AND SUBSIDIARIES</w:t>
      </w:r>
    </w:p>
    <w:p>
      <w:pPr>
        <w:spacing w:after="0" w:line="225" w:lineRule="exact"/>
        <w:rPr>
          <w:sz w:val="20"/>
          <w:szCs w:val="20"/>
          <w:color w:val="auto"/>
        </w:rPr>
      </w:pPr>
    </w:p>
    <w:p>
      <w:pPr>
        <w:ind w:left="294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9—FAIR VALUE MEASUREMENTS (Continued)</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300" w:type="dxa"/>
            <w:vAlign w:val="bottom"/>
          </w:tcPr>
          <w:p>
            <w:pPr>
              <w:spacing w:after="0"/>
              <w:rPr>
                <w:sz w:val="14"/>
                <w:szCs w:val="14"/>
                <w:color w:val="auto"/>
              </w:rPr>
            </w:pPr>
          </w:p>
        </w:tc>
        <w:tc>
          <w:tcPr>
            <w:tcW w:w="4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920" w:type="dxa"/>
            <w:vAlign w:val="bottom"/>
            <w:gridSpan w:val="5"/>
          </w:tcPr>
          <w:p>
            <w:pPr>
              <w:jc w:val="center"/>
              <w:ind w:left="418"/>
              <w:spacing w:after="0"/>
              <w:rPr>
                <w:sz w:val="20"/>
                <w:szCs w:val="20"/>
                <w:color w:val="auto"/>
              </w:rPr>
            </w:pPr>
            <w:r>
              <w:rPr>
                <w:rFonts w:ascii="Arial" w:cs="Arial" w:eastAsia="Arial" w:hAnsi="Arial"/>
                <w:sz w:val="14"/>
                <w:szCs w:val="14"/>
                <w:b w:val="1"/>
                <w:bCs w:val="1"/>
                <w:color w:val="auto"/>
                <w:w w:val="89"/>
              </w:rPr>
              <w:t>Three Months</w:t>
            </w: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300" w:type="dxa"/>
            <w:vAlign w:val="bottom"/>
          </w:tcPr>
          <w:p>
            <w:pPr>
              <w:spacing w:after="0"/>
              <w:rPr>
                <w:sz w:val="14"/>
                <w:szCs w:val="14"/>
                <w:color w:val="auto"/>
              </w:rPr>
            </w:pPr>
          </w:p>
        </w:tc>
        <w:tc>
          <w:tcPr>
            <w:tcW w:w="40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020" w:type="dxa"/>
            <w:vAlign w:val="bottom"/>
            <w:tcBorders>
              <w:bottom w:val="single" w:sz="8" w:color="auto"/>
            </w:tcBorders>
            <w:gridSpan w:val="6"/>
          </w:tcPr>
          <w:p>
            <w:pPr>
              <w:jc w:val="center"/>
              <w:ind w:left="318"/>
              <w:spacing w:after="0"/>
              <w:rPr>
                <w:sz w:val="20"/>
                <w:szCs w:val="20"/>
                <w:color w:val="auto"/>
              </w:rPr>
            </w:pPr>
            <w:r>
              <w:rPr>
                <w:rFonts w:ascii="Arial" w:cs="Arial" w:eastAsia="Arial" w:hAnsi="Arial"/>
                <w:sz w:val="14"/>
                <w:szCs w:val="14"/>
                <w:b w:val="1"/>
                <w:bCs w:val="1"/>
                <w:color w:val="auto"/>
                <w:w w:val="86"/>
              </w:rPr>
              <w:t>Ended September 30, 2009</w:t>
            </w:r>
          </w:p>
        </w:tc>
        <w:tc>
          <w:tcPr>
            <w:tcW w:w="52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300" w:type="dxa"/>
            <w:vAlign w:val="bottom"/>
          </w:tcPr>
          <w:p>
            <w:pPr>
              <w:spacing w:after="0"/>
              <w:rPr>
                <w:sz w:val="11"/>
                <w:szCs w:val="11"/>
                <w:color w:val="auto"/>
              </w:rPr>
            </w:pPr>
          </w:p>
        </w:tc>
        <w:tc>
          <w:tcPr>
            <w:tcW w:w="40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gridSpan w:val="2"/>
          </w:tcPr>
          <w:p>
            <w:pPr>
              <w:jc w:val="center"/>
              <w:ind w:right="260"/>
              <w:spacing w:after="0" w:line="129" w:lineRule="exact"/>
              <w:rPr>
                <w:sz w:val="20"/>
                <w:szCs w:val="20"/>
                <w:color w:val="auto"/>
              </w:rPr>
            </w:pPr>
            <w:r>
              <w:rPr>
                <w:rFonts w:ascii="Arial" w:cs="Arial" w:eastAsia="Arial" w:hAnsi="Arial"/>
                <w:sz w:val="14"/>
                <w:szCs w:val="14"/>
                <w:b w:val="1"/>
                <w:bCs w:val="1"/>
                <w:color w:val="auto"/>
                <w:w w:val="89"/>
              </w:rPr>
              <w:t>Interest Rate</w:t>
            </w:r>
          </w:p>
        </w:tc>
        <w:tc>
          <w:tcPr>
            <w:tcW w:w="100" w:type="dxa"/>
            <w:vAlign w:val="bottom"/>
          </w:tcPr>
          <w:p>
            <w:pPr>
              <w:spacing w:after="0"/>
              <w:rPr>
                <w:sz w:val="11"/>
                <w:szCs w:val="11"/>
                <w:color w:val="auto"/>
              </w:rPr>
            </w:pPr>
          </w:p>
        </w:tc>
        <w:tc>
          <w:tcPr>
            <w:tcW w:w="800" w:type="dxa"/>
            <w:vAlign w:val="bottom"/>
            <w:gridSpan w:val="2"/>
          </w:tcPr>
          <w:p>
            <w:pPr>
              <w:jc w:val="center"/>
              <w:ind w:right="260"/>
              <w:spacing w:after="0" w:line="129" w:lineRule="exact"/>
              <w:rPr>
                <w:sz w:val="20"/>
                <w:szCs w:val="20"/>
                <w:color w:val="auto"/>
              </w:rPr>
            </w:pPr>
            <w:r>
              <w:rPr>
                <w:rFonts w:ascii="Arial" w:cs="Arial" w:eastAsia="Arial" w:hAnsi="Arial"/>
                <w:sz w:val="14"/>
                <w:szCs w:val="14"/>
                <w:b w:val="1"/>
                <w:bCs w:val="1"/>
                <w:color w:val="auto"/>
                <w:w w:val="90"/>
              </w:rPr>
              <w:t>Forward</w:t>
            </w:r>
          </w:p>
        </w:tc>
        <w:tc>
          <w:tcPr>
            <w:tcW w:w="100" w:type="dxa"/>
            <w:vAlign w:val="bottom"/>
          </w:tcPr>
          <w:p>
            <w:pPr>
              <w:spacing w:after="0"/>
              <w:rPr>
                <w:sz w:val="11"/>
                <w:szCs w:val="11"/>
                <w:color w:val="auto"/>
              </w:rPr>
            </w:pPr>
          </w:p>
        </w:tc>
        <w:tc>
          <w:tcPr>
            <w:tcW w:w="520" w:type="dxa"/>
            <w:vAlign w:val="bottom"/>
          </w:tcPr>
          <w:p>
            <w:pPr>
              <w:jc w:val="center"/>
              <w:ind w:right="36"/>
              <w:spacing w:after="0" w:line="129" w:lineRule="exact"/>
              <w:rPr>
                <w:sz w:val="20"/>
                <w:szCs w:val="20"/>
                <w:color w:val="auto"/>
              </w:rPr>
            </w:pPr>
            <w:r>
              <w:rPr>
                <w:rFonts w:ascii="Arial" w:cs="Arial" w:eastAsia="Arial" w:hAnsi="Arial"/>
                <w:sz w:val="14"/>
                <w:szCs w:val="14"/>
                <w:b w:val="1"/>
                <w:bCs w:val="1"/>
                <w:color w:val="auto"/>
                <w:w w:val="87"/>
              </w:rPr>
              <w:t>Loans</w:t>
            </w:r>
          </w:p>
        </w:tc>
        <w:tc>
          <w:tcPr>
            <w:tcW w:w="2440" w:type="dxa"/>
            <w:vAlign w:val="bottom"/>
            <w:gridSpan w:val="2"/>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300" w:type="dxa"/>
            <w:vAlign w:val="bottom"/>
          </w:tcPr>
          <w:p>
            <w:pPr>
              <w:spacing w:after="0"/>
              <w:rPr>
                <w:sz w:val="12"/>
                <w:szCs w:val="12"/>
                <w:color w:val="auto"/>
              </w:rPr>
            </w:pPr>
          </w:p>
        </w:tc>
        <w:tc>
          <w:tcPr>
            <w:tcW w:w="4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1"/>
              </w:rPr>
              <w:t>Lock</w:t>
            </w:r>
          </w:p>
        </w:tc>
        <w:tc>
          <w:tcPr>
            <w:tcW w:w="100" w:type="dxa"/>
            <w:vAlign w:val="bottom"/>
          </w:tcPr>
          <w:p>
            <w:pPr>
              <w:spacing w:after="0"/>
              <w:rPr>
                <w:sz w:val="12"/>
                <w:szCs w:val="12"/>
                <w:color w:val="auto"/>
              </w:rPr>
            </w:pPr>
          </w:p>
        </w:tc>
        <w:tc>
          <w:tcPr>
            <w:tcW w:w="8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1"/>
              </w:rPr>
              <w:t>Delivery</w:t>
            </w:r>
          </w:p>
        </w:tc>
        <w:tc>
          <w:tcPr>
            <w:tcW w:w="100" w:type="dxa"/>
            <w:vAlign w:val="bottom"/>
          </w:tcPr>
          <w:p>
            <w:pPr>
              <w:spacing w:after="0"/>
              <w:rPr>
                <w:sz w:val="12"/>
                <w:szCs w:val="12"/>
                <w:color w:val="auto"/>
              </w:rPr>
            </w:pPr>
          </w:p>
        </w:tc>
        <w:tc>
          <w:tcPr>
            <w:tcW w:w="2960" w:type="dxa"/>
            <w:vAlign w:val="bottom"/>
            <w:gridSpan w:val="3"/>
          </w:tcPr>
          <w:p>
            <w:pPr>
              <w:jc w:val="center"/>
              <w:ind w:right="2560"/>
              <w:spacing w:after="0" w:line="149" w:lineRule="exact"/>
              <w:rPr>
                <w:sz w:val="20"/>
                <w:szCs w:val="20"/>
                <w:color w:val="auto"/>
              </w:rPr>
            </w:pPr>
            <w:r>
              <w:rPr>
                <w:rFonts w:ascii="Arial" w:cs="Arial" w:eastAsia="Arial" w:hAnsi="Arial"/>
                <w:sz w:val="14"/>
                <w:szCs w:val="14"/>
                <w:b w:val="1"/>
                <w:bCs w:val="1"/>
                <w:color w:val="auto"/>
                <w:w w:val="92"/>
              </w:rPr>
              <w:t>Held</w:t>
            </w:r>
          </w:p>
        </w:tc>
        <w:tc>
          <w:tcPr>
            <w:tcW w:w="0" w:type="dxa"/>
            <w:vAlign w:val="bottom"/>
          </w:tcPr>
          <w:p>
            <w:pPr>
              <w:spacing w:after="0"/>
              <w:rPr>
                <w:sz w:val="1"/>
                <w:szCs w:val="1"/>
                <w:color w:val="auto"/>
              </w:rPr>
            </w:pPr>
          </w:p>
        </w:tc>
      </w:tr>
      <w:tr>
        <w:trPr>
          <w:trHeight w:val="161"/>
        </w:trPr>
        <w:tc>
          <w:tcPr>
            <w:tcW w:w="2300" w:type="dxa"/>
            <w:vAlign w:val="bottom"/>
          </w:tcPr>
          <w:p>
            <w:pPr>
              <w:spacing w:after="0"/>
              <w:rPr>
                <w:sz w:val="14"/>
                <w:szCs w:val="14"/>
                <w:color w:val="auto"/>
              </w:rPr>
            </w:pPr>
          </w:p>
        </w:tc>
        <w:tc>
          <w:tcPr>
            <w:tcW w:w="4020" w:type="dxa"/>
            <w:vAlign w:val="bottom"/>
          </w:tcPr>
          <w:p>
            <w:pPr>
              <w:spacing w:after="0"/>
              <w:rPr>
                <w:sz w:val="14"/>
                <w:szCs w:val="14"/>
                <w:color w:val="auto"/>
              </w:rPr>
            </w:pPr>
          </w:p>
        </w:tc>
        <w:tc>
          <w:tcPr>
            <w:tcW w:w="98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7"/>
              </w:rPr>
              <w:t>Commitments</w:t>
            </w:r>
          </w:p>
        </w:tc>
        <w:tc>
          <w:tcPr>
            <w:tcW w:w="160" w:type="dxa"/>
            <w:vAlign w:val="bottom"/>
          </w:tcPr>
          <w:p>
            <w:pPr>
              <w:spacing w:after="0"/>
              <w:rPr>
                <w:sz w:val="14"/>
                <w:szCs w:val="14"/>
                <w:color w:val="auto"/>
              </w:rPr>
            </w:pPr>
          </w:p>
        </w:tc>
        <w:tc>
          <w:tcPr>
            <w:tcW w:w="74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8"/>
              </w:rPr>
              <w:t>Contracts</w:t>
            </w:r>
          </w:p>
        </w:tc>
        <w:tc>
          <w:tcPr>
            <w:tcW w:w="160" w:type="dxa"/>
            <w:vAlign w:val="bottom"/>
          </w:tcPr>
          <w:p>
            <w:pPr>
              <w:spacing w:after="0"/>
              <w:rPr>
                <w:sz w:val="14"/>
                <w:szCs w:val="14"/>
                <w:color w:val="auto"/>
              </w:rPr>
            </w:pPr>
          </w:p>
        </w:tc>
        <w:tc>
          <w:tcPr>
            <w:tcW w:w="62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5"/>
              </w:rPr>
              <w:t>for Sale</w:t>
            </w:r>
          </w:p>
        </w:tc>
        <w:tc>
          <w:tcPr>
            <w:tcW w:w="244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300" w:type="dxa"/>
            <w:vAlign w:val="bottom"/>
          </w:tcPr>
          <w:p>
            <w:pPr>
              <w:spacing w:after="0"/>
              <w:rPr>
                <w:sz w:val="18"/>
                <w:szCs w:val="18"/>
                <w:color w:val="auto"/>
              </w:rPr>
            </w:pPr>
          </w:p>
        </w:tc>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Balance at July 1, 2009</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6,698</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(82)</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271</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00" w:type="dxa"/>
            <w:vAlign w:val="bottom"/>
          </w:tcPr>
          <w:p>
            <w:pPr>
              <w:spacing w:after="0"/>
              <w:rPr>
                <w:sz w:val="18"/>
                <w:szCs w:val="18"/>
                <w:color w:val="auto"/>
              </w:rPr>
            </w:pPr>
          </w:p>
        </w:tc>
        <w:tc>
          <w:tcPr>
            <w:tcW w:w="4020" w:type="dxa"/>
            <w:vAlign w:val="bottom"/>
          </w:tcPr>
          <w:p>
            <w:pPr>
              <w:ind w:left="120"/>
              <w:spacing w:after="0"/>
              <w:rPr>
                <w:sz w:val="20"/>
                <w:szCs w:val="20"/>
                <w:color w:val="auto"/>
              </w:rPr>
            </w:pPr>
            <w:r>
              <w:rPr>
                <w:rFonts w:ascii="Arial" w:cs="Arial" w:eastAsia="Arial" w:hAnsi="Arial"/>
                <w:sz w:val="18"/>
                <w:szCs w:val="18"/>
                <w:color w:val="auto"/>
              </w:rPr>
              <w:t>Transfers into Level 3</w:t>
            </w:r>
          </w:p>
        </w:tc>
        <w:tc>
          <w:tcPr>
            <w:tcW w:w="12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00" w:type="dxa"/>
            <w:vAlign w:val="bottom"/>
          </w:tcPr>
          <w:p>
            <w:pPr>
              <w:spacing w:after="0"/>
              <w:rPr>
                <w:sz w:val="18"/>
                <w:szCs w:val="18"/>
                <w:color w:val="auto"/>
              </w:rPr>
            </w:pPr>
          </w:p>
        </w:tc>
        <w:tc>
          <w:tcPr>
            <w:tcW w:w="40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Transfers out of Level 3</w:t>
            </w: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467</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300" w:type="dxa"/>
            <w:vAlign w:val="bottom"/>
          </w:tcPr>
          <w:p>
            <w:pPr>
              <w:spacing w:after="0"/>
              <w:rPr>
                <w:sz w:val="18"/>
                <w:szCs w:val="18"/>
                <w:color w:val="auto"/>
              </w:rPr>
            </w:pPr>
          </w:p>
        </w:tc>
        <w:tc>
          <w:tcPr>
            <w:tcW w:w="4020" w:type="dxa"/>
            <w:vAlign w:val="bottom"/>
          </w:tcPr>
          <w:p>
            <w:pPr>
              <w:ind w:left="120"/>
              <w:spacing w:after="0"/>
              <w:rPr>
                <w:sz w:val="20"/>
                <w:szCs w:val="20"/>
                <w:color w:val="auto"/>
              </w:rPr>
            </w:pPr>
            <w:r>
              <w:rPr>
                <w:rFonts w:ascii="Arial" w:cs="Arial" w:eastAsia="Arial" w:hAnsi="Arial"/>
                <w:sz w:val="18"/>
                <w:szCs w:val="18"/>
                <w:color w:val="auto"/>
                <w:w w:val="91"/>
              </w:rPr>
              <w:t>Total net gains (losses) included in earnings (realized</w:t>
            </w: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300" w:type="dxa"/>
            <w:vAlign w:val="bottom"/>
          </w:tcPr>
          <w:p>
            <w:pPr>
              <w:spacing w:after="0"/>
              <w:rPr>
                <w:sz w:val="19"/>
                <w:szCs w:val="19"/>
                <w:color w:val="auto"/>
              </w:rPr>
            </w:pPr>
          </w:p>
        </w:tc>
        <w:tc>
          <w:tcPr>
            <w:tcW w:w="4020" w:type="dxa"/>
            <w:vAlign w:val="bottom"/>
          </w:tcPr>
          <w:p>
            <w:pPr>
              <w:ind w:left="300"/>
              <w:spacing w:after="0"/>
              <w:rPr>
                <w:sz w:val="20"/>
                <w:szCs w:val="20"/>
                <w:color w:val="auto"/>
              </w:rPr>
            </w:pPr>
            <w:r>
              <w:rPr>
                <w:rFonts w:ascii="Arial" w:cs="Arial" w:eastAsia="Arial" w:hAnsi="Arial"/>
                <w:sz w:val="18"/>
                <w:szCs w:val="18"/>
                <w:color w:val="auto"/>
              </w:rPr>
              <w:t>and unrealized)</w:t>
            </w:r>
          </w:p>
        </w:tc>
        <w:tc>
          <w:tcPr>
            <w:tcW w:w="1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21,227</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(417)</w:t>
            </w:r>
          </w:p>
        </w:tc>
        <w:tc>
          <w:tcPr>
            <w:tcW w:w="100" w:type="dxa"/>
            <w:vAlign w:val="bottom"/>
          </w:tcPr>
          <w:p>
            <w:pPr>
              <w:spacing w:after="0"/>
              <w:rPr>
                <w:sz w:val="19"/>
                <w:szCs w:val="19"/>
                <w:color w:val="auto"/>
              </w:rPr>
            </w:pPr>
          </w:p>
        </w:tc>
        <w:tc>
          <w:tcPr>
            <w:tcW w:w="2960" w:type="dxa"/>
            <w:vAlign w:val="bottom"/>
            <w:gridSpan w:val="3"/>
          </w:tcPr>
          <w:p>
            <w:pPr>
              <w:jc w:val="right"/>
              <w:ind w:right="24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7"/>
        </w:trPr>
        <w:tc>
          <w:tcPr>
            <w:tcW w:w="2300" w:type="dxa"/>
            <w:vAlign w:val="bottom"/>
          </w:tcPr>
          <w:p>
            <w:pPr>
              <w:spacing w:after="0"/>
              <w:rPr>
                <w:sz w:val="18"/>
                <w:szCs w:val="18"/>
                <w:color w:val="auto"/>
              </w:rPr>
            </w:pPr>
          </w:p>
        </w:tc>
        <w:tc>
          <w:tcPr>
            <w:tcW w:w="40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Purchases, sales, and settlements</w:t>
            </w: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00" w:type="dxa"/>
            <w:vAlign w:val="bottom"/>
          </w:tcPr>
          <w:p>
            <w:pPr>
              <w:spacing w:after="0"/>
              <w:rPr>
                <w:sz w:val="18"/>
                <w:szCs w:val="18"/>
                <w:color w:val="auto"/>
              </w:rPr>
            </w:pPr>
          </w:p>
        </w:tc>
        <w:tc>
          <w:tcPr>
            <w:tcW w:w="4020" w:type="dxa"/>
            <w:vAlign w:val="bottom"/>
          </w:tcPr>
          <w:p>
            <w:pPr>
              <w:ind w:left="260"/>
              <w:spacing w:after="0"/>
              <w:rPr>
                <w:sz w:val="20"/>
                <w:szCs w:val="20"/>
                <w:color w:val="auto"/>
              </w:rPr>
            </w:pPr>
            <w:r>
              <w:rPr>
                <w:rFonts w:ascii="Arial" w:cs="Arial" w:eastAsia="Arial" w:hAnsi="Arial"/>
                <w:sz w:val="18"/>
                <w:szCs w:val="18"/>
                <w:color w:val="auto"/>
              </w:rPr>
              <w:t>Purchases</w:t>
            </w:r>
          </w:p>
        </w:tc>
        <w:tc>
          <w:tcPr>
            <w:tcW w:w="12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00" w:type="dxa"/>
            <w:vAlign w:val="bottom"/>
          </w:tcPr>
          <w:p>
            <w:pPr>
              <w:spacing w:after="0"/>
              <w:rPr>
                <w:sz w:val="18"/>
                <w:szCs w:val="18"/>
                <w:color w:val="auto"/>
              </w:rPr>
            </w:pPr>
          </w:p>
        </w:tc>
        <w:tc>
          <w:tcPr>
            <w:tcW w:w="4020" w:type="dxa"/>
            <w:vAlign w:val="bottom"/>
            <w:shd w:val="clear" w:color="auto" w:fill="CCEEFF"/>
          </w:tcPr>
          <w:p>
            <w:pPr>
              <w:ind w:left="260"/>
              <w:spacing w:after="0"/>
              <w:rPr>
                <w:sz w:val="20"/>
                <w:szCs w:val="20"/>
                <w:color w:val="auto"/>
              </w:rPr>
            </w:pPr>
            <w:r>
              <w:rPr>
                <w:rFonts w:ascii="Arial" w:cs="Arial" w:eastAsia="Arial" w:hAnsi="Arial"/>
                <w:sz w:val="18"/>
                <w:szCs w:val="18"/>
                <w:color w:val="auto"/>
              </w:rPr>
              <w:t>Sales</w:t>
            </w: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00" w:type="dxa"/>
            <w:vAlign w:val="bottom"/>
          </w:tcPr>
          <w:p>
            <w:pPr>
              <w:spacing w:after="0"/>
              <w:rPr>
                <w:sz w:val="18"/>
                <w:szCs w:val="18"/>
                <w:color w:val="auto"/>
              </w:rPr>
            </w:pPr>
          </w:p>
        </w:tc>
        <w:tc>
          <w:tcPr>
            <w:tcW w:w="4020" w:type="dxa"/>
            <w:vAlign w:val="bottom"/>
          </w:tcPr>
          <w:p>
            <w:pPr>
              <w:ind w:left="260"/>
              <w:spacing w:after="0"/>
              <w:rPr>
                <w:sz w:val="20"/>
                <w:szCs w:val="20"/>
                <w:color w:val="auto"/>
              </w:rPr>
            </w:pPr>
            <w:r>
              <w:rPr>
                <w:rFonts w:ascii="Arial" w:cs="Arial" w:eastAsia="Arial" w:hAnsi="Arial"/>
                <w:sz w:val="18"/>
                <w:szCs w:val="18"/>
                <w:color w:val="auto"/>
              </w:rPr>
              <w:t>Settlements</w:t>
            </w:r>
          </w:p>
        </w:tc>
        <w:tc>
          <w:tcPr>
            <w:tcW w:w="1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(8,064)</w:t>
            </w:r>
          </w:p>
        </w:tc>
        <w:tc>
          <w:tcPr>
            <w:tcW w:w="10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(1)</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00" w:type="dxa"/>
            <w:vAlign w:val="bottom"/>
          </w:tcPr>
          <w:p>
            <w:pPr>
              <w:spacing w:after="0"/>
              <w:rPr>
                <w:sz w:val="18"/>
                <w:szCs w:val="18"/>
                <w:color w:val="auto"/>
              </w:rPr>
            </w:pPr>
          </w:p>
        </w:tc>
        <w:tc>
          <w:tcPr>
            <w:tcW w:w="40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Transfers of IRLCs to closed loans</w:t>
            </w: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(13,682)</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6320" w:type="dxa"/>
            <w:vAlign w:val="bottom"/>
            <w:gridSpan w:val="2"/>
            <w:vMerge w:val="restart"/>
          </w:tcPr>
          <w:p>
            <w:pPr>
              <w:ind w:left="2300"/>
              <w:spacing w:after="0"/>
              <w:rPr>
                <w:sz w:val="20"/>
                <w:szCs w:val="20"/>
                <w:color w:val="auto"/>
              </w:rPr>
            </w:pPr>
            <w:r>
              <w:rPr>
                <w:rFonts w:ascii="Arial" w:cs="Arial" w:eastAsia="Arial" w:hAnsi="Arial"/>
                <w:sz w:val="18"/>
                <w:szCs w:val="18"/>
                <w:color w:val="auto"/>
              </w:rPr>
              <w:t>Balance at September 30, 2009</w:t>
            </w: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gridSpan w:val="2"/>
          </w:tcPr>
          <w:p>
            <w:pPr>
              <w:spacing w:after="0"/>
              <w:rPr>
                <w:sz w:val="2"/>
                <w:szCs w:val="2"/>
                <w:color w:val="auto"/>
              </w:rPr>
            </w:pPr>
          </w:p>
        </w:tc>
        <w:tc>
          <w:tcPr>
            <w:tcW w:w="22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6320" w:type="dxa"/>
            <w:vAlign w:val="bottom"/>
            <w:gridSpan w:val="2"/>
            <w:vMerge w:val="continue"/>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6,179</w:t>
            </w:r>
          </w:p>
        </w:tc>
        <w:tc>
          <w:tcPr>
            <w:tcW w:w="16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(32)</w:t>
            </w:r>
          </w:p>
        </w:tc>
        <w:tc>
          <w:tcPr>
            <w:tcW w:w="16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270</w:t>
            </w:r>
          </w:p>
        </w:tc>
        <w:tc>
          <w:tcPr>
            <w:tcW w:w="16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300" w:type="dxa"/>
            <w:vAlign w:val="bottom"/>
          </w:tcPr>
          <w:p>
            <w:pPr>
              <w:spacing w:after="0" w:line="20" w:lineRule="exact"/>
              <w:rPr>
                <w:sz w:val="1"/>
                <w:szCs w:val="1"/>
                <w:color w:val="auto"/>
              </w:rPr>
            </w:pPr>
          </w:p>
        </w:tc>
        <w:tc>
          <w:tcPr>
            <w:tcW w:w="40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Borders>
              <w:bottom w:val="single" w:sz="8" w:color="auto"/>
            </w:tcBorders>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2300" w:type="dxa"/>
            <w:vAlign w:val="bottom"/>
          </w:tcPr>
          <w:p>
            <w:pPr>
              <w:spacing w:after="0" w:line="20" w:lineRule="exact"/>
              <w:rPr>
                <w:sz w:val="1"/>
                <w:szCs w:val="1"/>
                <w:color w:val="auto"/>
              </w:rPr>
            </w:pPr>
          </w:p>
        </w:tc>
        <w:tc>
          <w:tcPr>
            <w:tcW w:w="40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Borders>
              <w:bottom w:val="single" w:sz="8" w:color="auto"/>
            </w:tcBorders>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65"/>
        </w:trPr>
        <w:tc>
          <w:tcPr>
            <w:tcW w:w="2300" w:type="dxa"/>
            <w:vAlign w:val="bottom"/>
          </w:tcPr>
          <w:p>
            <w:pPr>
              <w:spacing w:after="0"/>
              <w:rPr>
                <w:sz w:val="24"/>
                <w:szCs w:val="24"/>
                <w:color w:val="auto"/>
              </w:rPr>
            </w:pPr>
          </w:p>
        </w:tc>
        <w:tc>
          <w:tcPr>
            <w:tcW w:w="4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920" w:type="dxa"/>
            <w:vAlign w:val="bottom"/>
            <w:gridSpan w:val="5"/>
          </w:tcPr>
          <w:p>
            <w:pPr>
              <w:jc w:val="center"/>
              <w:ind w:left="418"/>
              <w:spacing w:after="0"/>
              <w:rPr>
                <w:sz w:val="20"/>
                <w:szCs w:val="20"/>
                <w:color w:val="auto"/>
              </w:rPr>
            </w:pPr>
            <w:r>
              <w:rPr>
                <w:rFonts w:ascii="Arial" w:cs="Arial" w:eastAsia="Arial" w:hAnsi="Arial"/>
                <w:sz w:val="14"/>
                <w:szCs w:val="14"/>
                <w:b w:val="1"/>
                <w:bCs w:val="1"/>
                <w:color w:val="auto"/>
                <w:w w:val="88"/>
              </w:rPr>
              <w:t>Nine Months</w:t>
            </w: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1"/>
        </w:trPr>
        <w:tc>
          <w:tcPr>
            <w:tcW w:w="2300" w:type="dxa"/>
            <w:vAlign w:val="bottom"/>
          </w:tcPr>
          <w:p>
            <w:pPr>
              <w:spacing w:after="0"/>
              <w:rPr>
                <w:sz w:val="14"/>
                <w:szCs w:val="14"/>
                <w:color w:val="auto"/>
              </w:rPr>
            </w:pPr>
          </w:p>
        </w:tc>
        <w:tc>
          <w:tcPr>
            <w:tcW w:w="40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020" w:type="dxa"/>
            <w:vAlign w:val="bottom"/>
            <w:tcBorders>
              <w:bottom w:val="single" w:sz="8" w:color="auto"/>
            </w:tcBorders>
            <w:gridSpan w:val="6"/>
          </w:tcPr>
          <w:p>
            <w:pPr>
              <w:jc w:val="center"/>
              <w:ind w:left="318"/>
              <w:spacing w:after="0"/>
              <w:rPr>
                <w:sz w:val="20"/>
                <w:szCs w:val="20"/>
                <w:color w:val="auto"/>
              </w:rPr>
            </w:pPr>
            <w:r>
              <w:rPr>
                <w:rFonts w:ascii="Arial" w:cs="Arial" w:eastAsia="Arial" w:hAnsi="Arial"/>
                <w:sz w:val="14"/>
                <w:szCs w:val="14"/>
                <w:b w:val="1"/>
                <w:bCs w:val="1"/>
                <w:color w:val="auto"/>
                <w:w w:val="86"/>
              </w:rPr>
              <w:t>Ended September 30, 2009</w:t>
            </w:r>
          </w:p>
        </w:tc>
        <w:tc>
          <w:tcPr>
            <w:tcW w:w="52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300" w:type="dxa"/>
            <w:vAlign w:val="bottom"/>
          </w:tcPr>
          <w:p>
            <w:pPr>
              <w:spacing w:after="0"/>
              <w:rPr>
                <w:sz w:val="11"/>
                <w:szCs w:val="11"/>
                <w:color w:val="auto"/>
              </w:rPr>
            </w:pPr>
          </w:p>
        </w:tc>
        <w:tc>
          <w:tcPr>
            <w:tcW w:w="40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gridSpan w:val="2"/>
          </w:tcPr>
          <w:p>
            <w:pPr>
              <w:jc w:val="center"/>
              <w:ind w:right="260"/>
              <w:spacing w:after="0" w:line="129" w:lineRule="exact"/>
              <w:rPr>
                <w:sz w:val="20"/>
                <w:szCs w:val="20"/>
                <w:color w:val="auto"/>
              </w:rPr>
            </w:pPr>
            <w:r>
              <w:rPr>
                <w:rFonts w:ascii="Arial" w:cs="Arial" w:eastAsia="Arial" w:hAnsi="Arial"/>
                <w:sz w:val="14"/>
                <w:szCs w:val="14"/>
                <w:b w:val="1"/>
                <w:bCs w:val="1"/>
                <w:color w:val="auto"/>
                <w:w w:val="89"/>
              </w:rPr>
              <w:t>Interest Rate</w:t>
            </w:r>
          </w:p>
        </w:tc>
        <w:tc>
          <w:tcPr>
            <w:tcW w:w="100" w:type="dxa"/>
            <w:vAlign w:val="bottom"/>
          </w:tcPr>
          <w:p>
            <w:pPr>
              <w:spacing w:after="0"/>
              <w:rPr>
                <w:sz w:val="11"/>
                <w:szCs w:val="11"/>
                <w:color w:val="auto"/>
              </w:rPr>
            </w:pPr>
          </w:p>
        </w:tc>
        <w:tc>
          <w:tcPr>
            <w:tcW w:w="800" w:type="dxa"/>
            <w:vAlign w:val="bottom"/>
            <w:gridSpan w:val="2"/>
          </w:tcPr>
          <w:p>
            <w:pPr>
              <w:jc w:val="center"/>
              <w:ind w:right="260"/>
              <w:spacing w:after="0" w:line="129" w:lineRule="exact"/>
              <w:rPr>
                <w:sz w:val="20"/>
                <w:szCs w:val="20"/>
                <w:color w:val="auto"/>
              </w:rPr>
            </w:pPr>
            <w:r>
              <w:rPr>
                <w:rFonts w:ascii="Arial" w:cs="Arial" w:eastAsia="Arial" w:hAnsi="Arial"/>
                <w:sz w:val="14"/>
                <w:szCs w:val="14"/>
                <w:b w:val="1"/>
                <w:bCs w:val="1"/>
                <w:color w:val="auto"/>
                <w:w w:val="90"/>
              </w:rPr>
              <w:t>Forward</w:t>
            </w:r>
          </w:p>
        </w:tc>
        <w:tc>
          <w:tcPr>
            <w:tcW w:w="100" w:type="dxa"/>
            <w:vAlign w:val="bottom"/>
          </w:tcPr>
          <w:p>
            <w:pPr>
              <w:spacing w:after="0"/>
              <w:rPr>
                <w:sz w:val="11"/>
                <w:szCs w:val="11"/>
                <w:color w:val="auto"/>
              </w:rPr>
            </w:pPr>
          </w:p>
        </w:tc>
        <w:tc>
          <w:tcPr>
            <w:tcW w:w="520" w:type="dxa"/>
            <w:vAlign w:val="bottom"/>
          </w:tcPr>
          <w:p>
            <w:pPr>
              <w:jc w:val="center"/>
              <w:ind w:right="36"/>
              <w:spacing w:after="0" w:line="129" w:lineRule="exact"/>
              <w:rPr>
                <w:sz w:val="20"/>
                <w:szCs w:val="20"/>
                <w:color w:val="auto"/>
              </w:rPr>
            </w:pPr>
            <w:r>
              <w:rPr>
                <w:rFonts w:ascii="Arial" w:cs="Arial" w:eastAsia="Arial" w:hAnsi="Arial"/>
                <w:sz w:val="14"/>
                <w:szCs w:val="14"/>
                <w:b w:val="1"/>
                <w:bCs w:val="1"/>
                <w:color w:val="auto"/>
                <w:w w:val="87"/>
              </w:rPr>
              <w:t>Loans</w:t>
            </w:r>
          </w:p>
        </w:tc>
        <w:tc>
          <w:tcPr>
            <w:tcW w:w="2440" w:type="dxa"/>
            <w:vAlign w:val="bottom"/>
            <w:gridSpan w:val="2"/>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300" w:type="dxa"/>
            <w:vAlign w:val="bottom"/>
          </w:tcPr>
          <w:p>
            <w:pPr>
              <w:spacing w:after="0"/>
              <w:rPr>
                <w:sz w:val="12"/>
                <w:szCs w:val="12"/>
                <w:color w:val="auto"/>
              </w:rPr>
            </w:pPr>
          </w:p>
        </w:tc>
        <w:tc>
          <w:tcPr>
            <w:tcW w:w="4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1"/>
              </w:rPr>
              <w:t>Lock</w:t>
            </w:r>
          </w:p>
        </w:tc>
        <w:tc>
          <w:tcPr>
            <w:tcW w:w="100" w:type="dxa"/>
            <w:vAlign w:val="bottom"/>
          </w:tcPr>
          <w:p>
            <w:pPr>
              <w:spacing w:after="0"/>
              <w:rPr>
                <w:sz w:val="12"/>
                <w:szCs w:val="12"/>
                <w:color w:val="auto"/>
              </w:rPr>
            </w:pPr>
          </w:p>
        </w:tc>
        <w:tc>
          <w:tcPr>
            <w:tcW w:w="8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1"/>
              </w:rPr>
              <w:t>Delivery</w:t>
            </w:r>
          </w:p>
        </w:tc>
        <w:tc>
          <w:tcPr>
            <w:tcW w:w="100" w:type="dxa"/>
            <w:vAlign w:val="bottom"/>
          </w:tcPr>
          <w:p>
            <w:pPr>
              <w:spacing w:after="0"/>
              <w:rPr>
                <w:sz w:val="12"/>
                <w:szCs w:val="12"/>
                <w:color w:val="auto"/>
              </w:rPr>
            </w:pPr>
          </w:p>
        </w:tc>
        <w:tc>
          <w:tcPr>
            <w:tcW w:w="2960" w:type="dxa"/>
            <w:vAlign w:val="bottom"/>
            <w:gridSpan w:val="3"/>
          </w:tcPr>
          <w:p>
            <w:pPr>
              <w:jc w:val="center"/>
              <w:ind w:right="2560"/>
              <w:spacing w:after="0" w:line="149" w:lineRule="exact"/>
              <w:rPr>
                <w:sz w:val="20"/>
                <w:szCs w:val="20"/>
                <w:color w:val="auto"/>
              </w:rPr>
            </w:pPr>
            <w:r>
              <w:rPr>
                <w:rFonts w:ascii="Arial" w:cs="Arial" w:eastAsia="Arial" w:hAnsi="Arial"/>
                <w:sz w:val="14"/>
                <w:szCs w:val="14"/>
                <w:b w:val="1"/>
                <w:bCs w:val="1"/>
                <w:color w:val="auto"/>
                <w:w w:val="92"/>
              </w:rPr>
              <w:t>Held</w:t>
            </w:r>
          </w:p>
        </w:tc>
        <w:tc>
          <w:tcPr>
            <w:tcW w:w="0" w:type="dxa"/>
            <w:vAlign w:val="bottom"/>
          </w:tcPr>
          <w:p>
            <w:pPr>
              <w:spacing w:after="0"/>
              <w:rPr>
                <w:sz w:val="1"/>
                <w:szCs w:val="1"/>
                <w:color w:val="auto"/>
              </w:rPr>
            </w:pPr>
          </w:p>
        </w:tc>
      </w:tr>
      <w:tr>
        <w:trPr>
          <w:trHeight w:val="161"/>
        </w:trPr>
        <w:tc>
          <w:tcPr>
            <w:tcW w:w="2300" w:type="dxa"/>
            <w:vAlign w:val="bottom"/>
          </w:tcPr>
          <w:p>
            <w:pPr>
              <w:spacing w:after="0"/>
              <w:rPr>
                <w:sz w:val="14"/>
                <w:szCs w:val="14"/>
                <w:color w:val="auto"/>
              </w:rPr>
            </w:pPr>
          </w:p>
        </w:tc>
        <w:tc>
          <w:tcPr>
            <w:tcW w:w="4020" w:type="dxa"/>
            <w:vAlign w:val="bottom"/>
          </w:tcPr>
          <w:p>
            <w:pPr>
              <w:spacing w:after="0"/>
              <w:rPr>
                <w:sz w:val="14"/>
                <w:szCs w:val="14"/>
                <w:color w:val="auto"/>
              </w:rPr>
            </w:pPr>
          </w:p>
        </w:tc>
        <w:tc>
          <w:tcPr>
            <w:tcW w:w="98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7"/>
              </w:rPr>
              <w:t>Commitments</w:t>
            </w:r>
          </w:p>
        </w:tc>
        <w:tc>
          <w:tcPr>
            <w:tcW w:w="160" w:type="dxa"/>
            <w:vAlign w:val="bottom"/>
          </w:tcPr>
          <w:p>
            <w:pPr>
              <w:spacing w:after="0"/>
              <w:rPr>
                <w:sz w:val="14"/>
                <w:szCs w:val="14"/>
                <w:color w:val="auto"/>
              </w:rPr>
            </w:pPr>
          </w:p>
        </w:tc>
        <w:tc>
          <w:tcPr>
            <w:tcW w:w="74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8"/>
              </w:rPr>
              <w:t>Contracts</w:t>
            </w:r>
          </w:p>
        </w:tc>
        <w:tc>
          <w:tcPr>
            <w:tcW w:w="160" w:type="dxa"/>
            <w:vAlign w:val="bottom"/>
          </w:tcPr>
          <w:p>
            <w:pPr>
              <w:spacing w:after="0"/>
              <w:rPr>
                <w:sz w:val="14"/>
                <w:szCs w:val="14"/>
                <w:color w:val="auto"/>
              </w:rPr>
            </w:pPr>
          </w:p>
        </w:tc>
        <w:tc>
          <w:tcPr>
            <w:tcW w:w="62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5"/>
              </w:rPr>
              <w:t>for Sale</w:t>
            </w:r>
          </w:p>
        </w:tc>
        <w:tc>
          <w:tcPr>
            <w:tcW w:w="244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300" w:type="dxa"/>
            <w:vAlign w:val="bottom"/>
          </w:tcPr>
          <w:p>
            <w:pPr>
              <w:spacing w:after="0"/>
              <w:rPr>
                <w:sz w:val="18"/>
                <w:szCs w:val="18"/>
                <w:color w:val="auto"/>
              </w:rPr>
            </w:pPr>
          </w:p>
        </w:tc>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Balance at January 1, 2009</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5,904</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814</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00" w:type="dxa"/>
            <w:vAlign w:val="bottom"/>
          </w:tcPr>
          <w:p>
            <w:pPr>
              <w:spacing w:after="0"/>
              <w:rPr>
                <w:sz w:val="18"/>
                <w:szCs w:val="18"/>
                <w:color w:val="auto"/>
              </w:rPr>
            </w:pPr>
          </w:p>
        </w:tc>
        <w:tc>
          <w:tcPr>
            <w:tcW w:w="4020" w:type="dxa"/>
            <w:vAlign w:val="bottom"/>
          </w:tcPr>
          <w:p>
            <w:pPr>
              <w:ind w:left="120"/>
              <w:spacing w:after="0"/>
              <w:rPr>
                <w:sz w:val="20"/>
                <w:szCs w:val="20"/>
                <w:color w:val="auto"/>
              </w:rPr>
            </w:pPr>
            <w:r>
              <w:rPr>
                <w:rFonts w:ascii="Arial" w:cs="Arial" w:eastAsia="Arial" w:hAnsi="Arial"/>
                <w:sz w:val="18"/>
                <w:szCs w:val="18"/>
                <w:color w:val="auto"/>
              </w:rPr>
              <w:t>Transfers into Level 3</w:t>
            </w:r>
          </w:p>
        </w:tc>
        <w:tc>
          <w:tcPr>
            <w:tcW w:w="12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00" w:type="dxa"/>
            <w:vAlign w:val="bottom"/>
          </w:tcPr>
          <w:p>
            <w:pPr>
              <w:spacing w:after="0"/>
              <w:rPr>
                <w:sz w:val="18"/>
                <w:szCs w:val="18"/>
                <w:color w:val="auto"/>
              </w:rPr>
            </w:pPr>
          </w:p>
        </w:tc>
        <w:tc>
          <w:tcPr>
            <w:tcW w:w="40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Transfers out of Level 3</w:t>
            </w: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300" w:type="dxa"/>
            <w:vAlign w:val="bottom"/>
          </w:tcPr>
          <w:p>
            <w:pPr>
              <w:spacing w:after="0"/>
              <w:rPr>
                <w:sz w:val="18"/>
                <w:szCs w:val="18"/>
                <w:color w:val="auto"/>
              </w:rPr>
            </w:pPr>
          </w:p>
        </w:tc>
        <w:tc>
          <w:tcPr>
            <w:tcW w:w="4020" w:type="dxa"/>
            <w:vAlign w:val="bottom"/>
          </w:tcPr>
          <w:p>
            <w:pPr>
              <w:ind w:left="120"/>
              <w:spacing w:after="0"/>
              <w:rPr>
                <w:sz w:val="20"/>
                <w:szCs w:val="20"/>
                <w:color w:val="auto"/>
              </w:rPr>
            </w:pPr>
            <w:r>
              <w:rPr>
                <w:rFonts w:ascii="Arial" w:cs="Arial" w:eastAsia="Arial" w:hAnsi="Arial"/>
                <w:sz w:val="18"/>
                <w:szCs w:val="18"/>
                <w:color w:val="auto"/>
                <w:w w:val="91"/>
              </w:rPr>
              <w:t>Total net gains (losses) included in earnings (realized</w:t>
            </w: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300" w:type="dxa"/>
            <w:vAlign w:val="bottom"/>
          </w:tcPr>
          <w:p>
            <w:pPr>
              <w:spacing w:after="0"/>
              <w:rPr>
                <w:sz w:val="19"/>
                <w:szCs w:val="19"/>
                <w:color w:val="auto"/>
              </w:rPr>
            </w:pPr>
          </w:p>
        </w:tc>
        <w:tc>
          <w:tcPr>
            <w:tcW w:w="4020" w:type="dxa"/>
            <w:vAlign w:val="bottom"/>
          </w:tcPr>
          <w:p>
            <w:pPr>
              <w:ind w:left="300"/>
              <w:spacing w:after="0"/>
              <w:rPr>
                <w:sz w:val="20"/>
                <w:szCs w:val="20"/>
                <w:color w:val="auto"/>
              </w:rPr>
            </w:pPr>
            <w:r>
              <w:rPr>
                <w:rFonts w:ascii="Arial" w:cs="Arial" w:eastAsia="Arial" w:hAnsi="Arial"/>
                <w:sz w:val="18"/>
                <w:szCs w:val="18"/>
                <w:color w:val="auto"/>
              </w:rPr>
              <w:t>and unrealized)</w:t>
            </w:r>
          </w:p>
        </w:tc>
        <w:tc>
          <w:tcPr>
            <w:tcW w:w="1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74,178</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6</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8"/>
                <w:szCs w:val="18"/>
                <w:color w:val="auto"/>
              </w:rPr>
              <w:t>66</w:t>
            </w:r>
          </w:p>
        </w:tc>
        <w:tc>
          <w:tcPr>
            <w:tcW w:w="2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300" w:type="dxa"/>
            <w:vAlign w:val="bottom"/>
          </w:tcPr>
          <w:p>
            <w:pPr>
              <w:spacing w:after="0"/>
              <w:rPr>
                <w:sz w:val="18"/>
                <w:szCs w:val="18"/>
                <w:color w:val="auto"/>
              </w:rPr>
            </w:pPr>
          </w:p>
        </w:tc>
        <w:tc>
          <w:tcPr>
            <w:tcW w:w="40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Purchases, sales, and settlements</w:t>
            </w: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00" w:type="dxa"/>
            <w:vAlign w:val="bottom"/>
          </w:tcPr>
          <w:p>
            <w:pPr>
              <w:spacing w:after="0"/>
              <w:rPr>
                <w:sz w:val="18"/>
                <w:szCs w:val="18"/>
                <w:color w:val="auto"/>
              </w:rPr>
            </w:pPr>
          </w:p>
        </w:tc>
        <w:tc>
          <w:tcPr>
            <w:tcW w:w="4020" w:type="dxa"/>
            <w:vAlign w:val="bottom"/>
          </w:tcPr>
          <w:p>
            <w:pPr>
              <w:ind w:left="260"/>
              <w:spacing w:after="0"/>
              <w:rPr>
                <w:sz w:val="20"/>
                <w:szCs w:val="20"/>
                <w:color w:val="auto"/>
              </w:rPr>
            </w:pPr>
            <w:r>
              <w:rPr>
                <w:rFonts w:ascii="Arial" w:cs="Arial" w:eastAsia="Arial" w:hAnsi="Arial"/>
                <w:sz w:val="18"/>
                <w:szCs w:val="18"/>
                <w:color w:val="auto"/>
              </w:rPr>
              <w:t>Purchases</w:t>
            </w:r>
          </w:p>
        </w:tc>
        <w:tc>
          <w:tcPr>
            <w:tcW w:w="12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00" w:type="dxa"/>
            <w:vAlign w:val="bottom"/>
          </w:tcPr>
          <w:p>
            <w:pPr>
              <w:spacing w:after="0"/>
              <w:rPr>
                <w:sz w:val="18"/>
                <w:szCs w:val="18"/>
                <w:color w:val="auto"/>
              </w:rPr>
            </w:pPr>
          </w:p>
        </w:tc>
        <w:tc>
          <w:tcPr>
            <w:tcW w:w="4020" w:type="dxa"/>
            <w:vAlign w:val="bottom"/>
            <w:shd w:val="clear" w:color="auto" w:fill="CCEEFF"/>
          </w:tcPr>
          <w:p>
            <w:pPr>
              <w:ind w:left="260"/>
              <w:spacing w:after="0"/>
              <w:rPr>
                <w:sz w:val="20"/>
                <w:szCs w:val="20"/>
                <w:color w:val="auto"/>
              </w:rPr>
            </w:pPr>
            <w:r>
              <w:rPr>
                <w:rFonts w:ascii="Arial" w:cs="Arial" w:eastAsia="Arial" w:hAnsi="Arial"/>
                <w:sz w:val="18"/>
                <w:szCs w:val="18"/>
                <w:color w:val="auto"/>
              </w:rPr>
              <w:t>Sales</w:t>
            </w: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(358)</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00" w:type="dxa"/>
            <w:vAlign w:val="bottom"/>
          </w:tcPr>
          <w:p>
            <w:pPr>
              <w:spacing w:after="0"/>
              <w:rPr>
                <w:sz w:val="18"/>
                <w:szCs w:val="18"/>
                <w:color w:val="auto"/>
              </w:rPr>
            </w:pPr>
          </w:p>
        </w:tc>
        <w:tc>
          <w:tcPr>
            <w:tcW w:w="4020" w:type="dxa"/>
            <w:vAlign w:val="bottom"/>
          </w:tcPr>
          <w:p>
            <w:pPr>
              <w:ind w:left="260"/>
              <w:spacing w:after="0"/>
              <w:rPr>
                <w:sz w:val="20"/>
                <w:szCs w:val="20"/>
                <w:color w:val="auto"/>
              </w:rPr>
            </w:pPr>
            <w:r>
              <w:rPr>
                <w:rFonts w:ascii="Arial" w:cs="Arial" w:eastAsia="Arial" w:hAnsi="Arial"/>
                <w:sz w:val="18"/>
                <w:szCs w:val="18"/>
                <w:color w:val="auto"/>
              </w:rPr>
              <w:t>Settlements</w:t>
            </w:r>
          </w:p>
        </w:tc>
        <w:tc>
          <w:tcPr>
            <w:tcW w:w="1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(32,741)</w:t>
            </w:r>
          </w:p>
        </w:tc>
        <w:tc>
          <w:tcPr>
            <w:tcW w:w="10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(252)</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00" w:type="dxa"/>
            <w:vAlign w:val="bottom"/>
          </w:tcPr>
          <w:p>
            <w:pPr>
              <w:spacing w:after="0"/>
              <w:rPr>
                <w:sz w:val="18"/>
                <w:szCs w:val="18"/>
                <w:color w:val="auto"/>
              </w:rPr>
            </w:pPr>
          </w:p>
        </w:tc>
        <w:tc>
          <w:tcPr>
            <w:tcW w:w="40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Transfers of IRLCs to closed loans</w:t>
            </w: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(41,162)</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6320" w:type="dxa"/>
            <w:vAlign w:val="bottom"/>
            <w:gridSpan w:val="2"/>
            <w:vMerge w:val="restart"/>
          </w:tcPr>
          <w:p>
            <w:pPr>
              <w:ind w:left="2300"/>
              <w:spacing w:after="0"/>
              <w:rPr>
                <w:sz w:val="20"/>
                <w:szCs w:val="20"/>
                <w:color w:val="auto"/>
              </w:rPr>
            </w:pPr>
            <w:r>
              <w:rPr>
                <w:rFonts w:ascii="Arial" w:cs="Arial" w:eastAsia="Arial" w:hAnsi="Arial"/>
                <w:sz w:val="18"/>
                <w:szCs w:val="18"/>
                <w:color w:val="auto"/>
              </w:rPr>
              <w:t>Balance at September 30, 2009</w:t>
            </w: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gridSpan w:val="2"/>
          </w:tcPr>
          <w:p>
            <w:pPr>
              <w:spacing w:after="0"/>
              <w:rPr>
                <w:sz w:val="2"/>
                <w:szCs w:val="2"/>
                <w:color w:val="auto"/>
              </w:rPr>
            </w:pPr>
          </w:p>
        </w:tc>
        <w:tc>
          <w:tcPr>
            <w:tcW w:w="22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6320" w:type="dxa"/>
            <w:vAlign w:val="bottom"/>
            <w:gridSpan w:val="2"/>
            <w:vMerge w:val="continue"/>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6,179</w:t>
            </w:r>
          </w:p>
        </w:tc>
        <w:tc>
          <w:tcPr>
            <w:tcW w:w="16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(32)</w:t>
            </w:r>
          </w:p>
        </w:tc>
        <w:tc>
          <w:tcPr>
            <w:tcW w:w="16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270</w:t>
            </w:r>
          </w:p>
        </w:tc>
        <w:tc>
          <w:tcPr>
            <w:tcW w:w="16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6320" w:type="dxa"/>
            <w:vAlign w:val="bottom"/>
            <w:gridSpan w:val="2"/>
            <w:vMerge w:val="restart"/>
          </w:tcPr>
          <w:p>
            <w:pPr>
              <w:jc w:val="right"/>
              <w:ind w:right="432"/>
              <w:spacing w:after="0"/>
              <w:rPr>
                <w:sz w:val="20"/>
                <w:szCs w:val="20"/>
                <w:color w:val="auto"/>
              </w:rPr>
            </w:pPr>
            <w:r>
              <w:rPr>
                <w:rFonts w:ascii="Arial" w:cs="Arial" w:eastAsia="Arial" w:hAnsi="Arial"/>
                <w:sz w:val="18"/>
                <w:szCs w:val="18"/>
                <w:color w:val="auto"/>
              </w:rPr>
              <w:t>26</w:t>
            </w: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6320" w:type="dxa"/>
            <w:vAlign w:val="bottom"/>
            <w:gridSpan w:val="2"/>
            <w:vMerge w:val="continue"/>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1"/>
        </w:trPr>
        <w:tc>
          <w:tcPr>
            <w:tcW w:w="6320" w:type="dxa"/>
            <w:vAlign w:val="bottom"/>
            <w:gridSpan w:val="2"/>
            <w:vMerge w:val="continue"/>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2300" w:type="dxa"/>
            <w:vAlign w:val="bottom"/>
            <w:tcBorders>
              <w:bottom w:val="single" w:sz="8" w:color="808080"/>
            </w:tcBorders>
          </w:tcPr>
          <w:p>
            <w:pPr>
              <w:spacing w:after="0"/>
              <w:rPr>
                <w:sz w:val="19"/>
                <w:szCs w:val="19"/>
                <w:color w:val="auto"/>
              </w:rPr>
            </w:pPr>
          </w:p>
        </w:tc>
        <w:tc>
          <w:tcPr>
            <w:tcW w:w="402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86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64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52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228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7" w:name="page28"/>
    <w:bookmarkEnd w:id="2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TREE.COM, INC. AND SUBSIDIARIES</w:t>
      </w:r>
    </w:p>
    <w:p>
      <w:pPr>
        <w:spacing w:after="0" w:line="225" w:lineRule="exact"/>
        <w:rPr>
          <w:sz w:val="20"/>
          <w:szCs w:val="20"/>
          <w:color w:val="auto"/>
        </w:rPr>
      </w:pPr>
    </w:p>
    <w:p>
      <w:pPr>
        <w:ind w:left="294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9—FAIR VALUE MEASUREMENTS (Continued)</w:t>
      </w:r>
    </w:p>
    <w:p>
      <w:pPr>
        <w:spacing w:after="0" w:line="231" w:lineRule="exact"/>
        <w:rPr>
          <w:sz w:val="20"/>
          <w:szCs w:val="20"/>
          <w:color w:val="auto"/>
        </w:rPr>
      </w:pPr>
    </w:p>
    <w:p>
      <w:pPr>
        <w:ind w:right="440" w:firstLine="348"/>
        <w:spacing w:after="0" w:line="332" w:lineRule="auto"/>
        <w:rPr>
          <w:sz w:val="20"/>
          <w:szCs w:val="20"/>
          <w:color w:val="auto"/>
        </w:rPr>
      </w:pPr>
      <w:r>
        <w:rPr>
          <w:rFonts w:ascii="Arial" w:cs="Arial" w:eastAsia="Arial" w:hAnsi="Arial"/>
          <w:sz w:val="16"/>
          <w:szCs w:val="16"/>
          <w:color w:val="auto"/>
        </w:rPr>
        <w:t>The following presents the gains (losses) included in earnings for the three and nine months ended September 30, 2010 and 2009 relating to Tree.com's assets and liabilities that are measured at fair value on a recurring basis using significant unobservable inputs (Level 3) (in thousands):</w:t>
      </w:r>
    </w:p>
    <w:p>
      <w:pPr>
        <w:spacing w:after="0" w:line="122"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60" w:type="dxa"/>
            <w:vAlign w:val="bottom"/>
            <w:gridSpan w:val="5"/>
          </w:tcPr>
          <w:p>
            <w:pPr>
              <w:jc w:val="center"/>
              <w:ind w:left="486"/>
              <w:spacing w:after="0"/>
              <w:rPr>
                <w:sz w:val="20"/>
                <w:szCs w:val="20"/>
                <w:color w:val="auto"/>
              </w:rPr>
            </w:pPr>
            <w:r>
              <w:rPr>
                <w:rFonts w:ascii="Arial" w:cs="Arial" w:eastAsia="Arial" w:hAnsi="Arial"/>
                <w:sz w:val="14"/>
                <w:szCs w:val="14"/>
                <w:b w:val="1"/>
                <w:bCs w:val="1"/>
                <w:color w:val="auto"/>
                <w:w w:val="89"/>
              </w:rPr>
              <w:t>Three Months</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20" w:type="dxa"/>
            <w:vAlign w:val="bottom"/>
            <w:gridSpan w:val="5"/>
          </w:tcPr>
          <w:p>
            <w:pPr>
              <w:jc w:val="center"/>
              <w:ind w:left="446"/>
              <w:spacing w:after="0"/>
              <w:rPr>
                <w:sz w:val="20"/>
                <w:szCs w:val="20"/>
                <w:color w:val="auto"/>
              </w:rPr>
            </w:pPr>
            <w:r>
              <w:rPr>
                <w:rFonts w:ascii="Arial" w:cs="Arial" w:eastAsia="Arial" w:hAnsi="Arial"/>
                <w:sz w:val="14"/>
                <w:szCs w:val="14"/>
                <w:b w:val="1"/>
                <w:bCs w:val="1"/>
                <w:color w:val="auto"/>
                <w:w w:val="90"/>
              </w:rPr>
              <w:t>Nine Months</w:t>
            </w:r>
          </w:p>
        </w:tc>
        <w:tc>
          <w:tcPr>
            <w:tcW w:w="1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35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020" w:type="dxa"/>
            <w:vAlign w:val="bottom"/>
            <w:tcBorders>
              <w:bottom w:val="single" w:sz="8" w:color="auto"/>
            </w:tcBorders>
            <w:gridSpan w:val="7"/>
          </w:tcPr>
          <w:p>
            <w:pPr>
              <w:jc w:val="center"/>
              <w:ind w:left="326"/>
              <w:spacing w:after="0"/>
              <w:rPr>
                <w:sz w:val="20"/>
                <w:szCs w:val="20"/>
                <w:color w:val="auto"/>
              </w:rPr>
            </w:pPr>
            <w:r>
              <w:rPr>
                <w:rFonts w:ascii="Arial" w:cs="Arial" w:eastAsia="Arial" w:hAnsi="Arial"/>
                <w:sz w:val="14"/>
                <w:szCs w:val="14"/>
                <w:b w:val="1"/>
                <w:bCs w:val="1"/>
                <w:color w:val="auto"/>
                <w:w w:val="86"/>
              </w:rPr>
              <w:t>Ended September 30, 2010</w:t>
            </w:r>
          </w:p>
        </w:tc>
        <w:tc>
          <w:tcPr>
            <w:tcW w:w="52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040" w:type="dxa"/>
            <w:vAlign w:val="bottom"/>
            <w:tcBorders>
              <w:bottom w:val="single" w:sz="8" w:color="auto"/>
            </w:tcBorders>
            <w:gridSpan w:val="6"/>
          </w:tcPr>
          <w:p>
            <w:pPr>
              <w:jc w:val="center"/>
              <w:ind w:left="326"/>
              <w:spacing w:after="0"/>
              <w:rPr>
                <w:sz w:val="20"/>
                <w:szCs w:val="20"/>
                <w:color w:val="auto"/>
              </w:rPr>
            </w:pPr>
            <w:r>
              <w:rPr>
                <w:rFonts w:ascii="Arial" w:cs="Arial" w:eastAsia="Arial" w:hAnsi="Arial"/>
                <w:sz w:val="14"/>
                <w:szCs w:val="14"/>
                <w:b w:val="1"/>
                <w:bCs w:val="1"/>
                <w:color w:val="auto"/>
                <w:w w:val="85"/>
              </w:rPr>
              <w:t>Ended September 30, 2010</w:t>
            </w:r>
          </w:p>
        </w:tc>
        <w:tc>
          <w:tcPr>
            <w:tcW w:w="52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3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tcPr>
          <w:p>
            <w:pPr>
              <w:jc w:val="center"/>
              <w:ind w:right="26"/>
              <w:spacing w:after="0" w:line="129" w:lineRule="exact"/>
              <w:rPr>
                <w:sz w:val="20"/>
                <w:szCs w:val="20"/>
                <w:color w:val="auto"/>
              </w:rPr>
            </w:pPr>
            <w:r>
              <w:rPr>
                <w:rFonts w:ascii="Arial" w:cs="Arial" w:eastAsia="Arial" w:hAnsi="Arial"/>
                <w:sz w:val="14"/>
                <w:szCs w:val="14"/>
                <w:b w:val="1"/>
                <w:bCs w:val="1"/>
                <w:color w:val="auto"/>
                <w:w w:val="89"/>
              </w:rPr>
              <w:t>Interest Rate</w:t>
            </w: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gridSpan w:val="2"/>
          </w:tcPr>
          <w:p>
            <w:pPr>
              <w:jc w:val="center"/>
              <w:ind w:right="200"/>
              <w:spacing w:after="0" w:line="129" w:lineRule="exact"/>
              <w:rPr>
                <w:sz w:val="20"/>
                <w:szCs w:val="20"/>
                <w:color w:val="auto"/>
              </w:rPr>
            </w:pPr>
            <w:r>
              <w:rPr>
                <w:rFonts w:ascii="Arial" w:cs="Arial" w:eastAsia="Arial" w:hAnsi="Arial"/>
                <w:sz w:val="14"/>
                <w:szCs w:val="14"/>
                <w:b w:val="1"/>
                <w:bCs w:val="1"/>
                <w:color w:val="auto"/>
                <w:w w:val="90"/>
              </w:rPr>
              <w:t>Forward</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jc w:val="center"/>
              <w:ind w:right="42"/>
              <w:spacing w:after="0" w:line="129" w:lineRule="exact"/>
              <w:rPr>
                <w:sz w:val="20"/>
                <w:szCs w:val="20"/>
                <w:color w:val="auto"/>
              </w:rPr>
            </w:pPr>
            <w:r>
              <w:rPr>
                <w:rFonts w:ascii="Arial" w:cs="Arial" w:eastAsia="Arial" w:hAnsi="Arial"/>
                <w:sz w:val="14"/>
                <w:szCs w:val="14"/>
                <w:b w:val="1"/>
                <w:bCs w:val="1"/>
                <w:color w:val="auto"/>
                <w:w w:val="87"/>
              </w:rPr>
              <w:t>Loans</w:t>
            </w: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tcPr>
          <w:p>
            <w:pPr>
              <w:jc w:val="center"/>
              <w:ind w:right="46"/>
              <w:spacing w:after="0" w:line="129" w:lineRule="exact"/>
              <w:rPr>
                <w:sz w:val="20"/>
                <w:szCs w:val="20"/>
                <w:color w:val="auto"/>
              </w:rPr>
            </w:pPr>
            <w:r>
              <w:rPr>
                <w:rFonts w:ascii="Arial" w:cs="Arial" w:eastAsia="Arial" w:hAnsi="Arial"/>
                <w:sz w:val="14"/>
                <w:szCs w:val="14"/>
                <w:b w:val="1"/>
                <w:bCs w:val="1"/>
                <w:color w:val="auto"/>
                <w:w w:val="89"/>
              </w:rPr>
              <w:t>Interest Rate</w:t>
            </w: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gridSpan w:val="2"/>
          </w:tcPr>
          <w:p>
            <w:pPr>
              <w:jc w:val="center"/>
              <w:ind w:right="260"/>
              <w:spacing w:after="0" w:line="129" w:lineRule="exact"/>
              <w:rPr>
                <w:sz w:val="20"/>
                <w:szCs w:val="20"/>
                <w:color w:val="auto"/>
              </w:rPr>
            </w:pPr>
            <w:r>
              <w:rPr>
                <w:rFonts w:ascii="Arial" w:cs="Arial" w:eastAsia="Arial" w:hAnsi="Arial"/>
                <w:sz w:val="14"/>
                <w:szCs w:val="14"/>
                <w:b w:val="1"/>
                <w:bCs w:val="1"/>
                <w:color w:val="auto"/>
                <w:w w:val="94"/>
              </w:rPr>
              <w:t>Forward</w:t>
            </w:r>
          </w:p>
        </w:tc>
        <w:tc>
          <w:tcPr>
            <w:tcW w:w="120" w:type="dxa"/>
            <w:vAlign w:val="bottom"/>
          </w:tcPr>
          <w:p>
            <w:pPr>
              <w:spacing w:after="0"/>
              <w:rPr>
                <w:sz w:val="11"/>
                <w:szCs w:val="11"/>
                <w:color w:val="auto"/>
              </w:rPr>
            </w:pPr>
          </w:p>
        </w:tc>
        <w:tc>
          <w:tcPr>
            <w:tcW w:w="520" w:type="dxa"/>
            <w:vAlign w:val="bottom"/>
          </w:tcPr>
          <w:p>
            <w:pPr>
              <w:jc w:val="center"/>
              <w:ind w:right="42"/>
              <w:spacing w:after="0" w:line="129" w:lineRule="exact"/>
              <w:rPr>
                <w:sz w:val="20"/>
                <w:szCs w:val="20"/>
                <w:color w:val="auto"/>
              </w:rPr>
            </w:pPr>
            <w:r>
              <w:rPr>
                <w:rFonts w:ascii="Arial" w:cs="Arial" w:eastAsia="Arial" w:hAnsi="Arial"/>
                <w:sz w:val="14"/>
                <w:szCs w:val="14"/>
                <w:b w:val="1"/>
                <w:bCs w:val="1"/>
                <w:color w:val="auto"/>
                <w:w w:val="87"/>
              </w:rPr>
              <w:t>Loans</w:t>
            </w: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jc w:val="center"/>
              <w:ind w:right="46"/>
              <w:spacing w:after="0" w:line="149" w:lineRule="exact"/>
              <w:rPr>
                <w:sz w:val="20"/>
                <w:szCs w:val="20"/>
                <w:color w:val="auto"/>
              </w:rPr>
            </w:pPr>
            <w:r>
              <w:rPr>
                <w:rFonts w:ascii="Arial" w:cs="Arial" w:eastAsia="Arial" w:hAnsi="Arial"/>
                <w:sz w:val="14"/>
                <w:szCs w:val="14"/>
                <w:b w:val="1"/>
                <w:bCs w:val="1"/>
                <w:color w:val="auto"/>
                <w:w w:val="91"/>
              </w:rPr>
              <w:t>Lock</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1"/>
              </w:rPr>
              <w:t>Delivery</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2"/>
              </w:rPr>
              <w:t>Held</w:t>
            </w:r>
          </w:p>
        </w:tc>
        <w:tc>
          <w:tcPr>
            <w:tcW w:w="100" w:type="dxa"/>
            <w:vAlign w:val="bottom"/>
          </w:tcPr>
          <w:p>
            <w:pPr>
              <w:spacing w:after="0"/>
              <w:rPr>
                <w:sz w:val="12"/>
                <w:szCs w:val="12"/>
                <w:color w:val="auto"/>
              </w:rPr>
            </w:pPr>
          </w:p>
        </w:tc>
        <w:tc>
          <w:tcPr>
            <w:tcW w:w="880" w:type="dxa"/>
            <w:vAlign w:val="bottom"/>
          </w:tcPr>
          <w:p>
            <w:pPr>
              <w:jc w:val="center"/>
              <w:ind w:right="46"/>
              <w:spacing w:after="0" w:line="149" w:lineRule="exact"/>
              <w:rPr>
                <w:sz w:val="20"/>
                <w:szCs w:val="20"/>
                <w:color w:val="auto"/>
              </w:rPr>
            </w:pPr>
            <w:r>
              <w:rPr>
                <w:rFonts w:ascii="Arial" w:cs="Arial" w:eastAsia="Arial" w:hAnsi="Arial"/>
                <w:sz w:val="14"/>
                <w:szCs w:val="14"/>
                <w:b w:val="1"/>
                <w:bCs w:val="1"/>
                <w:color w:val="auto"/>
                <w:w w:val="85"/>
              </w:rPr>
              <w:t>Lock</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8"/>
              </w:rPr>
              <w:t>Delivery</w:t>
            </w:r>
          </w:p>
        </w:tc>
        <w:tc>
          <w:tcPr>
            <w:tcW w:w="120" w:type="dxa"/>
            <w:vAlign w:val="bottom"/>
          </w:tcPr>
          <w:p>
            <w:pPr>
              <w:spacing w:after="0"/>
              <w:rPr>
                <w:sz w:val="12"/>
                <w:szCs w:val="12"/>
                <w:color w:val="auto"/>
              </w:rPr>
            </w:pPr>
          </w:p>
        </w:tc>
        <w:tc>
          <w:tcPr>
            <w:tcW w:w="68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2"/>
              </w:rPr>
              <w:t>Held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3580" w:type="dxa"/>
            <w:vAlign w:val="bottom"/>
          </w:tcPr>
          <w:p>
            <w:pPr>
              <w:spacing w:after="0"/>
              <w:rPr>
                <w:sz w:val="14"/>
                <w:szCs w:val="14"/>
                <w:color w:val="auto"/>
              </w:rPr>
            </w:pPr>
          </w:p>
        </w:tc>
        <w:tc>
          <w:tcPr>
            <w:tcW w:w="960" w:type="dxa"/>
            <w:vAlign w:val="bottom"/>
            <w:gridSpan w:val="2"/>
          </w:tcPr>
          <w:p>
            <w:pPr>
              <w:jc w:val="center"/>
              <w:spacing w:after="0"/>
              <w:rPr>
                <w:sz w:val="20"/>
                <w:szCs w:val="20"/>
                <w:color w:val="auto"/>
              </w:rPr>
            </w:pPr>
            <w:r>
              <w:rPr>
                <w:rFonts w:ascii="Arial" w:cs="Arial" w:eastAsia="Arial" w:hAnsi="Arial"/>
                <w:sz w:val="14"/>
                <w:szCs w:val="14"/>
                <w:b w:val="1"/>
                <w:bCs w:val="1"/>
                <w:color w:val="auto"/>
                <w:w w:val="87"/>
              </w:rPr>
              <w:t>Commitments</w:t>
            </w:r>
          </w:p>
        </w:tc>
        <w:tc>
          <w:tcPr>
            <w:tcW w:w="160" w:type="dxa"/>
            <w:vAlign w:val="bottom"/>
          </w:tcPr>
          <w:p>
            <w:pPr>
              <w:spacing w:after="0"/>
              <w:rPr>
                <w:sz w:val="14"/>
                <w:szCs w:val="14"/>
                <w:color w:val="auto"/>
              </w:rPr>
            </w:pPr>
          </w:p>
        </w:tc>
        <w:tc>
          <w:tcPr>
            <w:tcW w:w="84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88"/>
              </w:rPr>
              <w:t>Contracts</w:t>
            </w:r>
          </w:p>
        </w:tc>
        <w:tc>
          <w:tcPr>
            <w:tcW w:w="60" w:type="dxa"/>
            <w:vAlign w:val="bottom"/>
          </w:tcPr>
          <w:p>
            <w:pPr>
              <w:spacing w:after="0"/>
              <w:rPr>
                <w:sz w:val="14"/>
                <w:szCs w:val="14"/>
                <w:color w:val="auto"/>
              </w:rPr>
            </w:pPr>
          </w:p>
        </w:tc>
        <w:tc>
          <w:tcPr>
            <w:tcW w:w="780" w:type="dxa"/>
            <w:vAlign w:val="bottom"/>
            <w:gridSpan w:val="3"/>
          </w:tcPr>
          <w:p>
            <w:pPr>
              <w:jc w:val="center"/>
              <w:ind w:right="180"/>
              <w:spacing w:after="0"/>
              <w:rPr>
                <w:sz w:val="20"/>
                <w:szCs w:val="20"/>
                <w:color w:val="auto"/>
              </w:rPr>
            </w:pPr>
            <w:r>
              <w:rPr>
                <w:rFonts w:ascii="Arial" w:cs="Arial" w:eastAsia="Arial" w:hAnsi="Arial"/>
                <w:sz w:val="14"/>
                <w:szCs w:val="14"/>
                <w:b w:val="1"/>
                <w:bCs w:val="1"/>
                <w:color w:val="auto"/>
                <w:w w:val="85"/>
              </w:rPr>
              <w:t>for Sale</w:t>
            </w:r>
          </w:p>
        </w:tc>
        <w:tc>
          <w:tcPr>
            <w:tcW w:w="980" w:type="dxa"/>
            <w:vAlign w:val="bottom"/>
            <w:gridSpan w:val="2"/>
          </w:tcPr>
          <w:p>
            <w:pPr>
              <w:jc w:val="center"/>
              <w:spacing w:after="0"/>
              <w:rPr>
                <w:sz w:val="20"/>
                <w:szCs w:val="20"/>
                <w:color w:val="auto"/>
              </w:rPr>
            </w:pPr>
            <w:r>
              <w:rPr>
                <w:rFonts w:ascii="Arial" w:cs="Arial" w:eastAsia="Arial" w:hAnsi="Arial"/>
                <w:sz w:val="14"/>
                <w:szCs w:val="14"/>
                <w:b w:val="1"/>
                <w:bCs w:val="1"/>
                <w:color w:val="auto"/>
                <w:w w:val="87"/>
              </w:rPr>
              <w:t>Commitments</w:t>
            </w:r>
          </w:p>
        </w:tc>
        <w:tc>
          <w:tcPr>
            <w:tcW w:w="160" w:type="dxa"/>
            <w:vAlign w:val="bottom"/>
          </w:tcPr>
          <w:p>
            <w:pPr>
              <w:spacing w:after="0"/>
              <w:rPr>
                <w:sz w:val="14"/>
                <w:szCs w:val="14"/>
                <w:color w:val="auto"/>
              </w:rPr>
            </w:pPr>
          </w:p>
        </w:tc>
        <w:tc>
          <w:tcPr>
            <w:tcW w:w="88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w w:val="85"/>
              </w:rPr>
              <w:t>Contracts</w:t>
            </w:r>
          </w:p>
        </w:tc>
        <w:tc>
          <w:tcPr>
            <w:tcW w:w="80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w w:val="85"/>
              </w:rPr>
              <w:t>for Sale</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35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9"/>
              </w:rPr>
              <w:t>Total net gains (losses) included in earnings,</w:t>
            </w:r>
          </w:p>
        </w:tc>
        <w:tc>
          <w:tcPr>
            <w:tcW w:w="10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which are included in revenue from</w:t>
            </w: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5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LendingTree Loans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33,683</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00" w:type="dxa"/>
            <w:vAlign w:val="bottom"/>
            <w:shd w:val="clear" w:color="auto" w:fill="CCEEFF"/>
          </w:tcPr>
          <w:p>
            <w:pPr>
              <w:spacing w:after="0"/>
              <w:rPr>
                <w:sz w:val="19"/>
                <w:szCs w:val="19"/>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83,752</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(613)</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(111)</w:t>
            </w:r>
          </w:p>
        </w:tc>
        <w:tc>
          <w:tcPr>
            <w:tcW w:w="0" w:type="dxa"/>
            <w:vAlign w:val="bottom"/>
          </w:tcPr>
          <w:p>
            <w:pPr>
              <w:spacing w:after="0"/>
              <w:rPr>
                <w:sz w:val="1"/>
                <w:szCs w:val="1"/>
                <w:color w:val="auto"/>
              </w:rPr>
            </w:pPr>
          </w:p>
        </w:tc>
      </w:tr>
      <w:tr>
        <w:trPr>
          <w:trHeight w:val="27"/>
        </w:trPr>
        <w:tc>
          <w:tcPr>
            <w:tcW w:w="3600" w:type="dxa"/>
            <w:vAlign w:val="bottom"/>
            <w:gridSpan w:val="2"/>
            <w:vMerge w:val="restart"/>
          </w:tcPr>
          <w:p>
            <w:pPr>
              <w:spacing w:after="0"/>
              <w:rPr>
                <w:sz w:val="20"/>
                <w:szCs w:val="20"/>
                <w:color w:val="auto"/>
              </w:rPr>
            </w:pPr>
            <w:r>
              <w:rPr>
                <w:rFonts w:ascii="Arial" w:cs="Arial" w:eastAsia="Arial" w:hAnsi="Arial"/>
                <w:sz w:val="18"/>
                <w:szCs w:val="18"/>
                <w:color w:val="auto"/>
                <w:w w:val="96"/>
              </w:rPr>
              <w:t>Change in unrealized gains (losses) relating to</w:t>
            </w:r>
          </w:p>
        </w:tc>
        <w:tc>
          <w:tcPr>
            <w:tcW w:w="1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3600" w:type="dxa"/>
            <w:vAlign w:val="bottom"/>
            <w:gridSpan w:val="2"/>
            <w:vMerge w:val="continue"/>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360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80" w:type="dxa"/>
            <w:vAlign w:val="bottom"/>
          </w:tcPr>
          <w:p>
            <w:pPr>
              <w:ind w:left="160"/>
              <w:spacing w:after="0"/>
              <w:rPr>
                <w:sz w:val="20"/>
                <w:szCs w:val="20"/>
                <w:color w:val="auto"/>
              </w:rPr>
            </w:pPr>
            <w:r>
              <w:rPr>
                <w:rFonts w:ascii="Arial" w:cs="Arial" w:eastAsia="Arial" w:hAnsi="Arial"/>
                <w:sz w:val="18"/>
                <w:szCs w:val="18"/>
                <w:color w:val="auto"/>
              </w:rPr>
              <w:t>assets and liabilities still held at</w:t>
            </w: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80" w:type="dxa"/>
            <w:vAlign w:val="bottom"/>
          </w:tcPr>
          <w:p>
            <w:pPr>
              <w:ind w:left="160"/>
              <w:spacing w:after="0"/>
              <w:rPr>
                <w:sz w:val="20"/>
                <w:szCs w:val="20"/>
                <w:color w:val="auto"/>
              </w:rPr>
            </w:pPr>
            <w:r>
              <w:rPr>
                <w:rFonts w:ascii="Arial" w:cs="Arial" w:eastAsia="Arial" w:hAnsi="Arial"/>
                <w:sz w:val="18"/>
                <w:szCs w:val="18"/>
                <w:color w:val="auto"/>
                <w:w w:val="99"/>
              </w:rPr>
              <w:t>September 30, 2010, which are included in</w:t>
            </w: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580" w:type="dxa"/>
            <w:vAlign w:val="bottom"/>
          </w:tcPr>
          <w:p>
            <w:pPr>
              <w:ind w:left="160"/>
              <w:spacing w:after="0"/>
              <w:rPr>
                <w:sz w:val="20"/>
                <w:szCs w:val="20"/>
                <w:color w:val="auto"/>
              </w:rPr>
            </w:pPr>
            <w:r>
              <w:rPr>
                <w:rFonts w:ascii="Arial" w:cs="Arial" w:eastAsia="Arial" w:hAnsi="Arial"/>
                <w:sz w:val="18"/>
                <w:szCs w:val="18"/>
                <w:color w:val="auto"/>
              </w:rPr>
              <w:t>revenue from LendingTree Loans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10,249</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(17)</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(112)</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10,249</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(17)</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2</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9"/>
        </w:trPr>
        <w:tc>
          <w:tcPr>
            <w:tcW w:w="20" w:type="dxa"/>
            <w:vAlign w:val="bottom"/>
          </w:tcPr>
          <w:p>
            <w:pPr>
              <w:spacing w:after="0"/>
              <w:rPr>
                <w:sz w:val="2"/>
                <w:szCs w:val="2"/>
                <w:color w:val="auto"/>
              </w:rPr>
            </w:pPr>
          </w:p>
        </w:tc>
        <w:tc>
          <w:tcPr>
            <w:tcW w:w="358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Borders>
              <w:bottom w:val="single" w:sz="8" w:color="auto"/>
            </w:tcBorders>
            <w:gridSpan w:val="2"/>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Borders>
              <w:bottom w:val="single" w:sz="8" w:color="auto"/>
            </w:tcBorders>
            <w:gridSpan w:val="2"/>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5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Borders>
              <w:bottom w:val="single" w:sz="8" w:color="auto"/>
            </w:tcBorders>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65"/>
        </w:trPr>
        <w:tc>
          <w:tcPr>
            <w:tcW w:w="20" w:type="dxa"/>
            <w:vAlign w:val="bottom"/>
          </w:tcPr>
          <w:p>
            <w:pPr>
              <w:spacing w:after="0"/>
              <w:rPr>
                <w:sz w:val="24"/>
                <w:szCs w:val="24"/>
                <w:color w:val="auto"/>
              </w:rPr>
            </w:pPr>
          </w:p>
        </w:tc>
        <w:tc>
          <w:tcPr>
            <w:tcW w:w="3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60" w:type="dxa"/>
            <w:vAlign w:val="bottom"/>
            <w:gridSpan w:val="5"/>
          </w:tcPr>
          <w:p>
            <w:pPr>
              <w:jc w:val="center"/>
              <w:ind w:left="486"/>
              <w:spacing w:after="0"/>
              <w:rPr>
                <w:sz w:val="20"/>
                <w:szCs w:val="20"/>
                <w:color w:val="auto"/>
              </w:rPr>
            </w:pPr>
            <w:r>
              <w:rPr>
                <w:rFonts w:ascii="Arial" w:cs="Arial" w:eastAsia="Arial" w:hAnsi="Arial"/>
                <w:sz w:val="14"/>
                <w:szCs w:val="14"/>
                <w:b w:val="1"/>
                <w:bCs w:val="1"/>
                <w:color w:val="auto"/>
                <w:w w:val="89"/>
              </w:rPr>
              <w:t>Three Months</w:t>
            </w: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920" w:type="dxa"/>
            <w:vAlign w:val="bottom"/>
            <w:gridSpan w:val="5"/>
          </w:tcPr>
          <w:p>
            <w:pPr>
              <w:jc w:val="center"/>
              <w:ind w:left="446"/>
              <w:spacing w:after="0"/>
              <w:rPr>
                <w:sz w:val="20"/>
                <w:szCs w:val="20"/>
                <w:color w:val="auto"/>
              </w:rPr>
            </w:pPr>
            <w:r>
              <w:rPr>
                <w:rFonts w:ascii="Arial" w:cs="Arial" w:eastAsia="Arial" w:hAnsi="Arial"/>
                <w:sz w:val="14"/>
                <w:szCs w:val="14"/>
                <w:b w:val="1"/>
                <w:bCs w:val="1"/>
                <w:color w:val="auto"/>
                <w:w w:val="90"/>
              </w:rPr>
              <w:t>Nine Months</w:t>
            </w: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35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020" w:type="dxa"/>
            <w:vAlign w:val="bottom"/>
            <w:tcBorders>
              <w:bottom w:val="single" w:sz="8" w:color="auto"/>
            </w:tcBorders>
            <w:gridSpan w:val="7"/>
          </w:tcPr>
          <w:p>
            <w:pPr>
              <w:jc w:val="center"/>
              <w:ind w:left="326"/>
              <w:spacing w:after="0"/>
              <w:rPr>
                <w:sz w:val="20"/>
                <w:szCs w:val="20"/>
                <w:color w:val="auto"/>
              </w:rPr>
            </w:pPr>
            <w:r>
              <w:rPr>
                <w:rFonts w:ascii="Arial" w:cs="Arial" w:eastAsia="Arial" w:hAnsi="Arial"/>
                <w:sz w:val="14"/>
                <w:szCs w:val="14"/>
                <w:b w:val="1"/>
                <w:bCs w:val="1"/>
                <w:color w:val="auto"/>
                <w:w w:val="86"/>
              </w:rPr>
              <w:t>Ended September 30, 2009</w:t>
            </w:r>
          </w:p>
        </w:tc>
        <w:tc>
          <w:tcPr>
            <w:tcW w:w="52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040" w:type="dxa"/>
            <w:vAlign w:val="bottom"/>
            <w:tcBorders>
              <w:bottom w:val="single" w:sz="8" w:color="auto"/>
            </w:tcBorders>
            <w:gridSpan w:val="6"/>
          </w:tcPr>
          <w:p>
            <w:pPr>
              <w:jc w:val="center"/>
              <w:ind w:left="326"/>
              <w:spacing w:after="0"/>
              <w:rPr>
                <w:sz w:val="20"/>
                <w:szCs w:val="20"/>
                <w:color w:val="auto"/>
              </w:rPr>
            </w:pPr>
            <w:r>
              <w:rPr>
                <w:rFonts w:ascii="Arial" w:cs="Arial" w:eastAsia="Arial" w:hAnsi="Arial"/>
                <w:sz w:val="14"/>
                <w:szCs w:val="14"/>
                <w:b w:val="1"/>
                <w:bCs w:val="1"/>
                <w:color w:val="auto"/>
                <w:w w:val="85"/>
              </w:rPr>
              <w:t>Ended September 30, 2009</w:t>
            </w:r>
          </w:p>
        </w:tc>
        <w:tc>
          <w:tcPr>
            <w:tcW w:w="52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3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tcPr>
          <w:p>
            <w:pPr>
              <w:jc w:val="center"/>
              <w:ind w:right="26"/>
              <w:spacing w:after="0" w:line="129" w:lineRule="exact"/>
              <w:rPr>
                <w:sz w:val="20"/>
                <w:szCs w:val="20"/>
                <w:color w:val="auto"/>
              </w:rPr>
            </w:pPr>
            <w:r>
              <w:rPr>
                <w:rFonts w:ascii="Arial" w:cs="Arial" w:eastAsia="Arial" w:hAnsi="Arial"/>
                <w:sz w:val="14"/>
                <w:szCs w:val="14"/>
                <w:b w:val="1"/>
                <w:bCs w:val="1"/>
                <w:color w:val="auto"/>
                <w:w w:val="89"/>
              </w:rPr>
              <w:t>Interest Rate</w:t>
            </w: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gridSpan w:val="2"/>
          </w:tcPr>
          <w:p>
            <w:pPr>
              <w:jc w:val="center"/>
              <w:ind w:right="200"/>
              <w:spacing w:after="0" w:line="129" w:lineRule="exact"/>
              <w:rPr>
                <w:sz w:val="20"/>
                <w:szCs w:val="20"/>
                <w:color w:val="auto"/>
              </w:rPr>
            </w:pPr>
            <w:r>
              <w:rPr>
                <w:rFonts w:ascii="Arial" w:cs="Arial" w:eastAsia="Arial" w:hAnsi="Arial"/>
                <w:sz w:val="14"/>
                <w:szCs w:val="14"/>
                <w:b w:val="1"/>
                <w:bCs w:val="1"/>
                <w:color w:val="auto"/>
                <w:w w:val="90"/>
              </w:rPr>
              <w:t>Forward</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jc w:val="center"/>
              <w:ind w:right="42"/>
              <w:spacing w:after="0" w:line="129" w:lineRule="exact"/>
              <w:rPr>
                <w:sz w:val="20"/>
                <w:szCs w:val="20"/>
                <w:color w:val="auto"/>
              </w:rPr>
            </w:pPr>
            <w:r>
              <w:rPr>
                <w:rFonts w:ascii="Arial" w:cs="Arial" w:eastAsia="Arial" w:hAnsi="Arial"/>
                <w:sz w:val="14"/>
                <w:szCs w:val="14"/>
                <w:b w:val="1"/>
                <w:bCs w:val="1"/>
                <w:color w:val="auto"/>
                <w:w w:val="87"/>
              </w:rPr>
              <w:t>Loans</w:t>
            </w: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tcPr>
          <w:p>
            <w:pPr>
              <w:jc w:val="center"/>
              <w:ind w:right="46"/>
              <w:spacing w:after="0" w:line="129" w:lineRule="exact"/>
              <w:rPr>
                <w:sz w:val="20"/>
                <w:szCs w:val="20"/>
                <w:color w:val="auto"/>
              </w:rPr>
            </w:pPr>
            <w:r>
              <w:rPr>
                <w:rFonts w:ascii="Arial" w:cs="Arial" w:eastAsia="Arial" w:hAnsi="Arial"/>
                <w:sz w:val="14"/>
                <w:szCs w:val="14"/>
                <w:b w:val="1"/>
                <w:bCs w:val="1"/>
                <w:color w:val="auto"/>
                <w:w w:val="89"/>
              </w:rPr>
              <w:t>Interest Rate</w:t>
            </w: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gridSpan w:val="2"/>
          </w:tcPr>
          <w:p>
            <w:pPr>
              <w:jc w:val="center"/>
              <w:ind w:right="260"/>
              <w:spacing w:after="0" w:line="129" w:lineRule="exact"/>
              <w:rPr>
                <w:sz w:val="20"/>
                <w:szCs w:val="20"/>
                <w:color w:val="auto"/>
              </w:rPr>
            </w:pPr>
            <w:r>
              <w:rPr>
                <w:rFonts w:ascii="Arial" w:cs="Arial" w:eastAsia="Arial" w:hAnsi="Arial"/>
                <w:sz w:val="14"/>
                <w:szCs w:val="14"/>
                <w:b w:val="1"/>
                <w:bCs w:val="1"/>
                <w:color w:val="auto"/>
                <w:w w:val="94"/>
              </w:rPr>
              <w:t>Forward</w:t>
            </w:r>
          </w:p>
        </w:tc>
        <w:tc>
          <w:tcPr>
            <w:tcW w:w="120" w:type="dxa"/>
            <w:vAlign w:val="bottom"/>
          </w:tcPr>
          <w:p>
            <w:pPr>
              <w:spacing w:after="0"/>
              <w:rPr>
                <w:sz w:val="11"/>
                <w:szCs w:val="11"/>
                <w:color w:val="auto"/>
              </w:rPr>
            </w:pPr>
          </w:p>
        </w:tc>
        <w:tc>
          <w:tcPr>
            <w:tcW w:w="520" w:type="dxa"/>
            <w:vAlign w:val="bottom"/>
          </w:tcPr>
          <w:p>
            <w:pPr>
              <w:jc w:val="center"/>
              <w:ind w:right="42"/>
              <w:spacing w:after="0" w:line="129" w:lineRule="exact"/>
              <w:rPr>
                <w:sz w:val="20"/>
                <w:szCs w:val="20"/>
                <w:color w:val="auto"/>
              </w:rPr>
            </w:pPr>
            <w:r>
              <w:rPr>
                <w:rFonts w:ascii="Arial" w:cs="Arial" w:eastAsia="Arial" w:hAnsi="Arial"/>
                <w:sz w:val="14"/>
                <w:szCs w:val="14"/>
                <w:b w:val="1"/>
                <w:bCs w:val="1"/>
                <w:color w:val="auto"/>
                <w:w w:val="87"/>
              </w:rPr>
              <w:t>Loans</w:t>
            </w: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jc w:val="center"/>
              <w:ind w:right="46"/>
              <w:spacing w:after="0" w:line="149" w:lineRule="exact"/>
              <w:rPr>
                <w:sz w:val="20"/>
                <w:szCs w:val="20"/>
                <w:color w:val="auto"/>
              </w:rPr>
            </w:pPr>
            <w:r>
              <w:rPr>
                <w:rFonts w:ascii="Arial" w:cs="Arial" w:eastAsia="Arial" w:hAnsi="Arial"/>
                <w:sz w:val="14"/>
                <w:szCs w:val="14"/>
                <w:b w:val="1"/>
                <w:bCs w:val="1"/>
                <w:color w:val="auto"/>
                <w:w w:val="91"/>
              </w:rPr>
              <w:t>Lock</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1"/>
              </w:rPr>
              <w:t>Delivery</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2"/>
              </w:rPr>
              <w:t>Held</w:t>
            </w:r>
          </w:p>
        </w:tc>
        <w:tc>
          <w:tcPr>
            <w:tcW w:w="100" w:type="dxa"/>
            <w:vAlign w:val="bottom"/>
          </w:tcPr>
          <w:p>
            <w:pPr>
              <w:spacing w:after="0"/>
              <w:rPr>
                <w:sz w:val="12"/>
                <w:szCs w:val="12"/>
                <w:color w:val="auto"/>
              </w:rPr>
            </w:pPr>
          </w:p>
        </w:tc>
        <w:tc>
          <w:tcPr>
            <w:tcW w:w="880" w:type="dxa"/>
            <w:vAlign w:val="bottom"/>
          </w:tcPr>
          <w:p>
            <w:pPr>
              <w:jc w:val="center"/>
              <w:ind w:right="46"/>
              <w:spacing w:after="0" w:line="149" w:lineRule="exact"/>
              <w:rPr>
                <w:sz w:val="20"/>
                <w:szCs w:val="20"/>
                <w:color w:val="auto"/>
              </w:rPr>
            </w:pPr>
            <w:r>
              <w:rPr>
                <w:rFonts w:ascii="Arial" w:cs="Arial" w:eastAsia="Arial" w:hAnsi="Arial"/>
                <w:sz w:val="14"/>
                <w:szCs w:val="14"/>
                <w:b w:val="1"/>
                <w:bCs w:val="1"/>
                <w:color w:val="auto"/>
                <w:w w:val="85"/>
              </w:rPr>
              <w:t>Lock</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8"/>
              </w:rPr>
              <w:t>Delivery</w:t>
            </w:r>
          </w:p>
        </w:tc>
        <w:tc>
          <w:tcPr>
            <w:tcW w:w="120" w:type="dxa"/>
            <w:vAlign w:val="bottom"/>
          </w:tcPr>
          <w:p>
            <w:pPr>
              <w:spacing w:after="0"/>
              <w:rPr>
                <w:sz w:val="12"/>
                <w:szCs w:val="12"/>
                <w:color w:val="auto"/>
              </w:rPr>
            </w:pPr>
          </w:p>
        </w:tc>
        <w:tc>
          <w:tcPr>
            <w:tcW w:w="68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2"/>
              </w:rPr>
              <w:t>Held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3580" w:type="dxa"/>
            <w:vAlign w:val="bottom"/>
          </w:tcPr>
          <w:p>
            <w:pPr>
              <w:spacing w:after="0"/>
              <w:rPr>
                <w:sz w:val="14"/>
                <w:szCs w:val="14"/>
                <w:color w:val="auto"/>
              </w:rPr>
            </w:pPr>
          </w:p>
        </w:tc>
        <w:tc>
          <w:tcPr>
            <w:tcW w:w="960" w:type="dxa"/>
            <w:vAlign w:val="bottom"/>
            <w:gridSpan w:val="2"/>
          </w:tcPr>
          <w:p>
            <w:pPr>
              <w:jc w:val="center"/>
              <w:spacing w:after="0"/>
              <w:rPr>
                <w:sz w:val="20"/>
                <w:szCs w:val="20"/>
                <w:color w:val="auto"/>
              </w:rPr>
            </w:pPr>
            <w:r>
              <w:rPr>
                <w:rFonts w:ascii="Arial" w:cs="Arial" w:eastAsia="Arial" w:hAnsi="Arial"/>
                <w:sz w:val="14"/>
                <w:szCs w:val="14"/>
                <w:b w:val="1"/>
                <w:bCs w:val="1"/>
                <w:color w:val="auto"/>
                <w:w w:val="87"/>
              </w:rPr>
              <w:t>Commitments</w:t>
            </w:r>
          </w:p>
        </w:tc>
        <w:tc>
          <w:tcPr>
            <w:tcW w:w="160" w:type="dxa"/>
            <w:vAlign w:val="bottom"/>
          </w:tcPr>
          <w:p>
            <w:pPr>
              <w:spacing w:after="0"/>
              <w:rPr>
                <w:sz w:val="14"/>
                <w:szCs w:val="14"/>
                <w:color w:val="auto"/>
              </w:rPr>
            </w:pPr>
          </w:p>
        </w:tc>
        <w:tc>
          <w:tcPr>
            <w:tcW w:w="84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88"/>
              </w:rPr>
              <w:t>Contracts</w:t>
            </w:r>
          </w:p>
        </w:tc>
        <w:tc>
          <w:tcPr>
            <w:tcW w:w="60" w:type="dxa"/>
            <w:vAlign w:val="bottom"/>
          </w:tcPr>
          <w:p>
            <w:pPr>
              <w:spacing w:after="0"/>
              <w:rPr>
                <w:sz w:val="14"/>
                <w:szCs w:val="14"/>
                <w:color w:val="auto"/>
              </w:rPr>
            </w:pPr>
          </w:p>
        </w:tc>
        <w:tc>
          <w:tcPr>
            <w:tcW w:w="780" w:type="dxa"/>
            <w:vAlign w:val="bottom"/>
            <w:gridSpan w:val="3"/>
          </w:tcPr>
          <w:p>
            <w:pPr>
              <w:jc w:val="center"/>
              <w:ind w:right="180"/>
              <w:spacing w:after="0"/>
              <w:rPr>
                <w:sz w:val="20"/>
                <w:szCs w:val="20"/>
                <w:color w:val="auto"/>
              </w:rPr>
            </w:pPr>
            <w:r>
              <w:rPr>
                <w:rFonts w:ascii="Arial" w:cs="Arial" w:eastAsia="Arial" w:hAnsi="Arial"/>
                <w:sz w:val="14"/>
                <w:szCs w:val="14"/>
                <w:b w:val="1"/>
                <w:bCs w:val="1"/>
                <w:color w:val="auto"/>
                <w:w w:val="85"/>
              </w:rPr>
              <w:t>for Sale</w:t>
            </w:r>
          </w:p>
        </w:tc>
        <w:tc>
          <w:tcPr>
            <w:tcW w:w="980" w:type="dxa"/>
            <w:vAlign w:val="bottom"/>
            <w:gridSpan w:val="2"/>
          </w:tcPr>
          <w:p>
            <w:pPr>
              <w:jc w:val="center"/>
              <w:spacing w:after="0"/>
              <w:rPr>
                <w:sz w:val="20"/>
                <w:szCs w:val="20"/>
                <w:color w:val="auto"/>
              </w:rPr>
            </w:pPr>
            <w:r>
              <w:rPr>
                <w:rFonts w:ascii="Arial" w:cs="Arial" w:eastAsia="Arial" w:hAnsi="Arial"/>
                <w:sz w:val="14"/>
                <w:szCs w:val="14"/>
                <w:b w:val="1"/>
                <w:bCs w:val="1"/>
                <w:color w:val="auto"/>
                <w:w w:val="87"/>
              </w:rPr>
              <w:t>Commitments</w:t>
            </w:r>
          </w:p>
        </w:tc>
        <w:tc>
          <w:tcPr>
            <w:tcW w:w="160" w:type="dxa"/>
            <w:vAlign w:val="bottom"/>
          </w:tcPr>
          <w:p>
            <w:pPr>
              <w:spacing w:after="0"/>
              <w:rPr>
                <w:sz w:val="14"/>
                <w:szCs w:val="14"/>
                <w:color w:val="auto"/>
              </w:rPr>
            </w:pPr>
          </w:p>
        </w:tc>
        <w:tc>
          <w:tcPr>
            <w:tcW w:w="88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w w:val="85"/>
              </w:rPr>
              <w:t>Contracts</w:t>
            </w:r>
          </w:p>
        </w:tc>
        <w:tc>
          <w:tcPr>
            <w:tcW w:w="80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w w:val="85"/>
              </w:rPr>
              <w:t>for Sale</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35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6"/>
              </w:rPr>
              <w:t>Total net gains included in earnings, which are</w:t>
            </w:r>
          </w:p>
        </w:tc>
        <w:tc>
          <w:tcPr>
            <w:tcW w:w="10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580" w:type="dxa"/>
            <w:vAlign w:val="bottom"/>
            <w:shd w:val="clear" w:color="auto" w:fill="CCEEFF"/>
          </w:tcPr>
          <w:p>
            <w:pPr>
              <w:ind w:left="160"/>
              <w:spacing w:after="0"/>
              <w:rPr>
                <w:sz w:val="20"/>
                <w:szCs w:val="20"/>
                <w:color w:val="auto"/>
              </w:rPr>
            </w:pPr>
            <w:r>
              <w:rPr>
                <w:rFonts w:ascii="Arial" w:cs="Arial" w:eastAsia="Arial" w:hAnsi="Arial"/>
                <w:sz w:val="18"/>
                <w:szCs w:val="18"/>
                <w:color w:val="auto"/>
                <w:w w:val="95"/>
              </w:rPr>
              <w:t>included in revenue from LendingTree Loans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21,227</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(417)</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74,178</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3600" w:type="dxa"/>
            <w:vAlign w:val="bottom"/>
            <w:gridSpan w:val="2"/>
            <w:vMerge w:val="restart"/>
          </w:tcPr>
          <w:p>
            <w:pPr>
              <w:spacing w:after="0"/>
              <w:rPr>
                <w:sz w:val="20"/>
                <w:szCs w:val="20"/>
                <w:color w:val="auto"/>
              </w:rPr>
            </w:pPr>
            <w:r>
              <w:rPr>
                <w:rFonts w:ascii="Arial" w:cs="Arial" w:eastAsia="Arial" w:hAnsi="Arial"/>
                <w:sz w:val="18"/>
                <w:szCs w:val="18"/>
                <w:color w:val="auto"/>
                <w:w w:val="96"/>
              </w:rPr>
              <w:t>Change in unrealized gains (losses) relating to</w:t>
            </w:r>
          </w:p>
        </w:tc>
        <w:tc>
          <w:tcPr>
            <w:tcW w:w="1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3600" w:type="dxa"/>
            <w:vAlign w:val="bottom"/>
            <w:gridSpan w:val="2"/>
            <w:vMerge w:val="continue"/>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360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80" w:type="dxa"/>
            <w:vAlign w:val="bottom"/>
          </w:tcPr>
          <w:p>
            <w:pPr>
              <w:ind w:left="160"/>
              <w:spacing w:after="0"/>
              <w:rPr>
                <w:sz w:val="20"/>
                <w:szCs w:val="20"/>
                <w:color w:val="auto"/>
              </w:rPr>
            </w:pPr>
            <w:r>
              <w:rPr>
                <w:rFonts w:ascii="Arial" w:cs="Arial" w:eastAsia="Arial" w:hAnsi="Arial"/>
                <w:sz w:val="18"/>
                <w:szCs w:val="18"/>
                <w:color w:val="auto"/>
              </w:rPr>
              <w:t>assets and liabilities still held at</w:t>
            </w: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80" w:type="dxa"/>
            <w:vAlign w:val="bottom"/>
          </w:tcPr>
          <w:p>
            <w:pPr>
              <w:ind w:left="160"/>
              <w:spacing w:after="0"/>
              <w:rPr>
                <w:sz w:val="20"/>
                <w:szCs w:val="20"/>
                <w:color w:val="auto"/>
              </w:rPr>
            </w:pPr>
            <w:r>
              <w:rPr>
                <w:rFonts w:ascii="Arial" w:cs="Arial" w:eastAsia="Arial" w:hAnsi="Arial"/>
                <w:sz w:val="18"/>
                <w:szCs w:val="18"/>
                <w:color w:val="auto"/>
              </w:rPr>
              <w:t>September 30, 2009 which are included in</w:t>
            </w: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580" w:type="dxa"/>
            <w:vAlign w:val="bottom"/>
          </w:tcPr>
          <w:p>
            <w:pPr>
              <w:ind w:left="160"/>
              <w:spacing w:after="0"/>
              <w:rPr>
                <w:sz w:val="20"/>
                <w:szCs w:val="20"/>
                <w:color w:val="auto"/>
              </w:rPr>
            </w:pPr>
            <w:r>
              <w:rPr>
                <w:rFonts w:ascii="Arial" w:cs="Arial" w:eastAsia="Arial" w:hAnsi="Arial"/>
                <w:sz w:val="18"/>
                <w:szCs w:val="18"/>
                <w:color w:val="auto"/>
              </w:rPr>
              <w:t>revenue from LendingTree Loans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6,179</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(32)</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6,179</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(32)</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1</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9"/>
        </w:trPr>
        <w:tc>
          <w:tcPr>
            <w:tcW w:w="20" w:type="dxa"/>
            <w:vAlign w:val="bottom"/>
          </w:tcPr>
          <w:p>
            <w:pPr>
              <w:spacing w:after="0"/>
              <w:rPr>
                <w:sz w:val="2"/>
                <w:szCs w:val="2"/>
                <w:color w:val="auto"/>
              </w:rPr>
            </w:pPr>
          </w:p>
        </w:tc>
        <w:tc>
          <w:tcPr>
            <w:tcW w:w="358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5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ind w:right="220" w:firstLine="348"/>
        <w:spacing w:after="0" w:line="268" w:lineRule="auto"/>
        <w:rPr>
          <w:sz w:val="20"/>
          <w:szCs w:val="20"/>
          <w:color w:val="auto"/>
        </w:rPr>
      </w:pPr>
      <w:r>
        <w:rPr>
          <w:rFonts w:ascii="Arial" w:cs="Arial" w:eastAsia="Arial" w:hAnsi="Arial"/>
          <w:sz w:val="18"/>
          <w:szCs w:val="18"/>
          <w:color w:val="auto"/>
        </w:rPr>
        <w:t>The following table summarizes the Company's derivative instruments not designated as hedging instruments as of September 30, 2010 and December 31, 2009 (in thousands):</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2660" w:type="dxa"/>
            <w:vAlign w:val="bottom"/>
            <w:tcBorders>
              <w:bottom w:val="single" w:sz="8" w:color="auto"/>
            </w:tcBorders>
            <w:gridSpan w:val="2"/>
          </w:tcPr>
          <w:p>
            <w:pPr>
              <w:jc w:val="right"/>
              <w:ind w:right="380"/>
              <w:spacing w:after="0"/>
              <w:rPr>
                <w:sz w:val="20"/>
                <w:szCs w:val="20"/>
                <w:color w:val="auto"/>
              </w:rPr>
            </w:pPr>
            <w:r>
              <w:rPr>
                <w:rFonts w:ascii="Arial" w:cs="Arial" w:eastAsia="Arial" w:hAnsi="Arial"/>
                <w:sz w:val="14"/>
                <w:szCs w:val="14"/>
                <w:b w:val="1"/>
                <w:bCs w:val="1"/>
                <w:color w:val="auto"/>
              </w:rPr>
              <w:t>September 30, 2010</w:t>
            </w:r>
          </w:p>
        </w:tc>
        <w:tc>
          <w:tcPr>
            <w:tcW w:w="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2540" w:type="dxa"/>
            <w:vAlign w:val="bottom"/>
            <w:tcBorders>
              <w:bottom w:val="single" w:sz="8" w:color="auto"/>
            </w:tcBorders>
          </w:tcPr>
          <w:p>
            <w:pPr>
              <w:ind w:left="1160"/>
              <w:spacing w:after="0"/>
              <w:rPr>
                <w:sz w:val="20"/>
                <w:szCs w:val="20"/>
                <w:color w:val="auto"/>
              </w:rPr>
            </w:pPr>
            <w:r>
              <w:rPr>
                <w:rFonts w:ascii="Arial" w:cs="Arial" w:eastAsia="Arial" w:hAnsi="Arial"/>
                <w:sz w:val="14"/>
                <w:szCs w:val="14"/>
                <w:b w:val="1"/>
                <w:bCs w:val="1"/>
                <w:color w:val="auto"/>
              </w:rPr>
              <w:t>December 31, 2009</w:t>
            </w:r>
          </w:p>
        </w:tc>
        <w:tc>
          <w:tcPr>
            <w:tcW w:w="16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116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2660" w:type="dxa"/>
            <w:vAlign w:val="bottom"/>
            <w:gridSpan w:val="2"/>
          </w:tcPr>
          <w:p>
            <w:pPr>
              <w:jc w:val="center"/>
              <w:ind w:right="140"/>
              <w:spacing w:after="0" w:line="142" w:lineRule="exact"/>
              <w:rPr>
                <w:sz w:val="20"/>
                <w:szCs w:val="20"/>
                <w:color w:val="auto"/>
              </w:rPr>
            </w:pPr>
            <w:r>
              <w:rPr>
                <w:rFonts w:ascii="Arial" w:cs="Arial" w:eastAsia="Arial" w:hAnsi="Arial"/>
                <w:sz w:val="14"/>
                <w:szCs w:val="14"/>
                <w:b w:val="1"/>
                <w:bCs w:val="1"/>
                <w:color w:val="auto"/>
                <w:w w:val="86"/>
              </w:rPr>
              <w:t>Balance Sheet Location</w:t>
            </w:r>
          </w:p>
        </w:tc>
        <w:tc>
          <w:tcPr>
            <w:tcW w:w="40" w:type="dxa"/>
            <w:vAlign w:val="bottom"/>
          </w:tcPr>
          <w:p>
            <w:pPr>
              <w:spacing w:after="0"/>
              <w:rPr>
                <w:sz w:val="12"/>
                <w:szCs w:val="12"/>
                <w:color w:val="auto"/>
              </w:rPr>
            </w:pPr>
          </w:p>
        </w:tc>
        <w:tc>
          <w:tcPr>
            <w:tcW w:w="76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w w:val="98"/>
              </w:rPr>
              <w:t>Fair Value</w:t>
            </w:r>
          </w:p>
        </w:tc>
        <w:tc>
          <w:tcPr>
            <w:tcW w:w="160" w:type="dxa"/>
            <w:vAlign w:val="bottom"/>
          </w:tcPr>
          <w:p>
            <w:pPr>
              <w:spacing w:after="0"/>
              <w:rPr>
                <w:sz w:val="12"/>
                <w:szCs w:val="12"/>
                <w:color w:val="auto"/>
              </w:rPr>
            </w:pPr>
          </w:p>
        </w:tc>
        <w:tc>
          <w:tcPr>
            <w:tcW w:w="254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w w:val="86"/>
              </w:rPr>
              <w:t>Balance Sheet Location</w:t>
            </w:r>
          </w:p>
        </w:tc>
        <w:tc>
          <w:tcPr>
            <w:tcW w:w="160" w:type="dxa"/>
            <w:vAlign w:val="bottom"/>
          </w:tcPr>
          <w:p>
            <w:pPr>
              <w:spacing w:after="0"/>
              <w:rPr>
                <w:sz w:val="12"/>
                <w:szCs w:val="12"/>
                <w:color w:val="auto"/>
              </w:rPr>
            </w:pPr>
          </w:p>
        </w:tc>
        <w:tc>
          <w:tcPr>
            <w:tcW w:w="760" w:type="dxa"/>
            <w:vAlign w:val="bottom"/>
            <w:gridSpan w:val="2"/>
          </w:tcPr>
          <w:p>
            <w:pPr>
              <w:jc w:val="right"/>
              <w:ind w:right="12"/>
              <w:spacing w:after="0" w:line="142" w:lineRule="exact"/>
              <w:rPr>
                <w:sz w:val="20"/>
                <w:szCs w:val="20"/>
                <w:color w:val="auto"/>
              </w:rPr>
            </w:pPr>
            <w:r>
              <w:rPr>
                <w:rFonts w:ascii="Arial" w:cs="Arial" w:eastAsia="Arial" w:hAnsi="Arial"/>
                <w:sz w:val="14"/>
                <w:szCs w:val="14"/>
                <w:b w:val="1"/>
                <w:bCs w:val="1"/>
                <w:color w:val="auto"/>
                <w:w w:val="95"/>
              </w:rPr>
              <w:t>Fair Value</w:t>
            </w:r>
          </w:p>
        </w:tc>
        <w:tc>
          <w:tcPr>
            <w:tcW w:w="118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201"/>
        </w:trPr>
        <w:tc>
          <w:tcPr>
            <w:tcW w:w="1160" w:type="dxa"/>
            <w:vAlign w:val="bottom"/>
          </w:tcPr>
          <w:p>
            <w:pPr>
              <w:spacing w:after="0"/>
              <w:rPr>
                <w:sz w:val="17"/>
                <w:szCs w:val="17"/>
                <w:color w:val="auto"/>
              </w:rPr>
            </w:pPr>
          </w:p>
        </w:tc>
        <w:tc>
          <w:tcPr>
            <w:tcW w:w="20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Interest Rate Lock</w:t>
            </w:r>
          </w:p>
        </w:tc>
        <w:tc>
          <w:tcPr>
            <w:tcW w:w="2540" w:type="dxa"/>
            <w:vAlign w:val="bottom"/>
            <w:tcBorders>
              <w:top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540" w:type="dxa"/>
            <w:vAlign w:val="bottom"/>
            <w:tcBorders>
              <w:top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1160" w:type="dxa"/>
            <w:vAlign w:val="bottom"/>
          </w:tcPr>
          <w:p>
            <w:pPr>
              <w:spacing w:after="0"/>
              <w:rPr>
                <w:sz w:val="19"/>
                <w:szCs w:val="19"/>
                <w:color w:val="auto"/>
              </w:rPr>
            </w:pPr>
          </w:p>
        </w:tc>
        <w:tc>
          <w:tcPr>
            <w:tcW w:w="20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Commitments</w:t>
            </w:r>
          </w:p>
        </w:tc>
        <w:tc>
          <w:tcPr>
            <w:tcW w:w="2660" w:type="dxa"/>
            <w:vAlign w:val="bottom"/>
            <w:gridSpan w:val="2"/>
            <w:shd w:val="clear" w:color="auto" w:fill="CCEEFF"/>
          </w:tcPr>
          <w:p>
            <w:pPr>
              <w:jc w:val="center"/>
              <w:ind w:right="140"/>
              <w:spacing w:after="0"/>
              <w:rPr>
                <w:sz w:val="20"/>
                <w:szCs w:val="20"/>
                <w:color w:val="auto"/>
              </w:rPr>
            </w:pPr>
            <w:r>
              <w:rPr>
                <w:rFonts w:ascii="Arial" w:cs="Arial" w:eastAsia="Arial" w:hAnsi="Arial"/>
                <w:sz w:val="18"/>
                <w:szCs w:val="18"/>
                <w:color w:val="auto"/>
                <w:w w:val="85"/>
              </w:rPr>
              <w:t>Prepaid and other current assets</w:t>
            </w:r>
          </w:p>
        </w:tc>
        <w:tc>
          <w:tcPr>
            <w:tcW w:w="220" w:type="dxa"/>
            <w:vAlign w:val="bottom"/>
            <w:gridSpan w:val="2"/>
            <w:shd w:val="clear" w:color="auto" w:fill="CCEEFF"/>
          </w:tcPr>
          <w:p>
            <w:pPr>
              <w:jc w:val="right"/>
              <w:ind w:right="32"/>
              <w:spacing w:after="0"/>
              <w:rPr>
                <w:sz w:val="20"/>
                <w:szCs w:val="20"/>
                <w:color w:val="auto"/>
              </w:rPr>
            </w:pPr>
            <w:r>
              <w:rPr>
                <w:rFonts w:ascii="Arial" w:cs="Arial" w:eastAsia="Arial" w:hAnsi="Arial"/>
                <w:sz w:val="18"/>
                <w:szCs w:val="18"/>
                <w:color w:val="auto"/>
                <w:w w:val="9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10,262</w:t>
            </w:r>
          </w:p>
        </w:tc>
        <w:tc>
          <w:tcPr>
            <w:tcW w:w="160" w:type="dxa"/>
            <w:vAlign w:val="bottom"/>
            <w:shd w:val="clear" w:color="auto" w:fill="CCEEFF"/>
          </w:tcPr>
          <w:p>
            <w:pPr>
              <w:spacing w:after="0"/>
              <w:rPr>
                <w:sz w:val="19"/>
                <w:szCs w:val="19"/>
                <w:color w:val="auto"/>
              </w:rPr>
            </w:pPr>
          </w:p>
        </w:tc>
        <w:tc>
          <w:tcPr>
            <w:tcW w:w="25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5"/>
              </w:rPr>
              <w:t>Prepaid and other current assets</w:t>
            </w:r>
          </w:p>
        </w:tc>
        <w:tc>
          <w:tcPr>
            <w:tcW w:w="380" w:type="dxa"/>
            <w:vAlign w:val="bottom"/>
            <w:gridSpan w:val="2"/>
            <w:shd w:val="clear" w:color="auto" w:fill="CCEEFF"/>
          </w:tcPr>
          <w:p>
            <w:pPr>
              <w:jc w:val="right"/>
              <w:ind w:right="72"/>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3,919</w:t>
            </w:r>
          </w:p>
        </w:tc>
        <w:tc>
          <w:tcPr>
            <w:tcW w:w="160" w:type="dxa"/>
            <w:vAlign w:val="bottom"/>
            <w:shd w:val="clear" w:color="auto" w:fill="CCEEFF"/>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1160" w:type="dxa"/>
            <w:vAlign w:val="bottom"/>
          </w:tcPr>
          <w:p>
            <w:pPr>
              <w:spacing w:after="0"/>
              <w:rPr>
                <w:sz w:val="18"/>
                <w:szCs w:val="18"/>
                <w:color w:val="auto"/>
              </w:rPr>
            </w:pPr>
          </w:p>
        </w:tc>
        <w:tc>
          <w:tcPr>
            <w:tcW w:w="2000" w:type="dxa"/>
            <w:vAlign w:val="bottom"/>
          </w:tcPr>
          <w:p>
            <w:pPr>
              <w:spacing w:after="0"/>
              <w:rPr>
                <w:sz w:val="20"/>
                <w:szCs w:val="20"/>
                <w:color w:val="auto"/>
              </w:rPr>
            </w:pPr>
            <w:r>
              <w:rPr>
                <w:rFonts w:ascii="Arial" w:cs="Arial" w:eastAsia="Arial" w:hAnsi="Arial"/>
                <w:sz w:val="18"/>
                <w:szCs w:val="18"/>
                <w:color w:val="auto"/>
              </w:rPr>
              <w:t>Forward Delivery</w:t>
            </w:r>
          </w:p>
        </w:tc>
        <w:tc>
          <w:tcPr>
            <w:tcW w:w="2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1160" w:type="dxa"/>
            <w:vAlign w:val="bottom"/>
          </w:tcPr>
          <w:p>
            <w:pPr>
              <w:spacing w:after="0"/>
              <w:rPr>
                <w:sz w:val="19"/>
                <w:szCs w:val="19"/>
                <w:color w:val="auto"/>
              </w:rPr>
            </w:pPr>
          </w:p>
        </w:tc>
        <w:tc>
          <w:tcPr>
            <w:tcW w:w="2000" w:type="dxa"/>
            <w:vAlign w:val="bottom"/>
          </w:tcPr>
          <w:p>
            <w:pPr>
              <w:ind w:left="160"/>
              <w:spacing w:after="0"/>
              <w:rPr>
                <w:sz w:val="20"/>
                <w:szCs w:val="20"/>
                <w:color w:val="auto"/>
              </w:rPr>
            </w:pPr>
            <w:r>
              <w:rPr>
                <w:rFonts w:ascii="Arial" w:cs="Arial" w:eastAsia="Arial" w:hAnsi="Arial"/>
                <w:sz w:val="18"/>
                <w:szCs w:val="18"/>
                <w:color w:val="auto"/>
              </w:rPr>
              <w:t>Contracts</w:t>
            </w:r>
          </w:p>
        </w:tc>
        <w:tc>
          <w:tcPr>
            <w:tcW w:w="2660" w:type="dxa"/>
            <w:vAlign w:val="bottom"/>
            <w:gridSpan w:val="2"/>
          </w:tcPr>
          <w:p>
            <w:pPr>
              <w:jc w:val="center"/>
              <w:ind w:right="140"/>
              <w:spacing w:after="0"/>
              <w:rPr>
                <w:sz w:val="20"/>
                <w:szCs w:val="20"/>
                <w:color w:val="auto"/>
              </w:rPr>
            </w:pPr>
            <w:r>
              <w:rPr>
                <w:rFonts w:ascii="Arial" w:cs="Arial" w:eastAsia="Arial" w:hAnsi="Arial"/>
                <w:sz w:val="18"/>
                <w:szCs w:val="18"/>
                <w:color w:val="auto"/>
                <w:w w:val="85"/>
              </w:rPr>
              <w:t>Prepaid and other current assets</w:t>
            </w: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299</w:t>
            </w:r>
          </w:p>
        </w:tc>
        <w:tc>
          <w:tcPr>
            <w:tcW w:w="160" w:type="dxa"/>
            <w:vAlign w:val="bottom"/>
          </w:tcPr>
          <w:p>
            <w:pPr>
              <w:spacing w:after="0"/>
              <w:rPr>
                <w:sz w:val="19"/>
                <w:szCs w:val="19"/>
                <w:color w:val="auto"/>
              </w:rPr>
            </w:pPr>
          </w:p>
        </w:tc>
        <w:tc>
          <w:tcPr>
            <w:tcW w:w="2540" w:type="dxa"/>
            <w:vAlign w:val="bottom"/>
          </w:tcPr>
          <w:p>
            <w:pPr>
              <w:jc w:val="center"/>
              <w:spacing w:after="0"/>
              <w:rPr>
                <w:sz w:val="20"/>
                <w:szCs w:val="20"/>
                <w:color w:val="auto"/>
              </w:rPr>
            </w:pPr>
            <w:r>
              <w:rPr>
                <w:rFonts w:ascii="Arial" w:cs="Arial" w:eastAsia="Arial" w:hAnsi="Arial"/>
                <w:sz w:val="18"/>
                <w:szCs w:val="18"/>
                <w:color w:val="auto"/>
                <w:w w:val="85"/>
              </w:rPr>
              <w:t>Prepaid and other current assets</w:t>
            </w: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3,341</w:t>
            </w:r>
          </w:p>
        </w:tc>
        <w:tc>
          <w:tcPr>
            <w:tcW w:w="1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2000" w:type="dxa"/>
            <w:vAlign w:val="bottom"/>
            <w:shd w:val="clear" w:color="auto" w:fill="CCEEFF"/>
          </w:tcPr>
          <w:p>
            <w:pPr>
              <w:spacing w:after="0"/>
              <w:rPr>
                <w:sz w:val="20"/>
                <w:szCs w:val="20"/>
                <w:color w:val="auto"/>
              </w:rPr>
            </w:pPr>
            <w:r>
              <w:rPr>
                <w:rFonts w:ascii="Arial" w:cs="Arial" w:eastAsia="Arial" w:hAnsi="Arial"/>
                <w:sz w:val="18"/>
                <w:szCs w:val="18"/>
                <w:color w:val="auto"/>
              </w:rPr>
              <w:t>Interest Rate Lock</w:t>
            </w:r>
          </w:p>
        </w:tc>
        <w:tc>
          <w:tcPr>
            <w:tcW w:w="2660" w:type="dxa"/>
            <w:vAlign w:val="bottom"/>
            <w:gridSpan w:val="2"/>
            <w:shd w:val="clear" w:color="auto" w:fill="CCEEFF"/>
          </w:tcPr>
          <w:p>
            <w:pPr>
              <w:jc w:val="center"/>
              <w:ind w:right="140"/>
              <w:spacing w:after="0"/>
              <w:rPr>
                <w:sz w:val="20"/>
                <w:szCs w:val="20"/>
                <w:color w:val="auto"/>
              </w:rPr>
            </w:pPr>
            <w:r>
              <w:rPr>
                <w:rFonts w:ascii="Arial" w:cs="Arial" w:eastAsia="Arial" w:hAnsi="Arial"/>
                <w:sz w:val="18"/>
                <w:szCs w:val="18"/>
                <w:color w:val="auto"/>
                <w:w w:val="86"/>
              </w:rPr>
              <w:t>Accrued expenses and other current</w:t>
            </w: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5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Accrued expenses and other current</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1160" w:type="dxa"/>
            <w:vAlign w:val="bottom"/>
          </w:tcPr>
          <w:p>
            <w:pPr>
              <w:spacing w:after="0"/>
              <w:rPr>
                <w:sz w:val="19"/>
                <w:szCs w:val="19"/>
                <w:color w:val="auto"/>
              </w:rPr>
            </w:pPr>
          </w:p>
        </w:tc>
        <w:tc>
          <w:tcPr>
            <w:tcW w:w="20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Commitments</w:t>
            </w:r>
          </w:p>
        </w:tc>
        <w:tc>
          <w:tcPr>
            <w:tcW w:w="2660" w:type="dxa"/>
            <w:vAlign w:val="bottom"/>
            <w:gridSpan w:val="2"/>
            <w:shd w:val="clear" w:color="auto" w:fill="CCEEFF"/>
          </w:tcPr>
          <w:p>
            <w:pPr>
              <w:jc w:val="center"/>
              <w:ind w:right="140"/>
              <w:spacing w:after="0"/>
              <w:rPr>
                <w:sz w:val="20"/>
                <w:szCs w:val="20"/>
                <w:color w:val="auto"/>
              </w:rPr>
            </w:pPr>
            <w:r>
              <w:rPr>
                <w:rFonts w:ascii="Arial" w:cs="Arial" w:eastAsia="Arial" w:hAnsi="Arial"/>
                <w:sz w:val="18"/>
                <w:szCs w:val="18"/>
                <w:color w:val="auto"/>
                <w:w w:val="94"/>
              </w:rPr>
              <w:t>liabilities</w:t>
            </w:r>
          </w:p>
        </w:tc>
        <w:tc>
          <w:tcPr>
            <w:tcW w:w="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w:t>
            </w:r>
          </w:p>
        </w:tc>
        <w:tc>
          <w:tcPr>
            <w:tcW w:w="25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4"/>
              </w:rPr>
              <w:t>liabilities</w:t>
            </w:r>
          </w:p>
        </w:tc>
        <w:tc>
          <w:tcPr>
            <w:tcW w:w="1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(239)</w:t>
            </w: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1160" w:type="dxa"/>
            <w:vAlign w:val="bottom"/>
          </w:tcPr>
          <w:p>
            <w:pPr>
              <w:spacing w:after="0"/>
              <w:rPr>
                <w:sz w:val="18"/>
                <w:szCs w:val="18"/>
                <w:color w:val="auto"/>
              </w:rPr>
            </w:pPr>
          </w:p>
        </w:tc>
        <w:tc>
          <w:tcPr>
            <w:tcW w:w="2000" w:type="dxa"/>
            <w:vAlign w:val="bottom"/>
          </w:tcPr>
          <w:p>
            <w:pPr>
              <w:spacing w:after="0"/>
              <w:rPr>
                <w:sz w:val="20"/>
                <w:szCs w:val="20"/>
                <w:color w:val="auto"/>
              </w:rPr>
            </w:pPr>
            <w:r>
              <w:rPr>
                <w:rFonts w:ascii="Arial" w:cs="Arial" w:eastAsia="Arial" w:hAnsi="Arial"/>
                <w:sz w:val="18"/>
                <w:szCs w:val="18"/>
                <w:color w:val="auto"/>
              </w:rPr>
              <w:t>Forward Delivery</w:t>
            </w:r>
          </w:p>
        </w:tc>
        <w:tc>
          <w:tcPr>
            <w:tcW w:w="2660" w:type="dxa"/>
            <w:vAlign w:val="bottom"/>
            <w:gridSpan w:val="2"/>
          </w:tcPr>
          <w:p>
            <w:pPr>
              <w:jc w:val="center"/>
              <w:ind w:right="140"/>
              <w:spacing w:after="0"/>
              <w:rPr>
                <w:sz w:val="20"/>
                <w:szCs w:val="20"/>
                <w:color w:val="auto"/>
              </w:rPr>
            </w:pPr>
            <w:r>
              <w:rPr>
                <w:rFonts w:ascii="Arial" w:cs="Arial" w:eastAsia="Arial" w:hAnsi="Arial"/>
                <w:sz w:val="18"/>
                <w:szCs w:val="18"/>
                <w:color w:val="auto"/>
                <w:w w:val="86"/>
              </w:rPr>
              <w:t>Accrued expenses and other current</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540" w:type="dxa"/>
            <w:vAlign w:val="bottom"/>
          </w:tcPr>
          <w:p>
            <w:pPr>
              <w:jc w:val="center"/>
              <w:spacing w:after="0"/>
              <w:rPr>
                <w:sz w:val="20"/>
                <w:szCs w:val="20"/>
                <w:color w:val="auto"/>
              </w:rPr>
            </w:pPr>
            <w:r>
              <w:rPr>
                <w:rFonts w:ascii="Arial" w:cs="Arial" w:eastAsia="Arial" w:hAnsi="Arial"/>
                <w:sz w:val="18"/>
                <w:szCs w:val="18"/>
                <w:color w:val="auto"/>
                <w:w w:val="86"/>
              </w:rPr>
              <w:t>Accrued expenses and other current</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1160" w:type="dxa"/>
            <w:vAlign w:val="bottom"/>
          </w:tcPr>
          <w:p>
            <w:pPr>
              <w:spacing w:after="0"/>
              <w:rPr>
                <w:sz w:val="19"/>
                <w:szCs w:val="19"/>
                <w:color w:val="auto"/>
              </w:rPr>
            </w:pPr>
          </w:p>
        </w:tc>
        <w:tc>
          <w:tcPr>
            <w:tcW w:w="2000" w:type="dxa"/>
            <w:vAlign w:val="bottom"/>
          </w:tcPr>
          <w:p>
            <w:pPr>
              <w:ind w:left="160"/>
              <w:spacing w:after="0"/>
              <w:rPr>
                <w:sz w:val="20"/>
                <w:szCs w:val="20"/>
                <w:color w:val="auto"/>
              </w:rPr>
            </w:pPr>
            <w:r>
              <w:rPr>
                <w:rFonts w:ascii="Arial" w:cs="Arial" w:eastAsia="Arial" w:hAnsi="Arial"/>
                <w:sz w:val="18"/>
                <w:szCs w:val="18"/>
                <w:color w:val="auto"/>
              </w:rPr>
              <w:t>Contracts</w:t>
            </w:r>
          </w:p>
        </w:tc>
        <w:tc>
          <w:tcPr>
            <w:tcW w:w="2660" w:type="dxa"/>
            <w:vAlign w:val="bottom"/>
            <w:gridSpan w:val="2"/>
          </w:tcPr>
          <w:p>
            <w:pPr>
              <w:jc w:val="center"/>
              <w:ind w:right="140"/>
              <w:spacing w:after="0"/>
              <w:rPr>
                <w:sz w:val="20"/>
                <w:szCs w:val="20"/>
                <w:color w:val="auto"/>
              </w:rPr>
            </w:pPr>
            <w:r>
              <w:rPr>
                <w:rFonts w:ascii="Arial" w:cs="Arial" w:eastAsia="Arial" w:hAnsi="Arial"/>
                <w:sz w:val="18"/>
                <w:szCs w:val="18"/>
                <w:color w:val="auto"/>
                <w:w w:val="94"/>
              </w:rPr>
              <w:t>liabilities</w:t>
            </w: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rPr>
              <w:t>(819)</w:t>
            </w:r>
          </w:p>
        </w:tc>
        <w:tc>
          <w:tcPr>
            <w:tcW w:w="2540" w:type="dxa"/>
            <w:vAlign w:val="bottom"/>
          </w:tcPr>
          <w:p>
            <w:pPr>
              <w:jc w:val="center"/>
              <w:spacing w:after="0"/>
              <w:rPr>
                <w:sz w:val="20"/>
                <w:szCs w:val="20"/>
                <w:color w:val="auto"/>
              </w:rPr>
            </w:pPr>
            <w:r>
              <w:rPr>
                <w:rFonts w:ascii="Arial" w:cs="Arial" w:eastAsia="Arial" w:hAnsi="Arial"/>
                <w:sz w:val="18"/>
                <w:szCs w:val="18"/>
                <w:color w:val="auto"/>
                <w:w w:val="94"/>
              </w:rPr>
              <w:t>liabilities</w:t>
            </w: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rPr>
              <w:t>(117)</w:t>
            </w: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9"/>
        </w:trPr>
        <w:tc>
          <w:tcPr>
            <w:tcW w:w="1160" w:type="dxa"/>
            <w:vAlign w:val="bottom"/>
          </w:tcPr>
          <w:p>
            <w:pPr>
              <w:spacing w:after="0"/>
              <w:rPr>
                <w:sz w:val="2"/>
                <w:szCs w:val="2"/>
                <w:color w:val="auto"/>
              </w:rPr>
            </w:pPr>
          </w:p>
        </w:tc>
        <w:tc>
          <w:tcPr>
            <w:tcW w:w="2000" w:type="dxa"/>
            <w:vAlign w:val="bottom"/>
          </w:tcPr>
          <w:p>
            <w:pPr>
              <w:spacing w:after="0"/>
              <w:rPr>
                <w:sz w:val="2"/>
                <w:szCs w:val="2"/>
                <w:color w:val="auto"/>
              </w:rPr>
            </w:pPr>
          </w:p>
        </w:tc>
        <w:tc>
          <w:tcPr>
            <w:tcW w:w="2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2540" w:type="dxa"/>
            <w:vAlign w:val="bottom"/>
          </w:tcPr>
          <w:p>
            <w:pPr>
              <w:spacing w:after="0"/>
              <w:rPr>
                <w:sz w:val="2"/>
                <w:szCs w:val="2"/>
                <w:color w:val="auto"/>
              </w:rPr>
            </w:pPr>
          </w:p>
        </w:tc>
        <w:tc>
          <w:tcPr>
            <w:tcW w:w="1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2000" w:type="dxa"/>
            <w:vAlign w:val="bottom"/>
            <w:shd w:val="clear" w:color="auto" w:fill="CCEEFF"/>
          </w:tcPr>
          <w:p>
            <w:pPr>
              <w:spacing w:after="0"/>
              <w:rPr>
                <w:sz w:val="20"/>
                <w:szCs w:val="20"/>
                <w:color w:val="auto"/>
              </w:rPr>
            </w:pPr>
            <w:r>
              <w:rPr>
                <w:rFonts w:ascii="Arial" w:cs="Arial" w:eastAsia="Arial" w:hAnsi="Arial"/>
                <w:sz w:val="18"/>
                <w:szCs w:val="18"/>
                <w:color w:val="auto"/>
              </w:rPr>
              <w:t>Total Derivatives</w:t>
            </w:r>
          </w:p>
        </w:tc>
        <w:tc>
          <w:tcPr>
            <w:tcW w:w="2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ind w:right="32"/>
              <w:spacing w:after="0"/>
              <w:rPr>
                <w:sz w:val="20"/>
                <w:szCs w:val="20"/>
                <w:color w:val="auto"/>
              </w:rPr>
            </w:pPr>
            <w:r>
              <w:rPr>
                <w:rFonts w:ascii="Arial" w:cs="Arial" w:eastAsia="Arial" w:hAnsi="Arial"/>
                <w:sz w:val="18"/>
                <w:szCs w:val="18"/>
                <w:color w:val="auto"/>
                <w:w w:val="9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9,729</w:t>
            </w:r>
          </w:p>
        </w:tc>
        <w:tc>
          <w:tcPr>
            <w:tcW w:w="160" w:type="dxa"/>
            <w:vAlign w:val="bottom"/>
            <w:shd w:val="clear" w:color="auto" w:fill="CCEEFF"/>
          </w:tcPr>
          <w:p>
            <w:pPr>
              <w:spacing w:after="0"/>
              <w:rPr>
                <w:sz w:val="18"/>
                <w:szCs w:val="18"/>
                <w:color w:val="auto"/>
              </w:rPr>
            </w:pPr>
          </w:p>
        </w:tc>
        <w:tc>
          <w:tcPr>
            <w:tcW w:w="254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72"/>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6,904</w:t>
            </w:r>
          </w:p>
        </w:tc>
        <w:tc>
          <w:tcPr>
            <w:tcW w:w="160" w:type="dxa"/>
            <w:vAlign w:val="bottom"/>
            <w:shd w:val="clear" w:color="auto" w:fill="CCEEFF"/>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1160" w:type="dxa"/>
            <w:vAlign w:val="bottom"/>
          </w:tcPr>
          <w:p>
            <w:pPr>
              <w:spacing w:after="0"/>
              <w:rPr>
                <w:sz w:val="2"/>
                <w:szCs w:val="2"/>
                <w:color w:val="auto"/>
              </w:rPr>
            </w:pPr>
          </w:p>
        </w:tc>
        <w:tc>
          <w:tcPr>
            <w:tcW w:w="2000" w:type="dxa"/>
            <w:vAlign w:val="bottom"/>
          </w:tcPr>
          <w:p>
            <w:pPr>
              <w:spacing w:after="0"/>
              <w:rPr>
                <w:sz w:val="2"/>
                <w:szCs w:val="2"/>
                <w:color w:val="auto"/>
              </w:rPr>
            </w:pPr>
          </w:p>
        </w:tc>
        <w:tc>
          <w:tcPr>
            <w:tcW w:w="2660" w:type="dxa"/>
            <w:vAlign w:val="bottom"/>
            <w:gridSpan w:val="2"/>
            <w:vMerge w:val="restart"/>
          </w:tcPr>
          <w:p>
            <w:pPr>
              <w:jc w:val="right"/>
              <w:ind w:right="20"/>
              <w:spacing w:after="0"/>
              <w:rPr>
                <w:sz w:val="20"/>
                <w:szCs w:val="20"/>
                <w:color w:val="auto"/>
              </w:rPr>
            </w:pPr>
            <w:r>
              <w:rPr>
                <w:rFonts w:ascii="Arial" w:cs="Arial" w:eastAsia="Arial" w:hAnsi="Arial"/>
                <w:sz w:val="18"/>
                <w:szCs w:val="18"/>
                <w:color w:val="auto"/>
              </w:rPr>
              <w:t>27</w:t>
            </w:r>
          </w:p>
        </w:tc>
        <w:tc>
          <w:tcPr>
            <w:tcW w:w="4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2540" w:type="dxa"/>
            <w:vAlign w:val="bottom"/>
          </w:tcPr>
          <w:p>
            <w:pPr>
              <w:spacing w:after="0"/>
              <w:rPr>
                <w:sz w:val="2"/>
                <w:szCs w:val="2"/>
                <w:color w:val="auto"/>
              </w:rPr>
            </w:pPr>
          </w:p>
        </w:tc>
        <w:tc>
          <w:tcPr>
            <w:tcW w:w="1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2660" w:type="dxa"/>
            <w:vAlign w:val="bottom"/>
            <w:gridSpan w:val="2"/>
            <w:vMerge w:val="continu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1"/>
        </w:trPr>
        <w:tc>
          <w:tcPr>
            <w:tcW w:w="116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2660" w:type="dxa"/>
            <w:vAlign w:val="bottom"/>
            <w:gridSpan w:val="2"/>
            <w:vMerge w:val="continue"/>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1160" w:type="dxa"/>
            <w:vAlign w:val="bottom"/>
            <w:tcBorders>
              <w:bottom w:val="single" w:sz="8" w:color="808080"/>
            </w:tcBorders>
          </w:tcPr>
          <w:p>
            <w:pPr>
              <w:spacing w:after="0"/>
              <w:rPr>
                <w:sz w:val="19"/>
                <w:szCs w:val="19"/>
                <w:color w:val="auto"/>
              </w:rPr>
            </w:pPr>
          </w:p>
        </w:tc>
        <w:tc>
          <w:tcPr>
            <w:tcW w:w="2000" w:type="dxa"/>
            <w:vAlign w:val="bottom"/>
            <w:tcBorders>
              <w:bottom w:val="single" w:sz="8" w:color="808080"/>
            </w:tcBorders>
          </w:tcPr>
          <w:p>
            <w:pPr>
              <w:spacing w:after="0"/>
              <w:rPr>
                <w:sz w:val="19"/>
                <w:szCs w:val="19"/>
                <w:color w:val="auto"/>
              </w:rPr>
            </w:pPr>
          </w:p>
        </w:tc>
        <w:tc>
          <w:tcPr>
            <w:tcW w:w="254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4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58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254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54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02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8" w:name="page29"/>
    <w:bookmarkEnd w:id="2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TREE.COM, INC. AND SUBSIDIARIES</w:t>
      </w:r>
    </w:p>
    <w:p>
      <w:pPr>
        <w:spacing w:after="0" w:line="225" w:lineRule="exact"/>
        <w:rPr>
          <w:sz w:val="20"/>
          <w:szCs w:val="20"/>
          <w:color w:val="auto"/>
        </w:rPr>
      </w:pPr>
    </w:p>
    <w:p>
      <w:pPr>
        <w:ind w:left="294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9—FAIR VALUE MEASUREMENTS (Continued)</w:t>
      </w:r>
    </w:p>
    <w:p>
      <w:pPr>
        <w:spacing w:after="0" w:line="231" w:lineRule="exact"/>
        <w:rPr>
          <w:sz w:val="20"/>
          <w:szCs w:val="20"/>
          <w:color w:val="auto"/>
        </w:rPr>
      </w:pPr>
    </w:p>
    <w:p>
      <w:pPr>
        <w:ind w:right="20" w:firstLine="348"/>
        <w:spacing w:after="0" w:line="268" w:lineRule="auto"/>
        <w:rPr>
          <w:sz w:val="20"/>
          <w:szCs w:val="20"/>
          <w:color w:val="auto"/>
        </w:rPr>
      </w:pPr>
      <w:r>
        <w:rPr>
          <w:rFonts w:ascii="Arial" w:cs="Arial" w:eastAsia="Arial" w:hAnsi="Arial"/>
          <w:sz w:val="18"/>
          <w:szCs w:val="18"/>
          <w:color w:val="auto"/>
        </w:rPr>
        <w:t>The gain/(loss) recognized in the consolidated statements of operations for derivatives for the periods ended September 30, 2010 and 2009 was as follows (in thousands):</w:t>
      </w:r>
    </w:p>
    <w:p>
      <w:pPr>
        <w:spacing w:after="0" w:line="236"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22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6"/>
              </w:rPr>
              <w:t>Location of Gain/(Loss) Recognized</w:t>
            </w:r>
          </w:p>
        </w:tc>
        <w:tc>
          <w:tcPr>
            <w:tcW w:w="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100" w:type="dxa"/>
            <w:vAlign w:val="bottom"/>
            <w:gridSpan w:val="5"/>
          </w:tcPr>
          <w:p>
            <w:pPr>
              <w:jc w:val="right"/>
              <w:ind w:right="640"/>
              <w:spacing w:after="0"/>
              <w:rPr>
                <w:sz w:val="20"/>
                <w:szCs w:val="20"/>
                <w:color w:val="auto"/>
              </w:rPr>
            </w:pPr>
            <w:r>
              <w:rPr>
                <w:rFonts w:ascii="Arial" w:cs="Arial" w:eastAsia="Arial" w:hAnsi="Arial"/>
                <w:sz w:val="14"/>
                <w:szCs w:val="14"/>
                <w:b w:val="1"/>
                <w:bCs w:val="1"/>
                <w:color w:val="auto"/>
              </w:rPr>
              <w:t>Three Months Ended</w:t>
            </w:r>
          </w:p>
        </w:tc>
        <w:tc>
          <w:tcPr>
            <w:tcW w:w="240" w:type="dxa"/>
            <w:vAlign w:val="bottom"/>
          </w:tcPr>
          <w:p>
            <w:pPr>
              <w:spacing w:after="0"/>
              <w:rPr>
                <w:sz w:val="14"/>
                <w:szCs w:val="14"/>
                <w:color w:val="auto"/>
              </w:rPr>
            </w:pPr>
          </w:p>
        </w:tc>
        <w:tc>
          <w:tcPr>
            <w:tcW w:w="2120" w:type="dxa"/>
            <w:vAlign w:val="bottom"/>
            <w:gridSpan w:val="5"/>
          </w:tcPr>
          <w:p>
            <w:pPr>
              <w:ind w:left="28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2180" w:type="dxa"/>
            <w:vAlign w:val="bottom"/>
          </w:tcPr>
          <w:p>
            <w:pPr>
              <w:spacing w:after="0"/>
              <w:rPr>
                <w:sz w:val="11"/>
                <w:szCs w:val="11"/>
                <w:color w:val="auto"/>
              </w:rPr>
            </w:pPr>
          </w:p>
        </w:tc>
        <w:tc>
          <w:tcPr>
            <w:tcW w:w="2200" w:type="dxa"/>
            <w:vAlign w:val="bottom"/>
            <w:vMerge w:val="continue"/>
          </w:tcPr>
          <w:p>
            <w:pPr>
              <w:spacing w:after="0"/>
              <w:rPr>
                <w:sz w:val="11"/>
                <w:szCs w:val="11"/>
                <w:color w:val="auto"/>
              </w:rPr>
            </w:pPr>
          </w:p>
        </w:tc>
        <w:tc>
          <w:tcPr>
            <w:tcW w:w="160" w:type="dxa"/>
            <w:vAlign w:val="bottom"/>
          </w:tcPr>
          <w:p>
            <w:pPr>
              <w:spacing w:after="0"/>
              <w:rPr>
                <w:sz w:val="11"/>
                <w:szCs w:val="11"/>
                <w:color w:val="auto"/>
              </w:rPr>
            </w:pPr>
          </w:p>
        </w:tc>
        <w:tc>
          <w:tcPr>
            <w:tcW w:w="1000" w:type="dxa"/>
            <w:vAlign w:val="bottom"/>
            <w:tcBorders>
              <w:top w:val="single" w:sz="8" w:color="auto"/>
            </w:tcBorders>
            <w:gridSpan w:val="2"/>
          </w:tcPr>
          <w:p>
            <w:pPr>
              <w:jc w:val="right"/>
              <w:spacing w:after="0" w:line="129" w:lineRule="exact"/>
              <w:rPr>
                <w:sz w:val="20"/>
                <w:szCs w:val="20"/>
                <w:color w:val="auto"/>
              </w:rPr>
            </w:pPr>
            <w:r>
              <w:rPr>
                <w:rFonts w:ascii="Arial" w:cs="Arial" w:eastAsia="Arial" w:hAnsi="Arial"/>
                <w:sz w:val="14"/>
                <w:szCs w:val="14"/>
                <w:b w:val="1"/>
                <w:bCs w:val="1"/>
                <w:color w:val="auto"/>
                <w:w w:val="93"/>
              </w:rPr>
              <w:t>September 30,</w:t>
            </w:r>
          </w:p>
        </w:tc>
        <w:tc>
          <w:tcPr>
            <w:tcW w:w="160" w:type="dxa"/>
            <w:vAlign w:val="bottom"/>
            <w:tcBorders>
              <w:top w:val="single" w:sz="8" w:color="auto"/>
            </w:tcBorders>
          </w:tcPr>
          <w:p>
            <w:pPr>
              <w:spacing w:after="0"/>
              <w:rPr>
                <w:sz w:val="11"/>
                <w:szCs w:val="11"/>
                <w:color w:val="auto"/>
              </w:rPr>
            </w:pPr>
          </w:p>
        </w:tc>
        <w:tc>
          <w:tcPr>
            <w:tcW w:w="1020" w:type="dxa"/>
            <w:vAlign w:val="bottom"/>
            <w:tcBorders>
              <w:top w:val="single" w:sz="8" w:color="auto"/>
            </w:tcBorders>
            <w:gridSpan w:val="2"/>
          </w:tcPr>
          <w:p>
            <w:pPr>
              <w:jc w:val="right"/>
              <w:ind w:right="17"/>
              <w:spacing w:after="0" w:line="129" w:lineRule="exact"/>
              <w:rPr>
                <w:sz w:val="20"/>
                <w:szCs w:val="20"/>
                <w:color w:val="auto"/>
              </w:rPr>
            </w:pPr>
            <w:r>
              <w:rPr>
                <w:rFonts w:ascii="Arial" w:cs="Arial" w:eastAsia="Arial" w:hAnsi="Arial"/>
                <w:sz w:val="14"/>
                <w:szCs w:val="14"/>
                <w:b w:val="1"/>
                <w:bCs w:val="1"/>
                <w:color w:val="auto"/>
                <w:w w:val="93"/>
              </w:rPr>
              <w:t>September 30,</w:t>
            </w:r>
          </w:p>
        </w:tc>
        <w:tc>
          <w:tcPr>
            <w:tcW w:w="160" w:type="dxa"/>
            <w:vAlign w:val="bottom"/>
          </w:tcPr>
          <w:p>
            <w:pPr>
              <w:spacing w:after="0"/>
              <w:rPr>
                <w:sz w:val="11"/>
                <w:szCs w:val="11"/>
                <w:color w:val="auto"/>
              </w:rPr>
            </w:pPr>
          </w:p>
        </w:tc>
        <w:tc>
          <w:tcPr>
            <w:tcW w:w="1180" w:type="dxa"/>
            <w:vAlign w:val="bottom"/>
            <w:tcBorders>
              <w:top w:val="single" w:sz="8" w:color="auto"/>
            </w:tcBorders>
            <w:gridSpan w:val="3"/>
          </w:tcPr>
          <w:p>
            <w:pPr>
              <w:jc w:val="right"/>
              <w:ind w:right="260"/>
              <w:spacing w:after="0" w:line="129" w:lineRule="exact"/>
              <w:rPr>
                <w:sz w:val="20"/>
                <w:szCs w:val="20"/>
                <w:color w:val="auto"/>
              </w:rPr>
            </w:pPr>
            <w:r>
              <w:rPr>
                <w:rFonts w:ascii="Arial" w:cs="Arial" w:eastAsia="Arial" w:hAnsi="Arial"/>
                <w:sz w:val="14"/>
                <w:szCs w:val="14"/>
                <w:b w:val="1"/>
                <w:bCs w:val="1"/>
                <w:color w:val="auto"/>
                <w:w w:val="93"/>
              </w:rPr>
              <w:t>September 30,</w:t>
            </w:r>
          </w:p>
        </w:tc>
        <w:tc>
          <w:tcPr>
            <w:tcW w:w="1020" w:type="dxa"/>
            <w:vAlign w:val="bottom"/>
            <w:tcBorders>
              <w:top w:val="single" w:sz="8" w:color="auto"/>
            </w:tcBorders>
            <w:gridSpan w:val="2"/>
          </w:tcPr>
          <w:p>
            <w:pPr>
              <w:jc w:val="right"/>
              <w:ind w:right="37"/>
              <w:spacing w:after="0" w:line="129" w:lineRule="exact"/>
              <w:rPr>
                <w:sz w:val="20"/>
                <w:szCs w:val="20"/>
                <w:color w:val="auto"/>
              </w:rPr>
            </w:pPr>
            <w:r>
              <w:rPr>
                <w:rFonts w:ascii="Arial" w:cs="Arial" w:eastAsia="Arial" w:hAnsi="Arial"/>
                <w:sz w:val="14"/>
                <w:szCs w:val="14"/>
                <w:b w:val="1"/>
                <w:bCs w:val="1"/>
                <w:color w:val="auto"/>
                <w:w w:val="91"/>
              </w:rPr>
              <w:t>September 30,</w:t>
            </w: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22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in Income on Derivative</w:t>
            </w:r>
          </w:p>
        </w:tc>
        <w:tc>
          <w:tcPr>
            <w:tcW w:w="16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280"/>
              <w:spacing w:after="0"/>
              <w:rPr>
                <w:sz w:val="20"/>
                <w:szCs w:val="20"/>
                <w:color w:val="auto"/>
              </w:rPr>
            </w:pPr>
            <w:r>
              <w:rPr>
                <w:rFonts w:ascii="Arial" w:cs="Arial" w:eastAsia="Arial" w:hAnsi="Arial"/>
                <w:sz w:val="14"/>
                <w:szCs w:val="14"/>
                <w:b w:val="1"/>
                <w:bCs w:val="1"/>
                <w:color w:val="auto"/>
              </w:rPr>
              <w:t>2010</w:t>
            </w:r>
          </w:p>
        </w:tc>
        <w:tc>
          <w:tcPr>
            <w:tcW w:w="16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297"/>
              <w:spacing w:after="0"/>
              <w:rPr>
                <w:sz w:val="20"/>
                <w:szCs w:val="20"/>
                <w:color w:val="auto"/>
              </w:rPr>
            </w:pPr>
            <w:r>
              <w:rPr>
                <w:rFonts w:ascii="Arial" w:cs="Arial" w:eastAsia="Arial" w:hAnsi="Arial"/>
                <w:sz w:val="14"/>
                <w:szCs w:val="14"/>
                <w:b w:val="1"/>
                <w:bCs w:val="1"/>
                <w:color w:val="auto"/>
              </w:rPr>
              <w:t>2009</w:t>
            </w:r>
          </w:p>
        </w:tc>
        <w:tc>
          <w:tcPr>
            <w:tcW w:w="16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300"/>
              <w:spacing w:after="0"/>
              <w:rPr>
                <w:sz w:val="20"/>
                <w:szCs w:val="20"/>
                <w:color w:val="auto"/>
              </w:rPr>
            </w:pPr>
            <w:r>
              <w:rPr>
                <w:rFonts w:ascii="Arial" w:cs="Arial" w:eastAsia="Arial" w:hAnsi="Arial"/>
                <w:sz w:val="14"/>
                <w:szCs w:val="14"/>
                <w:b w:val="1"/>
                <w:bCs w:val="1"/>
                <w:color w:val="auto"/>
              </w:rPr>
              <w:t>2010</w:t>
            </w:r>
          </w:p>
        </w:tc>
        <w:tc>
          <w:tcPr>
            <w:tcW w:w="16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297"/>
              <w:spacing w:after="0"/>
              <w:rPr>
                <w:sz w:val="20"/>
                <w:szCs w:val="20"/>
                <w:color w:val="auto"/>
              </w:rPr>
            </w:pPr>
            <w:r>
              <w:rPr>
                <w:rFonts w:ascii="Arial" w:cs="Arial" w:eastAsia="Arial" w:hAnsi="Arial"/>
                <w:sz w:val="14"/>
                <w:szCs w:val="14"/>
                <w:b w:val="1"/>
                <w:bCs w:val="1"/>
                <w:color w:val="auto"/>
              </w:rPr>
              <w:t>2009</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21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Interest Rate Lock</w:t>
            </w:r>
          </w:p>
        </w:tc>
        <w:tc>
          <w:tcPr>
            <w:tcW w:w="2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1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Commitments</w:t>
            </w:r>
          </w:p>
        </w:tc>
        <w:tc>
          <w:tcPr>
            <w:tcW w:w="22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LendingTree Loans revenue</w:t>
            </w:r>
          </w:p>
        </w:tc>
        <w:tc>
          <w:tcPr>
            <w:tcW w:w="400" w:type="dxa"/>
            <w:vAlign w:val="bottom"/>
            <w:gridSpan w:val="2"/>
            <w:shd w:val="clear" w:color="auto" w:fill="CCEEFF"/>
          </w:tcPr>
          <w:p>
            <w:pPr>
              <w:jc w:val="right"/>
              <w:ind w:right="72"/>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33,683</w:t>
            </w:r>
          </w:p>
        </w:tc>
        <w:tc>
          <w:tcPr>
            <w:tcW w:w="400" w:type="dxa"/>
            <w:vAlign w:val="bottom"/>
            <w:gridSpan w:val="2"/>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21,227</w:t>
            </w:r>
          </w:p>
        </w:tc>
        <w:tc>
          <w:tcPr>
            <w:tcW w:w="16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83,752</w:t>
            </w:r>
          </w:p>
        </w:tc>
        <w:tc>
          <w:tcPr>
            <w:tcW w:w="16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74,178</w:t>
            </w:r>
          </w:p>
        </w:tc>
        <w:tc>
          <w:tcPr>
            <w:tcW w:w="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180" w:type="dxa"/>
            <w:vAlign w:val="bottom"/>
          </w:tcPr>
          <w:p>
            <w:pPr>
              <w:spacing w:after="0"/>
              <w:rPr>
                <w:sz w:val="20"/>
                <w:szCs w:val="20"/>
                <w:color w:val="auto"/>
              </w:rPr>
            </w:pPr>
            <w:r>
              <w:rPr>
                <w:rFonts w:ascii="Arial" w:cs="Arial" w:eastAsia="Arial" w:hAnsi="Arial"/>
                <w:sz w:val="18"/>
                <w:szCs w:val="18"/>
                <w:color w:val="auto"/>
                <w:w w:val="99"/>
              </w:rPr>
              <w:t>Forward Delivery Contracts</w:t>
            </w:r>
          </w:p>
        </w:tc>
        <w:tc>
          <w:tcPr>
            <w:tcW w:w="2200" w:type="dxa"/>
            <w:vAlign w:val="bottom"/>
          </w:tcPr>
          <w:p>
            <w:pPr>
              <w:jc w:val="center"/>
              <w:spacing w:after="0"/>
              <w:rPr>
                <w:sz w:val="20"/>
                <w:szCs w:val="20"/>
                <w:color w:val="auto"/>
              </w:rPr>
            </w:pPr>
            <w:r>
              <w:rPr>
                <w:rFonts w:ascii="Arial" w:cs="Arial" w:eastAsia="Arial" w:hAnsi="Arial"/>
                <w:sz w:val="18"/>
                <w:szCs w:val="18"/>
                <w:color w:val="auto"/>
                <w:w w:val="87"/>
              </w:rPr>
              <w:t>LendingTree Loans revenue</w:t>
            </w: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3,252</w:t>
            </w: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(2,270)</w:t>
            </w:r>
          </w:p>
        </w:tc>
        <w:tc>
          <w:tcPr>
            <w:tcW w:w="240" w:type="dxa"/>
            <w:vAlign w:val="bottom"/>
          </w:tcPr>
          <w:p>
            <w:pPr>
              <w:spacing w:after="0"/>
              <w:rPr>
                <w:sz w:val="19"/>
                <w:szCs w:val="19"/>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(3,905)</w:t>
            </w:r>
          </w:p>
        </w:tc>
        <w:tc>
          <w:tcPr>
            <w:tcW w:w="2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149</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1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Total</w:t>
            </w:r>
          </w:p>
        </w:tc>
        <w:tc>
          <w:tcPr>
            <w:tcW w:w="220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72"/>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36,935</w:t>
            </w:r>
          </w:p>
        </w:tc>
        <w:tc>
          <w:tcPr>
            <w:tcW w:w="400" w:type="dxa"/>
            <w:vAlign w:val="bottom"/>
            <w:gridSpan w:val="2"/>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18,957</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79,847</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74,327</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180" w:type="dxa"/>
            <w:vAlign w:val="bottom"/>
          </w:tcPr>
          <w:p>
            <w:pPr>
              <w:spacing w:after="0"/>
              <w:rPr>
                <w:sz w:val="2"/>
                <w:szCs w:val="2"/>
                <w:color w:val="auto"/>
              </w:rPr>
            </w:pPr>
          </w:p>
        </w:tc>
        <w:tc>
          <w:tcPr>
            <w:tcW w:w="2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ind w:right="20" w:firstLine="348"/>
        <w:spacing w:after="0" w:line="259" w:lineRule="auto"/>
        <w:rPr>
          <w:sz w:val="20"/>
          <w:szCs w:val="20"/>
          <w:color w:val="auto"/>
        </w:rPr>
      </w:pPr>
      <w:r>
        <w:rPr>
          <w:rFonts w:ascii="Arial" w:cs="Arial" w:eastAsia="Arial" w:hAnsi="Arial"/>
          <w:sz w:val="18"/>
          <w:szCs w:val="18"/>
          <w:color w:val="auto"/>
        </w:rPr>
        <w:t>Tree.com has elected to account for loans held for sale originated on or after January 1, 2008 at fair value. Electing the fair value option allows a better offset of the changes in fair values of the loans and the forward delivery contracts used to economically hedge them without the burden of complying with the requirements for hedge accounting.</w:t>
      </w:r>
    </w:p>
    <w:p>
      <w:pPr>
        <w:spacing w:after="0" w:line="194" w:lineRule="exact"/>
        <w:rPr>
          <w:sz w:val="20"/>
          <w:szCs w:val="20"/>
          <w:color w:val="auto"/>
        </w:rPr>
      </w:pPr>
    </w:p>
    <w:p>
      <w:pPr>
        <w:ind w:right="20" w:firstLine="348"/>
        <w:spacing w:after="0" w:line="283" w:lineRule="auto"/>
        <w:rPr>
          <w:sz w:val="20"/>
          <w:szCs w:val="20"/>
          <w:color w:val="auto"/>
        </w:rPr>
      </w:pPr>
      <w:r>
        <w:rPr>
          <w:rFonts w:ascii="Arial" w:cs="Arial" w:eastAsia="Arial" w:hAnsi="Arial"/>
          <w:sz w:val="16"/>
          <w:szCs w:val="16"/>
          <w:color w:val="auto"/>
        </w:rPr>
        <w:t>Tree.com did not elect the fair value option on loans held for sale originated prior to January 1, 2008 and on loans that were repurchased from investors on or subsequent to that date. As of September 30, 2010 and December 31, 2009, 26 and 29 such loans, respectively, all of which were impaired, were included in loans held for sale and were carried at the lower of cost or market ("LOCOM") value assessed on an individual loan basis. The market value (or fair value) of these impaired loans at September 30, 2010 and December 31, 2009, measured on a non-recurring basis using significant unobservable inputs (Level 3), was</w:t>
      </w:r>
    </w:p>
    <w:p>
      <w:pPr>
        <w:spacing w:after="0" w:line="3" w:lineRule="exact"/>
        <w:rPr>
          <w:sz w:val="20"/>
          <w:szCs w:val="20"/>
          <w:color w:val="auto"/>
        </w:rPr>
      </w:pPr>
    </w:p>
    <w:p>
      <w:pPr>
        <w:ind w:right="240"/>
        <w:spacing w:after="0" w:line="261" w:lineRule="auto"/>
        <w:rPr>
          <w:sz w:val="20"/>
          <w:szCs w:val="20"/>
          <w:color w:val="auto"/>
        </w:rPr>
      </w:pPr>
      <w:r>
        <w:rPr>
          <w:rFonts w:ascii="Arial" w:cs="Arial" w:eastAsia="Arial" w:hAnsi="Arial"/>
          <w:sz w:val="18"/>
          <w:szCs w:val="18"/>
          <w:color w:val="auto"/>
        </w:rPr>
        <w:t>$1.1 million and $1.4 million, respectively. This fair value measurement is management's best estimate of the market value of such loans and considers the lien position and loan status.</w:t>
      </w:r>
    </w:p>
    <w:p>
      <w:pPr>
        <w:spacing w:after="0" w:line="192" w:lineRule="exact"/>
        <w:rPr>
          <w:sz w:val="20"/>
          <w:szCs w:val="20"/>
          <w:color w:val="auto"/>
        </w:rPr>
      </w:pPr>
    </w:p>
    <w:p>
      <w:pPr>
        <w:ind w:right="140" w:firstLine="348"/>
        <w:spacing w:after="0" w:line="268" w:lineRule="auto"/>
        <w:rPr>
          <w:sz w:val="20"/>
          <w:szCs w:val="20"/>
          <w:color w:val="auto"/>
        </w:rPr>
      </w:pPr>
      <w:r>
        <w:rPr>
          <w:rFonts w:ascii="Arial" w:cs="Arial" w:eastAsia="Arial" w:hAnsi="Arial"/>
          <w:sz w:val="18"/>
          <w:szCs w:val="18"/>
          <w:color w:val="auto"/>
        </w:rPr>
        <w:t>The following presents the difference between the aggregate principal balance of loans held for sale for which the fair value option has been elected and for loans measured at LOCOM as of September 30, 2010 and December 31, 2009 (in thousands):</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54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160" w:type="dxa"/>
            <w:vAlign w:val="bottom"/>
            <w:tcBorders>
              <w:bottom w:val="single" w:sz="8" w:color="auto"/>
            </w:tcBorders>
            <w:gridSpan w:val="7"/>
          </w:tcPr>
          <w:p>
            <w:pPr>
              <w:jc w:val="right"/>
              <w:spacing w:after="0"/>
              <w:rPr>
                <w:sz w:val="20"/>
                <w:szCs w:val="20"/>
                <w:color w:val="auto"/>
              </w:rPr>
            </w:pPr>
            <w:r>
              <w:rPr>
                <w:rFonts w:ascii="Arial" w:cs="Arial" w:eastAsia="Arial" w:hAnsi="Arial"/>
                <w:sz w:val="14"/>
                <w:szCs w:val="14"/>
                <w:b w:val="1"/>
                <w:bCs w:val="1"/>
                <w:color w:val="auto"/>
              </w:rPr>
              <w:t>As of September 30, 2010</w:t>
            </w:r>
          </w:p>
        </w:tc>
        <w:tc>
          <w:tcPr>
            <w:tcW w:w="72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1160" w:type="dxa"/>
            <w:vAlign w:val="bottom"/>
          </w:tcPr>
          <w:p>
            <w:pPr>
              <w:spacing w:after="0"/>
              <w:rPr>
                <w:sz w:val="11"/>
                <w:szCs w:val="11"/>
                <w:color w:val="auto"/>
              </w:rPr>
            </w:pPr>
          </w:p>
        </w:tc>
        <w:tc>
          <w:tcPr>
            <w:tcW w:w="54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jc w:val="center"/>
              <w:ind w:right="21"/>
              <w:spacing w:after="0" w:line="129" w:lineRule="exact"/>
              <w:rPr>
                <w:sz w:val="20"/>
                <w:szCs w:val="20"/>
                <w:color w:val="auto"/>
              </w:rPr>
            </w:pPr>
            <w:r>
              <w:rPr>
                <w:rFonts w:ascii="Arial" w:cs="Arial" w:eastAsia="Arial" w:hAnsi="Arial"/>
                <w:sz w:val="14"/>
                <w:szCs w:val="14"/>
                <w:b w:val="1"/>
                <w:bCs w:val="1"/>
                <w:color w:val="auto"/>
                <w:w w:val="87"/>
              </w:rPr>
              <w:t>Loans Held</w:t>
            </w: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gridSpan w:val="2"/>
          </w:tcPr>
          <w:p>
            <w:pPr>
              <w:jc w:val="center"/>
              <w:ind w:right="220"/>
              <w:spacing w:after="0" w:line="129" w:lineRule="exact"/>
              <w:rPr>
                <w:sz w:val="20"/>
                <w:szCs w:val="20"/>
                <w:color w:val="auto"/>
              </w:rPr>
            </w:pPr>
            <w:r>
              <w:rPr>
                <w:rFonts w:ascii="Arial" w:cs="Arial" w:eastAsia="Arial" w:hAnsi="Arial"/>
                <w:sz w:val="14"/>
                <w:szCs w:val="14"/>
                <w:b w:val="1"/>
                <w:bCs w:val="1"/>
                <w:color w:val="auto"/>
                <w:w w:val="87"/>
              </w:rPr>
              <w:t>Loans Held</w:t>
            </w: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160" w:type="dxa"/>
            <w:vAlign w:val="bottom"/>
          </w:tcPr>
          <w:p>
            <w:pPr>
              <w:spacing w:after="0"/>
              <w:rPr>
                <w:sz w:val="12"/>
                <w:szCs w:val="12"/>
                <w:color w:val="auto"/>
              </w:rPr>
            </w:pPr>
          </w:p>
        </w:tc>
        <w:tc>
          <w:tcPr>
            <w:tcW w:w="54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jc w:val="center"/>
              <w:ind w:right="21"/>
              <w:spacing w:after="0" w:line="149" w:lineRule="exact"/>
              <w:rPr>
                <w:sz w:val="20"/>
                <w:szCs w:val="20"/>
                <w:color w:val="auto"/>
              </w:rPr>
            </w:pPr>
            <w:r>
              <w:rPr>
                <w:rFonts w:ascii="Arial" w:cs="Arial" w:eastAsia="Arial" w:hAnsi="Arial"/>
                <w:sz w:val="14"/>
                <w:szCs w:val="14"/>
                <w:b w:val="1"/>
                <w:bCs w:val="1"/>
                <w:color w:val="auto"/>
                <w:w w:val="88"/>
              </w:rPr>
              <w:t>for Sale—</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8"/>
              </w:rPr>
              <w:t>for Sale—</w:t>
            </w:r>
          </w:p>
        </w:tc>
        <w:tc>
          <w:tcPr>
            <w:tcW w:w="60" w:type="dxa"/>
            <w:vAlign w:val="bottom"/>
          </w:tcPr>
          <w:p>
            <w:pPr>
              <w:spacing w:after="0"/>
              <w:rPr>
                <w:sz w:val="12"/>
                <w:szCs w:val="12"/>
                <w:color w:val="auto"/>
              </w:rPr>
            </w:pPr>
          </w:p>
        </w:tc>
        <w:tc>
          <w:tcPr>
            <w:tcW w:w="2140" w:type="dxa"/>
            <w:vAlign w:val="bottom"/>
            <w:gridSpan w:val="4"/>
          </w:tcPr>
          <w:p>
            <w:pPr>
              <w:jc w:val="center"/>
              <w:ind w:right="1300"/>
              <w:spacing w:after="0" w:line="149" w:lineRule="exact"/>
              <w:rPr>
                <w:sz w:val="20"/>
                <w:szCs w:val="20"/>
                <w:color w:val="auto"/>
              </w:rPr>
            </w:pPr>
            <w:r>
              <w:rPr>
                <w:rFonts w:ascii="Arial" w:cs="Arial" w:eastAsia="Arial" w:hAnsi="Arial"/>
                <w:sz w:val="14"/>
                <w:szCs w:val="14"/>
                <w:b w:val="1"/>
                <w:bCs w:val="1"/>
                <w:color w:val="auto"/>
                <w:w w:val="86"/>
              </w:rPr>
              <w:t>Total Loans</w:t>
            </w:r>
          </w:p>
        </w:tc>
        <w:tc>
          <w:tcPr>
            <w:tcW w:w="0" w:type="dxa"/>
            <w:vAlign w:val="bottom"/>
          </w:tcPr>
          <w:p>
            <w:pPr>
              <w:spacing w:after="0"/>
              <w:rPr>
                <w:sz w:val="1"/>
                <w:szCs w:val="1"/>
                <w:color w:val="auto"/>
              </w:rPr>
            </w:pPr>
          </w:p>
        </w:tc>
      </w:tr>
      <w:tr>
        <w:trPr>
          <w:trHeight w:val="149"/>
        </w:trPr>
        <w:tc>
          <w:tcPr>
            <w:tcW w:w="1160" w:type="dxa"/>
            <w:vAlign w:val="bottom"/>
          </w:tcPr>
          <w:p>
            <w:pPr>
              <w:spacing w:after="0"/>
              <w:rPr>
                <w:sz w:val="12"/>
                <w:szCs w:val="12"/>
                <w:color w:val="auto"/>
              </w:rPr>
            </w:pPr>
          </w:p>
        </w:tc>
        <w:tc>
          <w:tcPr>
            <w:tcW w:w="54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9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8"/>
              </w:rPr>
              <w:t>Measured at</w:t>
            </w:r>
          </w:p>
        </w:tc>
        <w:tc>
          <w:tcPr>
            <w:tcW w:w="160" w:type="dxa"/>
            <w:vAlign w:val="bottom"/>
          </w:tcPr>
          <w:p>
            <w:pPr>
              <w:spacing w:after="0"/>
              <w:rPr>
                <w:sz w:val="12"/>
                <w:szCs w:val="12"/>
                <w:color w:val="auto"/>
              </w:rPr>
            </w:pPr>
          </w:p>
        </w:tc>
        <w:tc>
          <w:tcPr>
            <w:tcW w:w="102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88"/>
              </w:rPr>
              <w:t>Measured at</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20" w:type="dxa"/>
            <w:vAlign w:val="bottom"/>
            <w:gridSpan w:val="3"/>
          </w:tcPr>
          <w:p>
            <w:pPr>
              <w:jc w:val="center"/>
              <w:ind w:right="1420"/>
              <w:spacing w:after="0" w:line="149" w:lineRule="exact"/>
              <w:rPr>
                <w:sz w:val="20"/>
                <w:szCs w:val="20"/>
                <w:color w:val="auto"/>
              </w:rPr>
            </w:pPr>
            <w:r>
              <w:rPr>
                <w:rFonts w:ascii="Arial" w:cs="Arial" w:eastAsia="Arial" w:hAnsi="Arial"/>
                <w:sz w:val="14"/>
                <w:szCs w:val="14"/>
                <w:b w:val="1"/>
                <w:bCs w:val="1"/>
                <w:color w:val="auto"/>
                <w:w w:val="91"/>
              </w:rPr>
              <w:t>Held For</w:t>
            </w:r>
          </w:p>
        </w:tc>
        <w:tc>
          <w:tcPr>
            <w:tcW w:w="0" w:type="dxa"/>
            <w:vAlign w:val="bottom"/>
          </w:tcPr>
          <w:p>
            <w:pPr>
              <w:spacing w:after="0"/>
              <w:rPr>
                <w:sz w:val="1"/>
                <w:szCs w:val="1"/>
                <w:color w:val="auto"/>
              </w:rPr>
            </w:pPr>
          </w:p>
        </w:tc>
      </w:tr>
      <w:tr>
        <w:trPr>
          <w:trHeight w:val="161"/>
        </w:trPr>
        <w:tc>
          <w:tcPr>
            <w:tcW w:w="1160" w:type="dxa"/>
            <w:vAlign w:val="bottom"/>
          </w:tcPr>
          <w:p>
            <w:pPr>
              <w:spacing w:after="0"/>
              <w:rPr>
                <w:sz w:val="14"/>
                <w:szCs w:val="14"/>
                <w:color w:val="auto"/>
              </w:rPr>
            </w:pPr>
          </w:p>
        </w:tc>
        <w:tc>
          <w:tcPr>
            <w:tcW w:w="54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center"/>
              <w:ind w:right="41"/>
              <w:spacing w:after="0"/>
              <w:rPr>
                <w:sz w:val="20"/>
                <w:szCs w:val="20"/>
                <w:color w:val="auto"/>
              </w:rPr>
            </w:pPr>
            <w:r>
              <w:rPr>
                <w:rFonts w:ascii="Arial" w:cs="Arial" w:eastAsia="Arial" w:hAnsi="Arial"/>
                <w:sz w:val="14"/>
                <w:szCs w:val="14"/>
                <w:b w:val="1"/>
                <w:bCs w:val="1"/>
                <w:color w:val="auto"/>
                <w:w w:val="89"/>
              </w:rPr>
              <w:t>Fair Value</w:t>
            </w:r>
          </w:p>
        </w:tc>
        <w:tc>
          <w:tcPr>
            <w:tcW w:w="1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center"/>
              <w:ind w:right="40"/>
              <w:spacing w:after="0"/>
              <w:rPr>
                <w:sz w:val="20"/>
                <w:szCs w:val="20"/>
                <w:color w:val="auto"/>
              </w:rPr>
            </w:pPr>
            <w:r>
              <w:rPr>
                <w:rFonts w:ascii="Arial" w:cs="Arial" w:eastAsia="Arial" w:hAnsi="Arial"/>
                <w:sz w:val="14"/>
                <w:szCs w:val="14"/>
                <w:b w:val="1"/>
                <w:bCs w:val="1"/>
                <w:color w:val="auto"/>
              </w:rPr>
              <w:t>LOCOM</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center"/>
              <w:ind w:right="38"/>
              <w:spacing w:after="0"/>
              <w:rPr>
                <w:sz w:val="20"/>
                <w:szCs w:val="20"/>
                <w:color w:val="auto"/>
              </w:rPr>
            </w:pPr>
            <w:r>
              <w:rPr>
                <w:rFonts w:ascii="Arial" w:cs="Arial" w:eastAsia="Arial" w:hAnsi="Arial"/>
                <w:sz w:val="14"/>
                <w:szCs w:val="14"/>
                <w:b w:val="1"/>
                <w:bCs w:val="1"/>
                <w:color w:val="auto"/>
                <w:w w:val="83"/>
              </w:rPr>
              <w:t>Sale</w:t>
            </w:r>
          </w:p>
        </w:tc>
        <w:tc>
          <w:tcPr>
            <w:tcW w:w="130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5420" w:type="dxa"/>
            <w:vAlign w:val="bottom"/>
            <w:shd w:val="clear" w:color="auto" w:fill="CCEEFF"/>
          </w:tcPr>
          <w:p>
            <w:pPr>
              <w:spacing w:after="0"/>
              <w:rPr>
                <w:sz w:val="20"/>
                <w:szCs w:val="20"/>
                <w:color w:val="auto"/>
              </w:rPr>
            </w:pPr>
            <w:r>
              <w:rPr>
                <w:rFonts w:ascii="Arial" w:cs="Arial" w:eastAsia="Arial" w:hAnsi="Arial"/>
                <w:sz w:val="18"/>
                <w:szCs w:val="18"/>
                <w:color w:val="auto"/>
              </w:rPr>
              <w:t>Aggregate unpaid principal balance</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157,796</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2,933</w:t>
            </w:r>
          </w:p>
        </w:tc>
        <w:tc>
          <w:tcPr>
            <w:tcW w:w="10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160,729</w:t>
            </w:r>
          </w:p>
        </w:tc>
        <w:tc>
          <w:tcPr>
            <w:tcW w:w="1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5420" w:type="dxa"/>
            <w:vAlign w:val="bottom"/>
          </w:tcPr>
          <w:p>
            <w:pPr>
              <w:spacing w:after="0"/>
              <w:rPr>
                <w:sz w:val="20"/>
                <w:szCs w:val="20"/>
                <w:color w:val="auto"/>
              </w:rPr>
            </w:pPr>
            <w:r>
              <w:rPr>
                <w:rFonts w:ascii="Arial" w:cs="Arial" w:eastAsia="Arial" w:hAnsi="Arial"/>
                <w:sz w:val="18"/>
                <w:szCs w:val="18"/>
                <w:color w:val="auto"/>
                <w:w w:val="97"/>
              </w:rPr>
              <w:t>Difference between fair value and aggregate unpaid principal balance</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5,523</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5,523</w:t>
            </w: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5420" w:type="dxa"/>
            <w:vAlign w:val="bottom"/>
            <w:shd w:val="clear" w:color="auto" w:fill="CCEEFF"/>
          </w:tcPr>
          <w:p>
            <w:pPr>
              <w:spacing w:after="0"/>
              <w:rPr>
                <w:sz w:val="20"/>
                <w:szCs w:val="20"/>
                <w:color w:val="auto"/>
              </w:rPr>
            </w:pPr>
            <w:r>
              <w:rPr>
                <w:rFonts w:ascii="Arial" w:cs="Arial" w:eastAsia="Arial" w:hAnsi="Arial"/>
                <w:sz w:val="18"/>
                <w:szCs w:val="18"/>
                <w:color w:val="auto"/>
              </w:rPr>
              <w:t>Lower of cost or market valuation allowance</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(1,783)</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(1,783)</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1160" w:type="dxa"/>
            <w:vAlign w:val="bottom"/>
          </w:tcPr>
          <w:p>
            <w:pPr>
              <w:spacing w:after="0"/>
              <w:rPr>
                <w:sz w:val="19"/>
                <w:szCs w:val="19"/>
                <w:color w:val="auto"/>
              </w:rPr>
            </w:pPr>
          </w:p>
        </w:tc>
        <w:tc>
          <w:tcPr>
            <w:tcW w:w="5420" w:type="dxa"/>
            <w:vAlign w:val="bottom"/>
          </w:tcPr>
          <w:p>
            <w:pPr>
              <w:spacing w:after="0"/>
              <w:rPr>
                <w:sz w:val="20"/>
                <w:szCs w:val="20"/>
                <w:color w:val="auto"/>
              </w:rPr>
            </w:pPr>
            <w:r>
              <w:rPr>
                <w:rFonts w:ascii="Arial" w:cs="Arial" w:eastAsia="Arial" w:hAnsi="Arial"/>
                <w:sz w:val="18"/>
                <w:szCs w:val="18"/>
                <w:color w:val="auto"/>
              </w:rPr>
              <w:t>Deferred loan fees, net of costs</w:t>
            </w: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(9)</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(9)</w:t>
            </w: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1160" w:type="dxa"/>
            <w:vAlign w:val="bottom"/>
          </w:tcPr>
          <w:p>
            <w:pPr>
              <w:spacing w:after="0" w:line="20" w:lineRule="exact"/>
              <w:rPr>
                <w:sz w:val="1"/>
                <w:szCs w:val="1"/>
                <w:color w:val="auto"/>
              </w:rPr>
            </w:pPr>
          </w:p>
        </w:tc>
        <w:tc>
          <w:tcPr>
            <w:tcW w:w="54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5420" w:type="dxa"/>
            <w:vAlign w:val="bottom"/>
            <w:shd w:val="clear" w:color="auto" w:fill="CCEEFF"/>
          </w:tcPr>
          <w:p>
            <w:pPr>
              <w:spacing w:after="0"/>
              <w:rPr>
                <w:sz w:val="20"/>
                <w:szCs w:val="20"/>
                <w:color w:val="auto"/>
              </w:rPr>
            </w:pPr>
            <w:r>
              <w:rPr>
                <w:rFonts w:ascii="Arial" w:cs="Arial" w:eastAsia="Arial" w:hAnsi="Arial"/>
                <w:sz w:val="18"/>
                <w:szCs w:val="18"/>
                <w:color w:val="auto"/>
              </w:rPr>
              <w:t>Loans held for sale</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163,319</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1,141</w:t>
            </w:r>
          </w:p>
        </w:tc>
        <w:tc>
          <w:tcPr>
            <w:tcW w:w="10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164,460</w:t>
            </w:r>
          </w:p>
        </w:tc>
        <w:tc>
          <w:tcPr>
            <w:tcW w:w="1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6580" w:type="dxa"/>
            <w:vAlign w:val="bottom"/>
            <w:gridSpan w:val="2"/>
            <w:vMerge w:val="restart"/>
          </w:tcPr>
          <w:p>
            <w:pPr>
              <w:jc w:val="right"/>
              <w:ind w:right="692"/>
              <w:spacing w:after="0"/>
              <w:rPr>
                <w:sz w:val="20"/>
                <w:szCs w:val="20"/>
                <w:color w:val="auto"/>
              </w:rPr>
            </w:pPr>
            <w:r>
              <w:rPr>
                <w:rFonts w:ascii="Arial" w:cs="Arial" w:eastAsia="Arial" w:hAnsi="Arial"/>
                <w:sz w:val="18"/>
                <w:szCs w:val="18"/>
                <w:color w:val="auto"/>
              </w:rPr>
              <w:t>28</w:t>
            </w:r>
          </w:p>
        </w:tc>
        <w:tc>
          <w:tcPr>
            <w:tcW w:w="56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6580" w:type="dxa"/>
            <w:vAlign w:val="bottom"/>
            <w:gridSpan w:val="2"/>
            <w:vMerge w:val="continue"/>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1"/>
        </w:trPr>
        <w:tc>
          <w:tcPr>
            <w:tcW w:w="6580" w:type="dxa"/>
            <w:vAlign w:val="bottom"/>
            <w:gridSpan w:val="2"/>
            <w:vMerge w:val="continue"/>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1160" w:type="dxa"/>
            <w:vAlign w:val="bottom"/>
            <w:tcBorders>
              <w:bottom w:val="single" w:sz="8" w:color="808080"/>
            </w:tcBorders>
          </w:tcPr>
          <w:p>
            <w:pPr>
              <w:spacing w:after="0"/>
              <w:rPr>
                <w:sz w:val="19"/>
                <w:szCs w:val="19"/>
                <w:color w:val="auto"/>
              </w:rPr>
            </w:pPr>
          </w:p>
        </w:tc>
        <w:tc>
          <w:tcPr>
            <w:tcW w:w="5420" w:type="dxa"/>
            <w:vAlign w:val="bottom"/>
            <w:tcBorders>
              <w:bottom w:val="single" w:sz="8" w:color="808080"/>
            </w:tcBorders>
          </w:tcPr>
          <w:p>
            <w:pPr>
              <w:spacing w:after="0"/>
              <w:rPr>
                <w:sz w:val="19"/>
                <w:szCs w:val="19"/>
                <w:color w:val="auto"/>
              </w:rPr>
            </w:pPr>
          </w:p>
        </w:tc>
        <w:tc>
          <w:tcPr>
            <w:tcW w:w="56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80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82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6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72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14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9" w:name="page30"/>
    <w:bookmarkEnd w:id="2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TREE.COM, INC. AND SUBSIDIARIES</w:t>
      </w:r>
    </w:p>
    <w:p>
      <w:pPr>
        <w:spacing w:after="0" w:line="225" w:lineRule="exact"/>
        <w:rPr>
          <w:sz w:val="20"/>
          <w:szCs w:val="20"/>
          <w:color w:val="auto"/>
        </w:rPr>
      </w:pPr>
    </w:p>
    <w:p>
      <w:pPr>
        <w:ind w:left="294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9—FAIR VALUE MEASUREMENTS (Continued)</w:t>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4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160" w:type="dxa"/>
            <w:vAlign w:val="bottom"/>
            <w:tcBorders>
              <w:bottom w:val="single" w:sz="8" w:color="auto"/>
            </w:tcBorders>
            <w:gridSpan w:val="7"/>
          </w:tcPr>
          <w:p>
            <w:pPr>
              <w:jc w:val="right"/>
              <w:spacing w:after="0"/>
              <w:rPr>
                <w:sz w:val="20"/>
                <w:szCs w:val="20"/>
                <w:color w:val="auto"/>
              </w:rPr>
            </w:pPr>
            <w:r>
              <w:rPr>
                <w:rFonts w:ascii="Arial" w:cs="Arial" w:eastAsia="Arial" w:hAnsi="Arial"/>
                <w:sz w:val="14"/>
                <w:szCs w:val="14"/>
                <w:b w:val="1"/>
                <w:bCs w:val="1"/>
                <w:color w:val="auto"/>
              </w:rPr>
              <w:t>As of December 31, 2009</w:t>
            </w:r>
          </w:p>
        </w:tc>
        <w:tc>
          <w:tcPr>
            <w:tcW w:w="72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r>
      <w:tr>
        <w:trPr>
          <w:trHeight w:val="129"/>
        </w:trPr>
        <w:tc>
          <w:tcPr>
            <w:tcW w:w="20" w:type="dxa"/>
            <w:vAlign w:val="bottom"/>
          </w:tcPr>
          <w:p>
            <w:pPr>
              <w:spacing w:after="0"/>
              <w:rPr>
                <w:sz w:val="11"/>
                <w:szCs w:val="11"/>
                <w:color w:val="auto"/>
              </w:rPr>
            </w:pPr>
          </w:p>
        </w:tc>
        <w:tc>
          <w:tcPr>
            <w:tcW w:w="54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jc w:val="center"/>
              <w:ind w:right="21"/>
              <w:spacing w:after="0" w:line="129" w:lineRule="exact"/>
              <w:rPr>
                <w:sz w:val="20"/>
                <w:szCs w:val="20"/>
                <w:color w:val="auto"/>
              </w:rPr>
            </w:pPr>
            <w:r>
              <w:rPr>
                <w:rFonts w:ascii="Arial" w:cs="Arial" w:eastAsia="Arial" w:hAnsi="Arial"/>
                <w:sz w:val="14"/>
                <w:szCs w:val="14"/>
                <w:b w:val="1"/>
                <w:bCs w:val="1"/>
                <w:color w:val="auto"/>
                <w:w w:val="87"/>
              </w:rPr>
              <w:t>Loans Held</w:t>
            </w: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gridSpan w:val="2"/>
          </w:tcPr>
          <w:p>
            <w:pPr>
              <w:jc w:val="center"/>
              <w:ind w:right="220"/>
              <w:spacing w:after="0" w:line="129" w:lineRule="exact"/>
              <w:rPr>
                <w:sz w:val="20"/>
                <w:szCs w:val="20"/>
                <w:color w:val="auto"/>
              </w:rPr>
            </w:pPr>
            <w:r>
              <w:rPr>
                <w:rFonts w:ascii="Arial" w:cs="Arial" w:eastAsia="Arial" w:hAnsi="Arial"/>
                <w:sz w:val="14"/>
                <w:szCs w:val="14"/>
                <w:b w:val="1"/>
                <w:bCs w:val="1"/>
                <w:color w:val="auto"/>
                <w:w w:val="87"/>
              </w:rPr>
              <w:t>Loans Held</w:t>
            </w: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0" w:type="dxa"/>
            <w:vAlign w:val="bottom"/>
          </w:tcPr>
          <w:p>
            <w:pPr>
              <w:spacing w:after="0"/>
              <w:rPr>
                <w:sz w:val="11"/>
                <w:szCs w:val="11"/>
                <w:color w:val="auto"/>
              </w:rPr>
            </w:pPr>
          </w:p>
        </w:tc>
      </w:tr>
      <w:tr>
        <w:trPr>
          <w:trHeight w:val="149"/>
        </w:trPr>
        <w:tc>
          <w:tcPr>
            <w:tcW w:w="20" w:type="dxa"/>
            <w:vAlign w:val="bottom"/>
          </w:tcPr>
          <w:p>
            <w:pPr>
              <w:spacing w:after="0"/>
              <w:rPr>
                <w:sz w:val="12"/>
                <w:szCs w:val="12"/>
                <w:color w:val="auto"/>
              </w:rPr>
            </w:pPr>
          </w:p>
        </w:tc>
        <w:tc>
          <w:tcPr>
            <w:tcW w:w="54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jc w:val="center"/>
              <w:ind w:right="21"/>
              <w:spacing w:after="0" w:line="149" w:lineRule="exact"/>
              <w:rPr>
                <w:sz w:val="20"/>
                <w:szCs w:val="20"/>
                <w:color w:val="auto"/>
              </w:rPr>
            </w:pPr>
            <w:r>
              <w:rPr>
                <w:rFonts w:ascii="Arial" w:cs="Arial" w:eastAsia="Arial" w:hAnsi="Arial"/>
                <w:sz w:val="14"/>
                <w:szCs w:val="14"/>
                <w:b w:val="1"/>
                <w:bCs w:val="1"/>
                <w:color w:val="auto"/>
                <w:w w:val="88"/>
              </w:rPr>
              <w:t>for Sale—</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8"/>
              </w:rPr>
              <w:t>for Sale—</w:t>
            </w:r>
          </w:p>
        </w:tc>
        <w:tc>
          <w:tcPr>
            <w:tcW w:w="60" w:type="dxa"/>
            <w:vAlign w:val="bottom"/>
          </w:tcPr>
          <w:p>
            <w:pPr>
              <w:spacing w:after="0"/>
              <w:rPr>
                <w:sz w:val="12"/>
                <w:szCs w:val="12"/>
                <w:color w:val="auto"/>
              </w:rPr>
            </w:pPr>
          </w:p>
        </w:tc>
        <w:tc>
          <w:tcPr>
            <w:tcW w:w="1000" w:type="dxa"/>
            <w:vAlign w:val="bottom"/>
            <w:gridSpan w:val="3"/>
          </w:tcPr>
          <w:p>
            <w:pPr>
              <w:jc w:val="center"/>
              <w:ind w:right="160"/>
              <w:spacing w:after="0" w:line="149" w:lineRule="exact"/>
              <w:rPr>
                <w:sz w:val="20"/>
                <w:szCs w:val="20"/>
                <w:color w:val="auto"/>
              </w:rPr>
            </w:pPr>
            <w:r>
              <w:rPr>
                <w:rFonts w:ascii="Arial" w:cs="Arial" w:eastAsia="Arial" w:hAnsi="Arial"/>
                <w:sz w:val="14"/>
                <w:szCs w:val="14"/>
                <w:b w:val="1"/>
                <w:bCs w:val="1"/>
                <w:color w:val="auto"/>
                <w:w w:val="86"/>
              </w:rPr>
              <w:t>Total Loans</w:t>
            </w:r>
          </w:p>
        </w:tc>
      </w:tr>
      <w:tr>
        <w:trPr>
          <w:trHeight w:val="149"/>
        </w:trPr>
        <w:tc>
          <w:tcPr>
            <w:tcW w:w="20" w:type="dxa"/>
            <w:vAlign w:val="bottom"/>
          </w:tcPr>
          <w:p>
            <w:pPr>
              <w:spacing w:after="0"/>
              <w:rPr>
                <w:sz w:val="12"/>
                <w:szCs w:val="12"/>
                <w:color w:val="auto"/>
              </w:rPr>
            </w:pPr>
          </w:p>
        </w:tc>
        <w:tc>
          <w:tcPr>
            <w:tcW w:w="54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9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8"/>
              </w:rPr>
              <w:t>Measured at</w:t>
            </w:r>
          </w:p>
        </w:tc>
        <w:tc>
          <w:tcPr>
            <w:tcW w:w="160" w:type="dxa"/>
            <w:vAlign w:val="bottom"/>
          </w:tcPr>
          <w:p>
            <w:pPr>
              <w:spacing w:after="0"/>
              <w:rPr>
                <w:sz w:val="12"/>
                <w:szCs w:val="12"/>
                <w:color w:val="auto"/>
              </w:rPr>
            </w:pPr>
          </w:p>
        </w:tc>
        <w:tc>
          <w:tcPr>
            <w:tcW w:w="102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88"/>
              </w:rPr>
              <w:t>Measured at</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1"/>
              </w:rPr>
              <w:t>Held For</w:t>
            </w:r>
          </w:p>
        </w:tc>
      </w:tr>
      <w:tr>
        <w:trPr>
          <w:trHeight w:val="161"/>
        </w:trPr>
        <w:tc>
          <w:tcPr>
            <w:tcW w:w="20" w:type="dxa"/>
            <w:vAlign w:val="bottom"/>
          </w:tcPr>
          <w:p>
            <w:pPr>
              <w:spacing w:after="0"/>
              <w:rPr>
                <w:sz w:val="14"/>
                <w:szCs w:val="14"/>
                <w:color w:val="auto"/>
              </w:rPr>
            </w:pPr>
          </w:p>
        </w:tc>
        <w:tc>
          <w:tcPr>
            <w:tcW w:w="54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center"/>
              <w:ind w:right="41"/>
              <w:spacing w:after="0"/>
              <w:rPr>
                <w:sz w:val="20"/>
                <w:szCs w:val="20"/>
                <w:color w:val="auto"/>
              </w:rPr>
            </w:pPr>
            <w:r>
              <w:rPr>
                <w:rFonts w:ascii="Arial" w:cs="Arial" w:eastAsia="Arial" w:hAnsi="Arial"/>
                <w:sz w:val="14"/>
                <w:szCs w:val="14"/>
                <w:b w:val="1"/>
                <w:bCs w:val="1"/>
                <w:color w:val="auto"/>
                <w:w w:val="89"/>
              </w:rPr>
              <w:t>Fair Value</w:t>
            </w:r>
          </w:p>
        </w:tc>
        <w:tc>
          <w:tcPr>
            <w:tcW w:w="1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center"/>
              <w:ind w:right="40"/>
              <w:spacing w:after="0"/>
              <w:rPr>
                <w:sz w:val="20"/>
                <w:szCs w:val="20"/>
                <w:color w:val="auto"/>
              </w:rPr>
            </w:pPr>
            <w:r>
              <w:rPr>
                <w:rFonts w:ascii="Arial" w:cs="Arial" w:eastAsia="Arial" w:hAnsi="Arial"/>
                <w:sz w:val="14"/>
                <w:szCs w:val="14"/>
                <w:b w:val="1"/>
                <w:bCs w:val="1"/>
                <w:color w:val="auto"/>
              </w:rPr>
              <w:t>LOCOM</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center"/>
              <w:ind w:right="38"/>
              <w:spacing w:after="0"/>
              <w:rPr>
                <w:sz w:val="20"/>
                <w:szCs w:val="20"/>
                <w:color w:val="auto"/>
              </w:rPr>
            </w:pPr>
            <w:r>
              <w:rPr>
                <w:rFonts w:ascii="Arial" w:cs="Arial" w:eastAsia="Arial" w:hAnsi="Arial"/>
                <w:sz w:val="14"/>
                <w:szCs w:val="14"/>
                <w:b w:val="1"/>
                <w:bCs w:val="1"/>
                <w:color w:val="auto"/>
                <w:w w:val="83"/>
              </w:rPr>
              <w:t>Sale</w:t>
            </w:r>
          </w:p>
        </w:tc>
        <w:tc>
          <w:tcPr>
            <w:tcW w:w="160" w:type="dxa"/>
            <w:vAlign w:val="bottom"/>
          </w:tcPr>
          <w:p>
            <w:pPr>
              <w:spacing w:after="0"/>
              <w:rPr>
                <w:sz w:val="14"/>
                <w:szCs w:val="14"/>
                <w:color w:val="auto"/>
              </w:rPr>
            </w:pPr>
          </w:p>
        </w:tc>
      </w:tr>
      <w:tr>
        <w:trPr>
          <w:trHeight w:val="210"/>
        </w:trPr>
        <w:tc>
          <w:tcPr>
            <w:tcW w:w="20" w:type="dxa"/>
            <w:vAlign w:val="bottom"/>
          </w:tcPr>
          <w:p>
            <w:pPr>
              <w:spacing w:after="0"/>
              <w:rPr>
                <w:sz w:val="18"/>
                <w:szCs w:val="18"/>
                <w:color w:val="auto"/>
              </w:rPr>
            </w:pPr>
          </w:p>
        </w:tc>
        <w:tc>
          <w:tcPr>
            <w:tcW w:w="5420" w:type="dxa"/>
            <w:vAlign w:val="bottom"/>
            <w:shd w:val="clear" w:color="auto" w:fill="CCEEFF"/>
          </w:tcPr>
          <w:p>
            <w:pPr>
              <w:spacing w:after="0"/>
              <w:rPr>
                <w:sz w:val="20"/>
                <w:szCs w:val="20"/>
                <w:color w:val="auto"/>
              </w:rPr>
            </w:pPr>
            <w:r>
              <w:rPr>
                <w:rFonts w:ascii="Arial" w:cs="Arial" w:eastAsia="Arial" w:hAnsi="Arial"/>
                <w:sz w:val="18"/>
                <w:szCs w:val="18"/>
                <w:color w:val="auto"/>
              </w:rPr>
              <w:t>Aggregate unpaid principal balance</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91,824</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3,217</w:t>
            </w:r>
          </w:p>
        </w:tc>
        <w:tc>
          <w:tcPr>
            <w:tcW w:w="10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95,041</w:t>
            </w: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420" w:type="dxa"/>
            <w:vAlign w:val="bottom"/>
          </w:tcPr>
          <w:p>
            <w:pPr>
              <w:spacing w:after="0"/>
              <w:rPr>
                <w:sz w:val="20"/>
                <w:szCs w:val="20"/>
                <w:color w:val="auto"/>
              </w:rPr>
            </w:pPr>
            <w:r>
              <w:rPr>
                <w:rFonts w:ascii="Arial" w:cs="Arial" w:eastAsia="Arial" w:hAnsi="Arial"/>
                <w:sz w:val="18"/>
                <w:szCs w:val="18"/>
                <w:color w:val="auto"/>
                <w:w w:val="97"/>
              </w:rPr>
              <w:t>Difference between fair value and aggregate unpaid principal balance</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412</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412</w:t>
            </w: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420" w:type="dxa"/>
            <w:vAlign w:val="bottom"/>
            <w:shd w:val="clear" w:color="auto" w:fill="CCEEFF"/>
          </w:tcPr>
          <w:p>
            <w:pPr>
              <w:spacing w:after="0"/>
              <w:rPr>
                <w:sz w:val="20"/>
                <w:szCs w:val="20"/>
                <w:color w:val="auto"/>
              </w:rPr>
            </w:pPr>
            <w:r>
              <w:rPr>
                <w:rFonts w:ascii="Arial" w:cs="Arial" w:eastAsia="Arial" w:hAnsi="Arial"/>
                <w:sz w:val="18"/>
                <w:szCs w:val="18"/>
                <w:color w:val="auto"/>
              </w:rPr>
              <w:t>Lower of cost or market valuation allowance</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(1,848)</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(1,848)</w:t>
            </w:r>
          </w:p>
        </w:tc>
      </w:tr>
      <w:tr>
        <w:trPr>
          <w:trHeight w:val="222"/>
        </w:trPr>
        <w:tc>
          <w:tcPr>
            <w:tcW w:w="20" w:type="dxa"/>
            <w:vAlign w:val="bottom"/>
          </w:tcPr>
          <w:p>
            <w:pPr>
              <w:spacing w:after="0"/>
              <w:rPr>
                <w:sz w:val="19"/>
                <w:szCs w:val="19"/>
                <w:color w:val="auto"/>
              </w:rPr>
            </w:pPr>
          </w:p>
        </w:tc>
        <w:tc>
          <w:tcPr>
            <w:tcW w:w="5420" w:type="dxa"/>
            <w:vAlign w:val="bottom"/>
          </w:tcPr>
          <w:p>
            <w:pPr>
              <w:spacing w:after="0"/>
              <w:rPr>
                <w:sz w:val="20"/>
                <w:szCs w:val="20"/>
                <w:color w:val="auto"/>
              </w:rPr>
            </w:pPr>
            <w:r>
              <w:rPr>
                <w:rFonts w:ascii="Arial" w:cs="Arial" w:eastAsia="Arial" w:hAnsi="Arial"/>
                <w:sz w:val="18"/>
                <w:szCs w:val="18"/>
                <w:color w:val="auto"/>
              </w:rPr>
              <w:t>Deferred loan fees, net of costs</w:t>
            </w: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(9)</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(9)</w:t>
            </w:r>
          </w:p>
        </w:tc>
      </w:tr>
      <w:tr>
        <w:trPr>
          <w:trHeight w:val="21"/>
        </w:trPr>
        <w:tc>
          <w:tcPr>
            <w:tcW w:w="20" w:type="dxa"/>
            <w:vAlign w:val="bottom"/>
          </w:tcPr>
          <w:p>
            <w:pPr>
              <w:spacing w:after="0" w:line="20" w:lineRule="exact"/>
              <w:rPr>
                <w:sz w:val="1"/>
                <w:szCs w:val="1"/>
                <w:color w:val="auto"/>
              </w:rPr>
            </w:pPr>
          </w:p>
        </w:tc>
        <w:tc>
          <w:tcPr>
            <w:tcW w:w="54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420" w:type="dxa"/>
            <w:vAlign w:val="bottom"/>
            <w:shd w:val="clear" w:color="auto" w:fill="CCEEFF"/>
          </w:tcPr>
          <w:p>
            <w:pPr>
              <w:spacing w:after="0"/>
              <w:rPr>
                <w:sz w:val="20"/>
                <w:szCs w:val="20"/>
                <w:color w:val="auto"/>
              </w:rPr>
            </w:pPr>
            <w:r>
              <w:rPr>
                <w:rFonts w:ascii="Arial" w:cs="Arial" w:eastAsia="Arial" w:hAnsi="Arial"/>
                <w:sz w:val="18"/>
                <w:szCs w:val="18"/>
                <w:color w:val="auto"/>
              </w:rPr>
              <w:t>Loans held for sale</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92,236</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1,360</w:t>
            </w:r>
          </w:p>
        </w:tc>
        <w:tc>
          <w:tcPr>
            <w:tcW w:w="10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93,596</w:t>
            </w:r>
          </w:p>
        </w:tc>
        <w:tc>
          <w:tcPr>
            <w:tcW w:w="160" w:type="dxa"/>
            <w:vAlign w:val="bottom"/>
            <w:shd w:val="clear" w:color="auto" w:fill="CCEEFF"/>
          </w:tcPr>
          <w:p>
            <w:pPr>
              <w:spacing w:after="0"/>
              <w:rPr>
                <w:sz w:val="18"/>
                <w:szCs w:val="18"/>
                <w:color w:val="auto"/>
              </w:rPr>
            </w:pPr>
          </w:p>
        </w:tc>
      </w:tr>
      <w:tr>
        <w:trPr>
          <w:trHeight w:val="27"/>
        </w:trPr>
        <w:tc>
          <w:tcPr>
            <w:tcW w:w="20" w:type="dxa"/>
            <w:vAlign w:val="bottom"/>
          </w:tcPr>
          <w:p>
            <w:pPr>
              <w:spacing w:after="0"/>
              <w:rPr>
                <w:sz w:val="2"/>
                <w:szCs w:val="2"/>
                <w:color w:val="auto"/>
              </w:rPr>
            </w:pPr>
          </w:p>
        </w:tc>
        <w:tc>
          <w:tcPr>
            <w:tcW w:w="54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r>
      <w:tr>
        <w:trPr>
          <w:trHeight w:val="20"/>
        </w:trPr>
        <w:tc>
          <w:tcPr>
            <w:tcW w:w="20" w:type="dxa"/>
            <w:vAlign w:val="bottom"/>
          </w:tcPr>
          <w:p>
            <w:pPr>
              <w:spacing w:after="0" w:line="20" w:lineRule="exact"/>
              <w:rPr>
                <w:sz w:val="1"/>
                <w:szCs w:val="1"/>
                <w:color w:val="auto"/>
              </w:rPr>
            </w:pPr>
          </w:p>
        </w:tc>
        <w:tc>
          <w:tcPr>
            <w:tcW w:w="54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8" w:lineRule="exact"/>
        <w:rPr>
          <w:sz w:val="20"/>
          <w:szCs w:val="20"/>
          <w:color w:val="auto"/>
        </w:rPr>
      </w:pPr>
    </w:p>
    <w:p>
      <w:pPr>
        <w:jc w:val="both"/>
        <w:ind w:right="60" w:firstLine="351"/>
        <w:spacing w:after="0" w:line="259" w:lineRule="auto"/>
        <w:rPr>
          <w:sz w:val="20"/>
          <w:szCs w:val="20"/>
          <w:color w:val="auto"/>
        </w:rPr>
      </w:pPr>
      <w:r>
        <w:rPr>
          <w:rFonts w:ascii="Arial" w:cs="Arial" w:eastAsia="Arial" w:hAnsi="Arial"/>
          <w:sz w:val="18"/>
          <w:szCs w:val="18"/>
          <w:color w:val="auto"/>
        </w:rPr>
        <w:t>During the three months ended September 30, 2010 and 2009, the change in fair value of loans held for sale for which the fair value option was elected were gains of $0.8 million and $1.6 million, respectively, and is included as a component of LendingTree Loans revenue in the accompanying consolidated statements of operations.</w:t>
      </w:r>
    </w:p>
    <w:p>
      <w:pPr>
        <w:spacing w:after="0" w:line="194" w:lineRule="exact"/>
        <w:rPr>
          <w:sz w:val="20"/>
          <w:szCs w:val="20"/>
          <w:color w:val="auto"/>
        </w:rPr>
      </w:pPr>
    </w:p>
    <w:p>
      <w:pPr>
        <w:ind w:right="60" w:firstLine="351"/>
        <w:spacing w:after="0" w:line="259" w:lineRule="auto"/>
        <w:rPr>
          <w:sz w:val="20"/>
          <w:szCs w:val="20"/>
          <w:color w:val="auto"/>
        </w:rPr>
      </w:pPr>
      <w:r>
        <w:rPr>
          <w:rFonts w:ascii="Arial" w:cs="Arial" w:eastAsia="Arial" w:hAnsi="Arial"/>
          <w:sz w:val="18"/>
          <w:szCs w:val="18"/>
          <w:color w:val="auto"/>
        </w:rPr>
        <w:t>During the nine months ended September 30, 2010 and 2009, the change in fair value of loans held for sale for which the fair value option was elected was a gain of $5.5 million and a loss of $0.4 million, respectively, and is included as a component of LendingTree Loans revenue in the accompanying consolidated statements of operations.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10—ORIGINATION AND SALE OF LOANS, LOANS HELD FOR SALE AND LOAN LOSS OBLIGATIONS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Origination and Sale of Loans</w:t>
      </w:r>
    </w:p>
    <w:p>
      <w:pPr>
        <w:spacing w:after="0" w:line="231" w:lineRule="exact"/>
        <w:rPr>
          <w:sz w:val="20"/>
          <w:szCs w:val="20"/>
          <w:color w:val="auto"/>
        </w:rPr>
      </w:pPr>
    </w:p>
    <w:p>
      <w:pPr>
        <w:ind w:right="20" w:firstLine="351"/>
        <w:spacing w:after="0" w:line="255" w:lineRule="auto"/>
        <w:rPr>
          <w:sz w:val="20"/>
          <w:szCs w:val="20"/>
          <w:color w:val="auto"/>
        </w:rPr>
      </w:pPr>
      <w:r>
        <w:rPr>
          <w:rFonts w:ascii="Arial" w:cs="Arial" w:eastAsia="Arial" w:hAnsi="Arial"/>
          <w:sz w:val="18"/>
          <w:szCs w:val="18"/>
          <w:color w:val="auto"/>
        </w:rPr>
        <w:t>LendingTree Loans' revenues are primarily derived from the origination and sale of loans. Mortgage loans are funded through warehouse lines of credit and are recorded at fair value. Changes in the fair value of mortgage loans are recorded through revenue prior to the sale of the loans to investors, which typically occurs within thirty days. The gain or loss on the sale of loans is recognized on the date the loans are sold and is based on the difference between the sale proceeds received and the fair value of the loans. The Company sells its loans on a servicing released basis in which the Company gives up the right to service the loans.</w:t>
      </w:r>
    </w:p>
    <w:p>
      <w:pPr>
        <w:spacing w:after="0" w:line="197" w:lineRule="exact"/>
        <w:rPr>
          <w:sz w:val="20"/>
          <w:szCs w:val="20"/>
          <w:color w:val="auto"/>
        </w:rPr>
      </w:pPr>
    </w:p>
    <w:p>
      <w:pPr>
        <w:ind w:right="660" w:firstLine="341"/>
        <w:spacing w:after="0" w:line="268" w:lineRule="auto"/>
        <w:rPr>
          <w:sz w:val="20"/>
          <w:szCs w:val="20"/>
          <w:color w:val="auto"/>
        </w:rPr>
      </w:pPr>
      <w:r>
        <w:rPr>
          <w:rFonts w:ascii="Arial" w:cs="Arial" w:eastAsia="Arial" w:hAnsi="Arial"/>
          <w:sz w:val="18"/>
          <w:szCs w:val="18"/>
          <w:color w:val="auto"/>
        </w:rPr>
        <w:t>A summary of the initial unpaid principal balance of loans sold by type of loan for the three and nine months ended September 30, 2010 and 2009 is presented below ($ amounts in millions):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3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540" w:type="dxa"/>
            <w:vAlign w:val="bottom"/>
            <w:gridSpan w:val="8"/>
          </w:tcPr>
          <w:p>
            <w:pPr>
              <w:jc w:val="right"/>
              <w:ind w:right="280"/>
              <w:spacing w:after="0"/>
              <w:rPr>
                <w:sz w:val="20"/>
                <w:szCs w:val="20"/>
                <w:color w:val="auto"/>
              </w:rPr>
            </w:pPr>
            <w:r>
              <w:rPr>
                <w:rFonts w:ascii="Arial" w:cs="Arial" w:eastAsia="Arial" w:hAnsi="Arial"/>
                <w:sz w:val="14"/>
                <w:szCs w:val="14"/>
                <w:b w:val="1"/>
                <w:bCs w:val="1"/>
                <w:color w:val="auto"/>
                <w:w w:val="89"/>
              </w:rPr>
              <w:t>Three Months Ended</w:t>
            </w:r>
          </w:p>
        </w:tc>
        <w:tc>
          <w:tcPr>
            <w:tcW w:w="4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540" w:type="dxa"/>
            <w:vAlign w:val="bottom"/>
            <w:gridSpan w:val="6"/>
          </w:tcPr>
          <w:p>
            <w:pPr>
              <w:jc w:val="center"/>
              <w:ind w:right="220"/>
              <w:spacing w:after="0"/>
              <w:rPr>
                <w:sz w:val="20"/>
                <w:szCs w:val="20"/>
                <w:color w:val="auto"/>
              </w:rPr>
            </w:pPr>
            <w:r>
              <w:rPr>
                <w:rFonts w:ascii="Arial" w:cs="Arial" w:eastAsia="Arial" w:hAnsi="Arial"/>
                <w:sz w:val="14"/>
                <w:szCs w:val="14"/>
                <w:b w:val="1"/>
                <w:bCs w:val="1"/>
                <w:color w:val="auto"/>
                <w:w w:val="88"/>
              </w:rPr>
              <w:t>Nine Months Ended</w:t>
            </w:r>
          </w:p>
        </w:tc>
        <w:tc>
          <w:tcPr>
            <w:tcW w:w="4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1160" w:type="dxa"/>
            <w:vAlign w:val="bottom"/>
          </w:tcPr>
          <w:p>
            <w:pPr>
              <w:spacing w:after="0"/>
              <w:rPr>
                <w:sz w:val="14"/>
                <w:szCs w:val="14"/>
                <w:color w:val="auto"/>
              </w:rPr>
            </w:pPr>
          </w:p>
        </w:tc>
        <w:tc>
          <w:tcPr>
            <w:tcW w:w="370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w w:val="91"/>
              </w:rPr>
              <w:t>September 30,</w:t>
            </w:r>
          </w:p>
        </w:tc>
        <w:tc>
          <w:tcPr>
            <w:tcW w:w="2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gridSpan w:val="5"/>
          </w:tcPr>
          <w:p>
            <w:pPr>
              <w:jc w:val="center"/>
              <w:ind w:right="360"/>
              <w:spacing w:after="0"/>
              <w:rPr>
                <w:sz w:val="20"/>
                <w:szCs w:val="20"/>
                <w:color w:val="auto"/>
              </w:rPr>
            </w:pPr>
            <w:r>
              <w:rPr>
                <w:rFonts w:ascii="Arial" w:cs="Arial" w:eastAsia="Arial" w:hAnsi="Arial"/>
                <w:sz w:val="14"/>
                <w:szCs w:val="14"/>
                <w:b w:val="1"/>
                <w:bCs w:val="1"/>
                <w:color w:val="auto"/>
                <w:w w:val="85"/>
              </w:rPr>
              <w:t>September 30,</w:t>
            </w:r>
          </w:p>
        </w:tc>
        <w:tc>
          <w:tcPr>
            <w:tcW w:w="42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1160" w:type="dxa"/>
            <w:vAlign w:val="bottom"/>
          </w:tcPr>
          <w:p>
            <w:pPr>
              <w:spacing w:after="0"/>
              <w:rPr>
                <w:sz w:val="12"/>
                <w:szCs w:val="12"/>
                <w:color w:val="auto"/>
              </w:rPr>
            </w:pPr>
          </w:p>
        </w:tc>
        <w:tc>
          <w:tcPr>
            <w:tcW w:w="370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2010</w:t>
            </w:r>
          </w:p>
        </w:tc>
        <w:tc>
          <w:tcPr>
            <w:tcW w:w="6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gridSpan w:val="2"/>
          </w:tcPr>
          <w:p>
            <w:pPr>
              <w:jc w:val="right"/>
              <w:ind w:right="60"/>
              <w:spacing w:after="0" w:line="142" w:lineRule="exact"/>
              <w:rPr>
                <w:sz w:val="20"/>
                <w:szCs w:val="20"/>
                <w:color w:val="auto"/>
              </w:rPr>
            </w:pPr>
            <w:r>
              <w:rPr>
                <w:rFonts w:ascii="Arial" w:cs="Arial" w:eastAsia="Arial" w:hAnsi="Arial"/>
                <w:sz w:val="14"/>
                <w:szCs w:val="14"/>
                <w:b w:val="1"/>
                <w:bCs w:val="1"/>
                <w:color w:val="auto"/>
              </w:rPr>
              <w:t>2009</w:t>
            </w:r>
          </w:p>
        </w:tc>
        <w:tc>
          <w:tcPr>
            <w:tcW w:w="400" w:type="dxa"/>
            <w:vAlign w:val="bottom"/>
            <w:tcBorders>
              <w:bottom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2010</w:t>
            </w:r>
          </w:p>
        </w:tc>
        <w:tc>
          <w:tcPr>
            <w:tcW w:w="420" w:type="dxa"/>
            <w:vAlign w:val="bottom"/>
            <w:tcBorders>
              <w:bottom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gridSpan w:val="2"/>
          </w:tcPr>
          <w:p>
            <w:pPr>
              <w:jc w:val="right"/>
              <w:ind w:right="60"/>
              <w:spacing w:after="0" w:line="142" w:lineRule="exact"/>
              <w:rPr>
                <w:sz w:val="20"/>
                <w:szCs w:val="20"/>
                <w:color w:val="auto"/>
              </w:rPr>
            </w:pPr>
            <w:r>
              <w:rPr>
                <w:rFonts w:ascii="Arial" w:cs="Arial" w:eastAsia="Arial" w:hAnsi="Arial"/>
                <w:sz w:val="14"/>
                <w:szCs w:val="14"/>
                <w:b w:val="1"/>
                <w:bCs w:val="1"/>
                <w:color w:val="auto"/>
              </w:rPr>
              <w:t>2009</w:t>
            </w:r>
          </w:p>
        </w:tc>
        <w:tc>
          <w:tcPr>
            <w:tcW w:w="420" w:type="dxa"/>
            <w:vAlign w:val="bottom"/>
            <w:tcBorders>
              <w:bottom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160" w:type="dxa"/>
            <w:vAlign w:val="bottom"/>
          </w:tcPr>
          <w:p>
            <w:pPr>
              <w:spacing w:after="0"/>
              <w:rPr>
                <w:sz w:val="12"/>
                <w:szCs w:val="12"/>
                <w:color w:val="auto"/>
              </w:rPr>
            </w:pPr>
          </w:p>
        </w:tc>
        <w:tc>
          <w:tcPr>
            <w:tcW w:w="3700" w:type="dxa"/>
            <w:vAlign w:val="bottom"/>
          </w:tcPr>
          <w:p>
            <w:pPr>
              <w:spacing w:after="0"/>
              <w:rPr>
                <w:sz w:val="12"/>
                <w:szCs w:val="12"/>
                <w:color w:val="auto"/>
              </w:rPr>
            </w:pPr>
          </w:p>
        </w:tc>
        <w:tc>
          <w:tcPr>
            <w:tcW w:w="640" w:type="dxa"/>
            <w:vAlign w:val="bottom"/>
            <w:tcBorders>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Amount</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0" w:type="dxa"/>
            <w:vAlign w:val="bottom"/>
            <w:tcBorders>
              <w:bottom w:val="single" w:sz="8" w:color="auto"/>
            </w:tcBorders>
          </w:tcPr>
          <w:p>
            <w:pPr>
              <w:jc w:val="right"/>
              <w:ind w:right="66"/>
              <w:spacing w:after="0" w:line="142" w:lineRule="exact"/>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20" w:type="dxa"/>
            <w:vAlign w:val="bottom"/>
            <w:tcBorders>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w w:val="98"/>
              </w:rPr>
              <w:t>Amount</w:t>
            </w:r>
          </w:p>
        </w:tc>
        <w:tc>
          <w:tcPr>
            <w:tcW w:w="180" w:type="dxa"/>
            <w:vAlign w:val="bottom"/>
          </w:tcPr>
          <w:p>
            <w:pPr>
              <w:spacing w:after="0"/>
              <w:rPr>
                <w:sz w:val="12"/>
                <w:szCs w:val="12"/>
                <w:color w:val="auto"/>
              </w:rPr>
            </w:pPr>
          </w:p>
        </w:tc>
        <w:tc>
          <w:tcPr>
            <w:tcW w:w="400" w:type="dxa"/>
            <w:vAlign w:val="bottom"/>
            <w:tcBorders>
              <w:bottom w:val="single" w:sz="8" w:color="auto"/>
            </w:tcBorders>
          </w:tcPr>
          <w:p>
            <w:pPr>
              <w:jc w:val="right"/>
              <w:ind w:right="56"/>
              <w:spacing w:after="0" w:line="142" w:lineRule="exact"/>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2"/>
                <w:szCs w:val="12"/>
                <w:color w:val="auto"/>
              </w:rPr>
            </w:pPr>
          </w:p>
        </w:tc>
        <w:tc>
          <w:tcPr>
            <w:tcW w:w="620" w:type="dxa"/>
            <w:vAlign w:val="bottom"/>
            <w:tcBorders>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w w:val="98"/>
              </w:rPr>
              <w:t>Amount</w:t>
            </w:r>
          </w:p>
        </w:tc>
        <w:tc>
          <w:tcPr>
            <w:tcW w:w="160" w:type="dxa"/>
            <w:vAlign w:val="bottom"/>
          </w:tcPr>
          <w:p>
            <w:pPr>
              <w:spacing w:after="0"/>
              <w:rPr>
                <w:sz w:val="12"/>
                <w:szCs w:val="12"/>
                <w:color w:val="auto"/>
              </w:rPr>
            </w:pPr>
          </w:p>
        </w:tc>
        <w:tc>
          <w:tcPr>
            <w:tcW w:w="420" w:type="dxa"/>
            <w:vAlign w:val="bottom"/>
            <w:tcBorders>
              <w:bottom w:val="single" w:sz="8" w:color="auto"/>
            </w:tcBorders>
          </w:tcPr>
          <w:p>
            <w:pPr>
              <w:jc w:val="right"/>
              <w:ind w:right="59"/>
              <w:spacing w:after="0" w:line="142" w:lineRule="exact"/>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2"/>
                <w:szCs w:val="12"/>
                <w:color w:val="auto"/>
              </w:rPr>
            </w:pPr>
          </w:p>
        </w:tc>
        <w:tc>
          <w:tcPr>
            <w:tcW w:w="620" w:type="dxa"/>
            <w:vAlign w:val="bottom"/>
            <w:tcBorders>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w w:val="98"/>
              </w:rPr>
              <w:t>Amount</w:t>
            </w:r>
          </w:p>
        </w:tc>
        <w:tc>
          <w:tcPr>
            <w:tcW w:w="160" w:type="dxa"/>
            <w:vAlign w:val="bottom"/>
          </w:tcPr>
          <w:p>
            <w:pPr>
              <w:spacing w:after="0"/>
              <w:rPr>
                <w:sz w:val="12"/>
                <w:szCs w:val="12"/>
                <w:color w:val="auto"/>
              </w:rPr>
            </w:pPr>
          </w:p>
        </w:tc>
        <w:tc>
          <w:tcPr>
            <w:tcW w:w="420" w:type="dxa"/>
            <w:vAlign w:val="bottom"/>
            <w:tcBorders>
              <w:bottom w:val="single" w:sz="8" w:color="auto"/>
            </w:tcBorders>
          </w:tcPr>
          <w:p>
            <w:pPr>
              <w:jc w:val="right"/>
              <w:ind w:right="76"/>
              <w:spacing w:after="0" w:line="142" w:lineRule="exact"/>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Conforming</w:t>
            </w: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8"/>
                <w:szCs w:val="18"/>
                <w:color w:val="auto"/>
                <w:w w:val="79"/>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537</w:t>
            </w:r>
          </w:p>
        </w:tc>
        <w:tc>
          <w:tcPr>
            <w:tcW w:w="100" w:type="dxa"/>
            <w:vAlign w:val="bottom"/>
            <w:shd w:val="clear" w:color="auto" w:fill="CCEEFF"/>
          </w:tcPr>
          <w:p>
            <w:pPr>
              <w:spacing w:after="0"/>
              <w:rPr>
                <w:sz w:val="18"/>
                <w:szCs w:val="18"/>
                <w:color w:val="auto"/>
              </w:rPr>
            </w:pPr>
          </w:p>
        </w:tc>
        <w:tc>
          <w:tcPr>
            <w:tcW w:w="6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80%</w:t>
            </w:r>
          </w:p>
        </w:tc>
        <w:tc>
          <w:tcPr>
            <w:tcW w:w="360" w:type="dxa"/>
            <w:vAlign w:val="bottom"/>
            <w:gridSpan w:val="2"/>
            <w:shd w:val="clear" w:color="auto" w:fill="CCEEFF"/>
          </w:tcPr>
          <w:p>
            <w:pPr>
              <w:jc w:val="right"/>
              <w:ind w:right="162"/>
              <w:spacing w:after="0"/>
              <w:rPr>
                <w:sz w:val="20"/>
                <w:szCs w:val="20"/>
                <w:color w:val="auto"/>
              </w:rPr>
            </w:pPr>
            <w:r>
              <w:rPr>
                <w:rFonts w:ascii="Arial" w:cs="Arial" w:eastAsia="Arial" w:hAnsi="Arial"/>
                <w:sz w:val="18"/>
                <w:szCs w:val="18"/>
                <w:color w:val="auto"/>
                <w:w w:val="99"/>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512</w:t>
            </w:r>
          </w:p>
        </w:tc>
        <w:tc>
          <w:tcPr>
            <w:tcW w:w="1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79%</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1,445</w:t>
            </w:r>
          </w:p>
        </w:tc>
        <w:tc>
          <w:tcPr>
            <w:tcW w:w="16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77%</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1,899</w:t>
            </w:r>
          </w:p>
        </w:tc>
        <w:tc>
          <w:tcPr>
            <w:tcW w:w="16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85%</w:t>
            </w: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700" w:type="dxa"/>
            <w:vAlign w:val="bottom"/>
          </w:tcPr>
          <w:p>
            <w:pPr>
              <w:spacing w:after="0"/>
              <w:rPr>
                <w:sz w:val="20"/>
                <w:szCs w:val="20"/>
                <w:color w:val="auto"/>
              </w:rPr>
            </w:pPr>
            <w:r>
              <w:rPr>
                <w:rFonts w:ascii="Arial" w:cs="Arial" w:eastAsia="Arial" w:hAnsi="Arial"/>
                <w:sz w:val="18"/>
                <w:szCs w:val="18"/>
                <w:color w:val="auto"/>
              </w:rPr>
              <w:t>FHA</w:t>
            </w:r>
          </w:p>
        </w:tc>
        <w:tc>
          <w:tcPr>
            <w:tcW w:w="22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107</w:t>
            </w:r>
          </w:p>
        </w:tc>
        <w:tc>
          <w:tcPr>
            <w:tcW w:w="100" w:type="dxa"/>
            <w:vAlign w:val="bottom"/>
          </w:tcPr>
          <w:p>
            <w:pPr>
              <w:spacing w:after="0"/>
              <w:rPr>
                <w:sz w:val="18"/>
                <w:szCs w:val="18"/>
                <w:color w:val="auto"/>
              </w:rPr>
            </w:pPr>
          </w:p>
        </w:tc>
        <w:tc>
          <w:tcPr>
            <w:tcW w:w="620" w:type="dxa"/>
            <w:vAlign w:val="bottom"/>
            <w:gridSpan w:val="3"/>
          </w:tcPr>
          <w:p>
            <w:pPr>
              <w:jc w:val="right"/>
              <w:ind w:right="20"/>
              <w:spacing w:after="0"/>
              <w:rPr>
                <w:sz w:val="20"/>
                <w:szCs w:val="20"/>
                <w:color w:val="auto"/>
              </w:rPr>
            </w:pPr>
            <w:r>
              <w:rPr>
                <w:rFonts w:ascii="Arial" w:cs="Arial" w:eastAsia="Arial" w:hAnsi="Arial"/>
                <w:sz w:val="18"/>
                <w:szCs w:val="18"/>
                <w:color w:val="auto"/>
              </w:rPr>
              <w:t>16%</w:t>
            </w: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w w:val="86"/>
              </w:rPr>
              <w:t>127</w:t>
            </w:r>
          </w:p>
        </w:tc>
        <w:tc>
          <w:tcPr>
            <w:tcW w:w="180" w:type="dxa"/>
            <w:vAlign w:val="bottom"/>
          </w:tcPr>
          <w:p>
            <w:pPr>
              <w:spacing w:after="0"/>
              <w:rPr>
                <w:sz w:val="18"/>
                <w:szCs w:val="18"/>
                <w:color w:val="auto"/>
              </w:rPr>
            </w:pPr>
          </w:p>
        </w:tc>
        <w:tc>
          <w:tcPr>
            <w:tcW w:w="580" w:type="dxa"/>
            <w:vAlign w:val="bottom"/>
            <w:gridSpan w:val="2"/>
          </w:tcPr>
          <w:p>
            <w:pPr>
              <w:jc w:val="right"/>
              <w:ind w:right="40"/>
              <w:spacing w:after="0"/>
              <w:rPr>
                <w:sz w:val="20"/>
                <w:szCs w:val="20"/>
                <w:color w:val="auto"/>
              </w:rPr>
            </w:pPr>
            <w:r>
              <w:rPr>
                <w:rFonts w:ascii="Arial" w:cs="Arial" w:eastAsia="Arial" w:hAnsi="Arial"/>
                <w:sz w:val="18"/>
                <w:szCs w:val="18"/>
                <w:color w:val="auto"/>
              </w:rPr>
              <w:t>19%</w:t>
            </w:r>
          </w:p>
        </w:tc>
        <w:tc>
          <w:tcPr>
            <w:tcW w:w="16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346</w:t>
            </w:r>
          </w:p>
        </w:tc>
        <w:tc>
          <w:tcPr>
            <w:tcW w:w="160" w:type="dxa"/>
            <w:vAlign w:val="bottom"/>
          </w:tcPr>
          <w:p>
            <w:pPr>
              <w:spacing w:after="0"/>
              <w:rPr>
                <w:sz w:val="18"/>
                <w:szCs w:val="18"/>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rPr>
              <w:t>19%</w:t>
            </w:r>
          </w:p>
        </w:tc>
        <w:tc>
          <w:tcPr>
            <w:tcW w:w="16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315</w:t>
            </w:r>
          </w:p>
        </w:tc>
        <w:tc>
          <w:tcPr>
            <w:tcW w:w="160" w:type="dxa"/>
            <w:vAlign w:val="bottom"/>
          </w:tcPr>
          <w:p>
            <w:pPr>
              <w:spacing w:after="0"/>
              <w:rPr>
                <w:sz w:val="18"/>
                <w:szCs w:val="18"/>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14%</w:t>
            </w: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Jumbo</w:t>
            </w:r>
          </w:p>
        </w:tc>
        <w:tc>
          <w:tcPr>
            <w:tcW w:w="22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100" w:type="dxa"/>
            <w:vAlign w:val="bottom"/>
            <w:shd w:val="clear" w:color="auto" w:fill="CCEEFF"/>
          </w:tcPr>
          <w:p>
            <w:pPr>
              <w:spacing w:after="0"/>
              <w:rPr>
                <w:sz w:val="18"/>
                <w:szCs w:val="18"/>
                <w:color w:val="auto"/>
              </w:rPr>
            </w:pPr>
          </w:p>
        </w:tc>
        <w:tc>
          <w:tcPr>
            <w:tcW w:w="6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4%</w:t>
            </w: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w:t>
            </w:r>
          </w:p>
        </w:tc>
        <w:tc>
          <w:tcPr>
            <w:tcW w:w="16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w:t>
            </w:r>
          </w:p>
        </w:tc>
        <w:tc>
          <w:tcPr>
            <w:tcW w:w="16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w:t>
            </w:r>
          </w:p>
        </w:tc>
        <w:tc>
          <w:tcPr>
            <w:tcW w:w="16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6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w:t>
            </w: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4860" w:type="dxa"/>
            <w:vAlign w:val="bottom"/>
            <w:gridSpan w:val="2"/>
            <w:vMerge w:val="restart"/>
          </w:tcPr>
          <w:p>
            <w:pPr>
              <w:ind w:left="1140"/>
              <w:spacing w:after="0"/>
              <w:rPr>
                <w:sz w:val="20"/>
                <w:szCs w:val="20"/>
                <w:color w:val="auto"/>
              </w:rPr>
            </w:pPr>
            <w:r>
              <w:rPr>
                <w:rFonts w:ascii="Arial" w:cs="Arial" w:eastAsia="Arial" w:hAnsi="Arial"/>
                <w:sz w:val="18"/>
                <w:szCs w:val="18"/>
                <w:b w:val="1"/>
                <w:bCs w:val="1"/>
                <w:color w:val="auto"/>
              </w:rPr>
              <w:t>Total</w:t>
            </w:r>
          </w:p>
        </w:tc>
        <w:tc>
          <w:tcPr>
            <w:tcW w:w="2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4860" w:type="dxa"/>
            <w:vAlign w:val="bottom"/>
            <w:gridSpan w:val="2"/>
            <w:vMerge w:val="continue"/>
          </w:tcPr>
          <w:p>
            <w:pPr>
              <w:spacing w:after="0"/>
              <w:rPr>
                <w:sz w:val="18"/>
                <w:szCs w:val="18"/>
                <w:color w:val="auto"/>
              </w:rPr>
            </w:pPr>
          </w:p>
        </w:tc>
        <w:tc>
          <w:tcPr>
            <w:tcW w:w="220" w:type="dxa"/>
            <w:vAlign w:val="bottom"/>
          </w:tcPr>
          <w:p>
            <w:pPr>
              <w:jc w:val="right"/>
              <w:ind w:right="39"/>
              <w:spacing w:after="0"/>
              <w:rPr>
                <w:sz w:val="20"/>
                <w:szCs w:val="20"/>
                <w:color w:val="auto"/>
              </w:rPr>
            </w:pPr>
            <w:r>
              <w:rPr>
                <w:rFonts w:ascii="Arial" w:cs="Arial" w:eastAsia="Arial" w:hAnsi="Arial"/>
                <w:sz w:val="18"/>
                <w:szCs w:val="18"/>
                <w:color w:val="auto"/>
                <w:w w:val="79"/>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671</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100%</w:t>
            </w:r>
          </w:p>
        </w:tc>
        <w:tc>
          <w:tcPr>
            <w:tcW w:w="20" w:type="dxa"/>
            <w:vAlign w:val="bottom"/>
          </w:tcPr>
          <w:p>
            <w:pPr>
              <w:spacing w:after="0"/>
              <w:rPr>
                <w:sz w:val="18"/>
                <w:szCs w:val="18"/>
                <w:color w:val="auto"/>
              </w:rPr>
            </w:pPr>
          </w:p>
        </w:tc>
        <w:tc>
          <w:tcPr>
            <w:tcW w:w="340" w:type="dxa"/>
            <w:vAlign w:val="bottom"/>
          </w:tcPr>
          <w:p>
            <w:pPr>
              <w:jc w:val="right"/>
              <w:ind w:right="162"/>
              <w:spacing w:after="0"/>
              <w:rPr>
                <w:sz w:val="20"/>
                <w:szCs w:val="20"/>
                <w:color w:val="auto"/>
              </w:rPr>
            </w:pPr>
            <w:r>
              <w:rPr>
                <w:rFonts w:ascii="Arial" w:cs="Arial" w:eastAsia="Arial" w:hAnsi="Arial"/>
                <w:sz w:val="18"/>
                <w:szCs w:val="18"/>
                <w:color w:val="auto"/>
                <w:w w:val="79"/>
              </w:rPr>
              <w:t>$</w:t>
            </w:r>
          </w:p>
        </w:tc>
        <w:tc>
          <w:tcPr>
            <w:tcW w:w="280" w:type="dxa"/>
            <w:vAlign w:val="bottom"/>
          </w:tcPr>
          <w:p>
            <w:pPr>
              <w:jc w:val="right"/>
              <w:spacing w:after="0"/>
              <w:rPr>
                <w:sz w:val="20"/>
                <w:szCs w:val="20"/>
                <w:color w:val="auto"/>
              </w:rPr>
            </w:pPr>
            <w:r>
              <w:rPr>
                <w:rFonts w:ascii="Arial" w:cs="Arial" w:eastAsia="Arial" w:hAnsi="Arial"/>
                <w:sz w:val="18"/>
                <w:szCs w:val="18"/>
                <w:color w:val="auto"/>
                <w:w w:val="86"/>
              </w:rPr>
              <w:t>650</w:t>
            </w:r>
          </w:p>
        </w:tc>
        <w:tc>
          <w:tcPr>
            <w:tcW w:w="180" w:type="dxa"/>
            <w:vAlign w:val="bottom"/>
          </w:tcPr>
          <w:p>
            <w:pPr>
              <w:spacing w:after="0"/>
              <w:rPr>
                <w:sz w:val="18"/>
                <w:szCs w:val="18"/>
                <w:color w:val="auto"/>
              </w:rPr>
            </w:pPr>
          </w:p>
        </w:tc>
        <w:tc>
          <w:tcPr>
            <w:tcW w:w="580" w:type="dxa"/>
            <w:vAlign w:val="bottom"/>
            <w:gridSpan w:val="2"/>
          </w:tcPr>
          <w:p>
            <w:pPr>
              <w:jc w:val="right"/>
              <w:ind w:right="40"/>
              <w:spacing w:after="0"/>
              <w:rPr>
                <w:sz w:val="20"/>
                <w:szCs w:val="20"/>
                <w:color w:val="auto"/>
              </w:rPr>
            </w:pPr>
            <w:r>
              <w:rPr>
                <w:rFonts w:ascii="Arial" w:cs="Arial" w:eastAsia="Arial" w:hAnsi="Arial"/>
                <w:sz w:val="18"/>
                <w:szCs w:val="18"/>
                <w:color w:val="auto"/>
              </w:rPr>
              <w:t>100%</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60" w:type="dxa"/>
            <w:vAlign w:val="bottom"/>
          </w:tcPr>
          <w:p>
            <w:pPr>
              <w:jc w:val="right"/>
              <w:spacing w:after="0"/>
              <w:rPr>
                <w:sz w:val="20"/>
                <w:szCs w:val="20"/>
                <w:color w:val="auto"/>
              </w:rPr>
            </w:pPr>
            <w:r>
              <w:rPr>
                <w:rFonts w:ascii="Arial" w:cs="Arial" w:eastAsia="Arial" w:hAnsi="Arial"/>
                <w:sz w:val="18"/>
                <w:szCs w:val="18"/>
                <w:color w:val="auto"/>
                <w:w w:val="97"/>
              </w:rPr>
              <w:t>1,875</w:t>
            </w:r>
          </w:p>
        </w:tc>
        <w:tc>
          <w:tcPr>
            <w:tcW w:w="160" w:type="dxa"/>
            <w:vAlign w:val="bottom"/>
          </w:tcPr>
          <w:p>
            <w:pPr>
              <w:spacing w:after="0"/>
              <w:rPr>
                <w:sz w:val="18"/>
                <w:szCs w:val="18"/>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rPr>
              <w:t>100%</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60" w:type="dxa"/>
            <w:vAlign w:val="bottom"/>
          </w:tcPr>
          <w:p>
            <w:pPr>
              <w:jc w:val="right"/>
              <w:spacing w:after="0"/>
              <w:rPr>
                <w:sz w:val="20"/>
                <w:szCs w:val="20"/>
                <w:color w:val="auto"/>
              </w:rPr>
            </w:pPr>
            <w:r>
              <w:rPr>
                <w:rFonts w:ascii="Arial" w:cs="Arial" w:eastAsia="Arial" w:hAnsi="Arial"/>
                <w:sz w:val="18"/>
                <w:szCs w:val="18"/>
                <w:color w:val="auto"/>
                <w:w w:val="97"/>
              </w:rPr>
              <w:t>2,237</w:t>
            </w:r>
          </w:p>
        </w:tc>
        <w:tc>
          <w:tcPr>
            <w:tcW w:w="160" w:type="dxa"/>
            <w:vAlign w:val="bottom"/>
          </w:tcPr>
          <w:p>
            <w:pPr>
              <w:spacing w:after="0"/>
              <w:rPr>
                <w:sz w:val="18"/>
                <w:szCs w:val="18"/>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100%</w:t>
            </w: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1160" w:type="dxa"/>
            <w:vAlign w:val="bottom"/>
          </w:tcPr>
          <w:p>
            <w:pPr>
              <w:spacing w:after="0" w:line="20" w:lineRule="exact"/>
              <w:rPr>
                <w:sz w:val="1"/>
                <w:szCs w:val="1"/>
                <w:color w:val="auto"/>
              </w:rPr>
            </w:pPr>
          </w:p>
        </w:tc>
        <w:tc>
          <w:tcPr>
            <w:tcW w:w="37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37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1"/>
        </w:trPr>
        <w:tc>
          <w:tcPr>
            <w:tcW w:w="1160" w:type="dxa"/>
            <w:vAlign w:val="bottom"/>
          </w:tcPr>
          <w:p>
            <w:pPr>
              <w:spacing w:after="0"/>
              <w:rPr>
                <w:sz w:val="24"/>
                <w:szCs w:val="24"/>
                <w:color w:val="auto"/>
              </w:rPr>
            </w:pPr>
          </w:p>
        </w:tc>
        <w:tc>
          <w:tcPr>
            <w:tcW w:w="3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gridSpan w:val="2"/>
          </w:tcPr>
          <w:p>
            <w:pPr>
              <w:jc w:val="right"/>
              <w:ind w:right="186"/>
              <w:spacing w:after="0"/>
              <w:rPr>
                <w:sz w:val="20"/>
                <w:szCs w:val="20"/>
                <w:color w:val="auto"/>
              </w:rPr>
            </w:pPr>
            <w:r>
              <w:rPr>
                <w:rFonts w:ascii="Arial" w:cs="Arial" w:eastAsia="Arial" w:hAnsi="Arial"/>
                <w:sz w:val="18"/>
                <w:szCs w:val="18"/>
                <w:color w:val="auto"/>
                <w:w w:val="89"/>
              </w:rPr>
              <w:t>29</w:t>
            </w: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1160" w:type="dxa"/>
            <w:vAlign w:val="bottom"/>
            <w:tcBorders>
              <w:bottom w:val="single" w:sz="8" w:color="808080"/>
            </w:tcBorders>
          </w:tcPr>
          <w:p>
            <w:pPr>
              <w:spacing w:after="0"/>
              <w:rPr>
                <w:sz w:val="19"/>
                <w:szCs w:val="19"/>
                <w:color w:val="auto"/>
              </w:rPr>
            </w:pPr>
          </w:p>
        </w:tc>
        <w:tc>
          <w:tcPr>
            <w:tcW w:w="370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42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60" w:type="dxa"/>
            <w:vAlign w:val="bottom"/>
            <w:tcBorders>
              <w:bottom w:val="single" w:sz="8" w:color="808080"/>
            </w:tcBorders>
          </w:tcPr>
          <w:p>
            <w:pPr>
              <w:spacing w:after="0"/>
              <w:rPr>
                <w:sz w:val="19"/>
                <w:szCs w:val="19"/>
                <w:color w:val="auto"/>
              </w:rPr>
            </w:pPr>
          </w:p>
        </w:tc>
        <w:tc>
          <w:tcPr>
            <w:tcW w:w="40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c>
          <w:tcPr>
            <w:tcW w:w="340" w:type="dxa"/>
            <w:vAlign w:val="bottom"/>
            <w:tcBorders>
              <w:bottom w:val="single" w:sz="8" w:color="808080"/>
            </w:tcBorders>
          </w:tcPr>
          <w:p>
            <w:pPr>
              <w:spacing w:after="0"/>
              <w:rPr>
                <w:sz w:val="19"/>
                <w:szCs w:val="19"/>
                <w:color w:val="auto"/>
              </w:rPr>
            </w:pPr>
          </w:p>
        </w:tc>
        <w:tc>
          <w:tcPr>
            <w:tcW w:w="28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40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46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42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46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42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06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0" w:name="page31"/>
    <w:bookmarkEnd w:id="3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TREE.COM, INC.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ind w:right="1580"/>
        <w:spacing w:after="0" w:line="504" w:lineRule="auto"/>
        <w:rPr>
          <w:sz w:val="20"/>
          <w:szCs w:val="20"/>
          <w:color w:val="auto"/>
        </w:rPr>
      </w:pPr>
      <w:r>
        <w:rPr>
          <w:rFonts w:ascii="Arial" w:cs="Arial" w:eastAsia="Arial" w:hAnsi="Arial"/>
          <w:sz w:val="18"/>
          <w:szCs w:val="18"/>
          <w:b w:val="1"/>
          <w:bCs w:val="1"/>
          <w:color w:val="auto"/>
        </w:rPr>
        <w:t>NOTE 10—ORIGINATION AND SALE OF LOANS, LOANS HELD FOR SALE AND LOAN LOSS OBLIGATIONS (Continued) Loans Held for Sale</w:t>
      </w:r>
    </w:p>
    <w:p>
      <w:pPr>
        <w:spacing w:after="0" w:line="1" w:lineRule="exact"/>
        <w:rPr>
          <w:sz w:val="20"/>
          <w:szCs w:val="20"/>
          <w:color w:val="auto"/>
        </w:rPr>
      </w:pPr>
    </w:p>
    <w:p>
      <w:pPr>
        <w:ind w:right="80" w:firstLine="351"/>
        <w:spacing w:after="0" w:line="268" w:lineRule="auto"/>
        <w:rPr>
          <w:sz w:val="20"/>
          <w:szCs w:val="20"/>
          <w:color w:val="auto"/>
        </w:rPr>
      </w:pPr>
      <w:r>
        <w:rPr>
          <w:rFonts w:ascii="Arial" w:cs="Arial" w:eastAsia="Arial" w:hAnsi="Arial"/>
          <w:sz w:val="18"/>
          <w:szCs w:val="18"/>
          <w:color w:val="auto"/>
        </w:rPr>
        <w:t>LendingTree Loans originates all of its residential real estate loans with the intent to sell them in the secondary market. Loans held for sale consist primarily of residential first mortgage loans that are secured by residential real estate throughout the United States.</w:t>
      </w:r>
    </w:p>
    <w:p>
      <w:pPr>
        <w:spacing w:after="0" w:line="18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following table represents the loans held for sale by type of loan as of September 30, 2010 and December 31, 2009 (in thousands):</w:t>
      </w:r>
    </w:p>
    <w:p>
      <w:pPr>
        <w:spacing w:after="0" w:line="208" w:lineRule="exact"/>
        <w:rPr>
          <w:sz w:val="20"/>
          <w:szCs w:val="20"/>
          <w:color w:val="auto"/>
        </w:rPr>
      </w:pPr>
    </w:p>
    <w:tbl>
      <w:tblPr>
        <w:tblLayout w:type="fixed"/>
        <w:tblInd w:w="2300" w:type="dxa"/>
        <w:tblCellMar>
          <w:top w:w="0" w:type="dxa"/>
          <w:left w:w="0" w:type="dxa"/>
          <w:bottom w:w="0" w:type="dxa"/>
          <w:right w:w="0" w:type="dxa"/>
        </w:tblCellMar>
      </w:tblPr>
      <w:tr>
        <w:trPr>
          <w:trHeight w:val="161"/>
        </w:trPr>
        <w:tc>
          <w:tcPr>
            <w:tcW w:w="38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0" w:type="dxa"/>
            <w:vAlign w:val="bottom"/>
            <w:gridSpan w:val="5"/>
          </w:tcPr>
          <w:p>
            <w:pPr>
              <w:jc w:val="center"/>
              <w:ind w:right="300"/>
              <w:spacing w:after="0"/>
              <w:rPr>
                <w:sz w:val="20"/>
                <w:szCs w:val="20"/>
                <w:color w:val="auto"/>
              </w:rPr>
            </w:pPr>
            <w:r>
              <w:rPr>
                <w:rFonts w:ascii="Arial" w:cs="Arial" w:eastAsia="Arial" w:hAnsi="Arial"/>
                <w:sz w:val="14"/>
                <w:szCs w:val="14"/>
                <w:b w:val="1"/>
                <w:bCs w:val="1"/>
                <w:color w:val="auto"/>
                <w:w w:val="85"/>
              </w:rPr>
              <w:t>September 30,</w:t>
            </w:r>
          </w:p>
        </w:tc>
        <w:tc>
          <w:tcPr>
            <w:tcW w:w="120" w:type="dxa"/>
            <w:vAlign w:val="bottom"/>
          </w:tcPr>
          <w:p>
            <w:pPr>
              <w:spacing w:after="0"/>
              <w:rPr>
                <w:sz w:val="14"/>
                <w:szCs w:val="14"/>
                <w:color w:val="auto"/>
              </w:rPr>
            </w:pPr>
          </w:p>
        </w:tc>
        <w:tc>
          <w:tcPr>
            <w:tcW w:w="1320" w:type="dxa"/>
            <w:vAlign w:val="bottom"/>
            <w:gridSpan w:val="4"/>
          </w:tcPr>
          <w:p>
            <w:pPr>
              <w:jc w:val="center"/>
              <w:ind w:right="280"/>
              <w:spacing w:after="0"/>
              <w:rPr>
                <w:sz w:val="20"/>
                <w:szCs w:val="20"/>
                <w:color w:val="auto"/>
              </w:rPr>
            </w:pPr>
            <w:r>
              <w:rPr>
                <w:rFonts w:ascii="Arial" w:cs="Arial" w:eastAsia="Arial" w:hAnsi="Arial"/>
                <w:sz w:val="14"/>
                <w:szCs w:val="14"/>
                <w:b w:val="1"/>
                <w:bCs w:val="1"/>
                <w:color w:val="auto"/>
                <w:w w:val="87"/>
              </w:rPr>
              <w:t>December 31,</w:t>
            </w:r>
          </w:p>
        </w:tc>
        <w:tc>
          <w:tcPr>
            <w:tcW w:w="0" w:type="dxa"/>
            <w:vAlign w:val="bottom"/>
          </w:tcPr>
          <w:p>
            <w:pPr>
              <w:spacing w:after="0"/>
              <w:rPr>
                <w:sz w:val="1"/>
                <w:szCs w:val="1"/>
                <w:color w:val="auto"/>
              </w:rPr>
            </w:pPr>
          </w:p>
        </w:tc>
      </w:tr>
      <w:tr>
        <w:trPr>
          <w:trHeight w:val="161"/>
        </w:trPr>
        <w:tc>
          <w:tcPr>
            <w:tcW w:w="38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gridSpan w:val="3"/>
          </w:tcPr>
          <w:p>
            <w:pPr>
              <w:jc w:val="right"/>
              <w:ind w:right="140"/>
              <w:spacing w:after="0"/>
              <w:rPr>
                <w:sz w:val="20"/>
                <w:szCs w:val="20"/>
                <w:color w:val="auto"/>
              </w:rPr>
            </w:pPr>
            <w:r>
              <w:rPr>
                <w:rFonts w:ascii="Arial" w:cs="Arial" w:eastAsia="Arial" w:hAnsi="Arial"/>
                <w:sz w:val="14"/>
                <w:szCs w:val="14"/>
                <w:b w:val="1"/>
                <w:bCs w:val="1"/>
                <w:color w:val="auto"/>
              </w:rPr>
              <w:t>2010</w:t>
            </w:r>
          </w:p>
        </w:tc>
        <w:tc>
          <w:tcPr>
            <w:tcW w:w="40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4"/>
                <w:szCs w:val="14"/>
                <w:b w:val="1"/>
                <w:bCs w:val="1"/>
                <w:color w:val="auto"/>
              </w:rPr>
              <w:t>2009</w:t>
            </w:r>
          </w:p>
        </w:tc>
        <w:tc>
          <w:tcPr>
            <w:tcW w:w="40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86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59"/>
              <w:spacing w:after="0" w:line="142" w:lineRule="exact"/>
              <w:rPr>
                <w:sz w:val="20"/>
                <w:szCs w:val="20"/>
                <w:color w:val="auto"/>
              </w:rPr>
            </w:pPr>
            <w:r>
              <w:rPr>
                <w:rFonts w:ascii="Arial" w:cs="Arial" w:eastAsia="Arial" w:hAnsi="Arial"/>
                <w:sz w:val="14"/>
                <w:szCs w:val="14"/>
                <w:b w:val="1"/>
                <w:bCs w:val="1"/>
                <w:color w:val="auto"/>
                <w:w w:val="90"/>
              </w:rPr>
              <w:t>Amount</w:t>
            </w:r>
          </w:p>
        </w:tc>
        <w:tc>
          <w:tcPr>
            <w:tcW w:w="180" w:type="dxa"/>
            <w:vAlign w:val="bottom"/>
            <w:gridSpan w:val="2"/>
          </w:tcPr>
          <w:p>
            <w:pPr>
              <w:spacing w:after="0"/>
              <w:rPr>
                <w:sz w:val="12"/>
                <w:szCs w:val="12"/>
                <w:color w:val="auto"/>
              </w:rPr>
            </w:pPr>
          </w:p>
        </w:tc>
        <w:tc>
          <w:tcPr>
            <w:tcW w:w="400" w:type="dxa"/>
            <w:vAlign w:val="bottom"/>
            <w:tcBorders>
              <w:bottom w:val="single" w:sz="8" w:color="auto"/>
            </w:tcBorders>
          </w:tcPr>
          <w:p>
            <w:pPr>
              <w:jc w:val="right"/>
              <w:ind w:right="55"/>
              <w:spacing w:after="0" w:line="142" w:lineRule="exact"/>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9"/>
              <w:spacing w:after="0" w:line="142" w:lineRule="exact"/>
              <w:rPr>
                <w:sz w:val="20"/>
                <w:szCs w:val="20"/>
                <w:color w:val="auto"/>
              </w:rPr>
            </w:pPr>
            <w:r>
              <w:rPr>
                <w:rFonts w:ascii="Arial" w:cs="Arial" w:eastAsia="Arial" w:hAnsi="Arial"/>
                <w:sz w:val="14"/>
                <w:szCs w:val="14"/>
                <w:b w:val="1"/>
                <w:bCs w:val="1"/>
                <w:color w:val="auto"/>
                <w:w w:val="86"/>
              </w:rPr>
              <w:t>Amount</w:t>
            </w:r>
          </w:p>
        </w:tc>
        <w:tc>
          <w:tcPr>
            <w:tcW w:w="180" w:type="dxa"/>
            <w:vAlign w:val="bottom"/>
          </w:tcPr>
          <w:p>
            <w:pPr>
              <w:spacing w:after="0"/>
              <w:rPr>
                <w:sz w:val="12"/>
                <w:szCs w:val="12"/>
                <w:color w:val="auto"/>
              </w:rPr>
            </w:pPr>
          </w:p>
        </w:tc>
        <w:tc>
          <w:tcPr>
            <w:tcW w:w="400" w:type="dxa"/>
            <w:vAlign w:val="bottom"/>
            <w:tcBorders>
              <w:bottom w:val="single" w:sz="8" w:color="auto"/>
            </w:tcBorders>
          </w:tcPr>
          <w:p>
            <w:pPr>
              <w:jc w:val="right"/>
              <w:ind w:right="55"/>
              <w:spacing w:after="0" w:line="142" w:lineRule="exact"/>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3860" w:type="dxa"/>
            <w:vAlign w:val="bottom"/>
            <w:shd w:val="clear" w:color="auto" w:fill="CCEEFF"/>
          </w:tcPr>
          <w:p>
            <w:pPr>
              <w:spacing w:after="0"/>
              <w:rPr>
                <w:sz w:val="20"/>
                <w:szCs w:val="20"/>
                <w:color w:val="auto"/>
              </w:rPr>
            </w:pPr>
            <w:r>
              <w:rPr>
                <w:rFonts w:ascii="Arial" w:cs="Arial" w:eastAsia="Arial" w:hAnsi="Arial"/>
                <w:sz w:val="18"/>
                <w:szCs w:val="18"/>
                <w:color w:val="auto"/>
              </w:rPr>
              <w:t>Conforming</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5"/>
              </w:rPr>
              <w:t>129,428</w:t>
            </w:r>
          </w:p>
        </w:tc>
        <w:tc>
          <w:tcPr>
            <w:tcW w:w="16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79%</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72,670</w:t>
            </w:r>
          </w:p>
        </w:tc>
        <w:tc>
          <w:tcPr>
            <w:tcW w:w="1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77%</w:t>
            </w:r>
          </w:p>
        </w:tc>
        <w:tc>
          <w:tcPr>
            <w:tcW w:w="0" w:type="dxa"/>
            <w:vAlign w:val="bottom"/>
          </w:tcPr>
          <w:p>
            <w:pPr>
              <w:spacing w:after="0"/>
              <w:rPr>
                <w:sz w:val="1"/>
                <w:szCs w:val="1"/>
                <w:color w:val="auto"/>
              </w:rPr>
            </w:pPr>
          </w:p>
        </w:tc>
      </w:tr>
      <w:tr>
        <w:trPr>
          <w:trHeight w:val="216"/>
        </w:trPr>
        <w:tc>
          <w:tcPr>
            <w:tcW w:w="3860" w:type="dxa"/>
            <w:vAlign w:val="bottom"/>
          </w:tcPr>
          <w:p>
            <w:pPr>
              <w:spacing w:after="0"/>
              <w:rPr>
                <w:sz w:val="20"/>
                <w:szCs w:val="20"/>
                <w:color w:val="auto"/>
              </w:rPr>
            </w:pPr>
            <w:r>
              <w:rPr>
                <w:rFonts w:ascii="Arial" w:cs="Arial" w:eastAsia="Arial" w:hAnsi="Arial"/>
                <w:sz w:val="18"/>
                <w:szCs w:val="18"/>
                <w:color w:val="auto"/>
              </w:rPr>
              <w:t>FHA</w:t>
            </w:r>
          </w:p>
        </w:tc>
        <w:tc>
          <w:tcPr>
            <w:tcW w:w="140" w:type="dxa"/>
            <w:vAlign w:val="bottom"/>
          </w:tcPr>
          <w:p>
            <w:pPr>
              <w:spacing w:after="0"/>
              <w:rPr>
                <w:sz w:val="18"/>
                <w:szCs w:val="18"/>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29,294</w:t>
            </w:r>
          </w:p>
        </w:tc>
        <w:tc>
          <w:tcPr>
            <w:tcW w:w="160" w:type="dxa"/>
            <w:vAlign w:val="bottom"/>
          </w:tcPr>
          <w:p>
            <w:pPr>
              <w:spacing w:after="0"/>
              <w:rPr>
                <w:sz w:val="18"/>
                <w:szCs w:val="18"/>
                <w:color w:val="auto"/>
              </w:rPr>
            </w:pPr>
          </w:p>
        </w:tc>
        <w:tc>
          <w:tcPr>
            <w:tcW w:w="580" w:type="dxa"/>
            <w:vAlign w:val="bottom"/>
            <w:gridSpan w:val="2"/>
          </w:tcPr>
          <w:p>
            <w:pPr>
              <w:jc w:val="right"/>
              <w:ind w:right="40"/>
              <w:spacing w:after="0"/>
              <w:rPr>
                <w:sz w:val="20"/>
                <w:szCs w:val="20"/>
                <w:color w:val="auto"/>
              </w:rPr>
            </w:pPr>
            <w:r>
              <w:rPr>
                <w:rFonts w:ascii="Arial" w:cs="Arial" w:eastAsia="Arial" w:hAnsi="Arial"/>
                <w:sz w:val="18"/>
                <w:szCs w:val="18"/>
                <w:color w:val="auto"/>
              </w:rPr>
              <w:t>18%</w:t>
            </w: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16,596</w:t>
            </w:r>
          </w:p>
        </w:tc>
        <w:tc>
          <w:tcPr>
            <w:tcW w:w="180" w:type="dxa"/>
            <w:vAlign w:val="bottom"/>
          </w:tcPr>
          <w:p>
            <w:pPr>
              <w:spacing w:after="0"/>
              <w:rPr>
                <w:sz w:val="18"/>
                <w:szCs w:val="18"/>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16"/>
        </w:trPr>
        <w:tc>
          <w:tcPr>
            <w:tcW w:w="3860" w:type="dxa"/>
            <w:vAlign w:val="bottom"/>
            <w:shd w:val="clear" w:color="auto" w:fill="CCEEFF"/>
          </w:tcPr>
          <w:p>
            <w:pPr>
              <w:spacing w:after="0"/>
              <w:rPr>
                <w:sz w:val="20"/>
                <w:szCs w:val="20"/>
                <w:color w:val="auto"/>
              </w:rPr>
            </w:pPr>
            <w:r>
              <w:rPr>
                <w:rFonts w:ascii="Arial" w:cs="Arial" w:eastAsia="Arial" w:hAnsi="Arial"/>
                <w:sz w:val="18"/>
                <w:szCs w:val="18"/>
                <w:color w:val="auto"/>
              </w:rPr>
              <w:t>Jumbo</w:t>
            </w:r>
          </w:p>
        </w:tc>
        <w:tc>
          <w:tcPr>
            <w:tcW w:w="1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5,066</w:t>
            </w:r>
          </w:p>
        </w:tc>
        <w:tc>
          <w:tcPr>
            <w:tcW w:w="16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w:t>
            </w: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3,486</w:t>
            </w:r>
          </w:p>
        </w:tc>
        <w:tc>
          <w:tcPr>
            <w:tcW w:w="1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3860" w:type="dxa"/>
            <w:vAlign w:val="bottom"/>
          </w:tcPr>
          <w:p>
            <w:pPr>
              <w:spacing w:after="0"/>
              <w:rPr>
                <w:sz w:val="20"/>
                <w:szCs w:val="20"/>
                <w:color w:val="auto"/>
              </w:rPr>
            </w:pPr>
            <w:r>
              <w:rPr>
                <w:rFonts w:ascii="Arial" w:cs="Arial" w:eastAsia="Arial" w:hAnsi="Arial"/>
                <w:sz w:val="18"/>
                <w:szCs w:val="18"/>
                <w:color w:val="auto"/>
              </w:rPr>
              <w:t>Subprime</w:t>
            </w:r>
          </w:p>
        </w:tc>
        <w:tc>
          <w:tcPr>
            <w:tcW w:w="140" w:type="dxa"/>
            <w:vAlign w:val="bottom"/>
          </w:tcPr>
          <w:p>
            <w:pPr>
              <w:spacing w:after="0"/>
              <w:rPr>
                <w:sz w:val="18"/>
                <w:szCs w:val="18"/>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582</w:t>
            </w:r>
          </w:p>
        </w:tc>
        <w:tc>
          <w:tcPr>
            <w:tcW w:w="160" w:type="dxa"/>
            <w:vAlign w:val="bottom"/>
          </w:tcPr>
          <w:p>
            <w:pPr>
              <w:spacing w:after="0"/>
              <w:rPr>
                <w:sz w:val="18"/>
                <w:szCs w:val="18"/>
                <w:color w:val="auto"/>
              </w:rPr>
            </w:pPr>
          </w:p>
        </w:tc>
        <w:tc>
          <w:tcPr>
            <w:tcW w:w="5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720</w:t>
            </w:r>
          </w:p>
        </w:tc>
        <w:tc>
          <w:tcPr>
            <w:tcW w:w="180" w:type="dxa"/>
            <w:vAlign w:val="bottom"/>
          </w:tcPr>
          <w:p>
            <w:pPr>
              <w:spacing w:after="0"/>
              <w:rPr>
                <w:sz w:val="18"/>
                <w:szCs w:val="18"/>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3860" w:type="dxa"/>
            <w:vAlign w:val="bottom"/>
            <w:shd w:val="clear" w:color="auto" w:fill="CCEEFF"/>
          </w:tcPr>
          <w:p>
            <w:pPr>
              <w:spacing w:after="0"/>
              <w:rPr>
                <w:sz w:val="20"/>
                <w:szCs w:val="20"/>
                <w:color w:val="auto"/>
              </w:rPr>
            </w:pPr>
            <w:r>
              <w:rPr>
                <w:rFonts w:ascii="Arial" w:cs="Arial" w:eastAsia="Arial" w:hAnsi="Arial"/>
                <w:sz w:val="18"/>
                <w:szCs w:val="18"/>
                <w:color w:val="auto"/>
              </w:rPr>
              <w:t>Home equity</w:t>
            </w:r>
          </w:p>
        </w:tc>
        <w:tc>
          <w:tcPr>
            <w:tcW w:w="1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90</w:t>
            </w:r>
          </w:p>
        </w:tc>
        <w:tc>
          <w:tcPr>
            <w:tcW w:w="16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w:t>
            </w:r>
          </w:p>
        </w:tc>
        <w:tc>
          <w:tcPr>
            <w:tcW w:w="1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860" w:type="dxa"/>
            <w:vAlign w:val="bottom"/>
            <w:vMerge w:val="restart"/>
          </w:tcPr>
          <w:p>
            <w:pPr>
              <w:spacing w:after="0"/>
              <w:rPr>
                <w:sz w:val="20"/>
                <w:szCs w:val="20"/>
                <w:color w:val="auto"/>
              </w:rPr>
            </w:pPr>
            <w:r>
              <w:rPr>
                <w:rFonts w:ascii="Arial" w:cs="Arial" w:eastAsia="Arial" w:hAnsi="Arial"/>
                <w:sz w:val="18"/>
                <w:szCs w:val="18"/>
                <w:b w:val="1"/>
                <w:bCs w:val="1"/>
                <w:color w:val="auto"/>
              </w:rPr>
              <w:t>Total</w:t>
            </w:r>
          </w:p>
        </w:tc>
        <w:tc>
          <w:tcPr>
            <w:tcW w:w="1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3860" w:type="dxa"/>
            <w:vAlign w:val="bottom"/>
            <w:vMerge w:val="continue"/>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164,460</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gridSpan w:val="2"/>
          </w:tcPr>
          <w:p>
            <w:pPr>
              <w:jc w:val="right"/>
              <w:ind w:right="40"/>
              <w:spacing w:after="0"/>
              <w:rPr>
                <w:sz w:val="20"/>
                <w:szCs w:val="20"/>
                <w:color w:val="auto"/>
              </w:rPr>
            </w:pPr>
            <w:r>
              <w:rPr>
                <w:rFonts w:ascii="Arial" w:cs="Arial" w:eastAsia="Arial" w:hAnsi="Arial"/>
                <w:sz w:val="18"/>
                <w:szCs w:val="18"/>
                <w:color w:val="auto"/>
              </w:rPr>
              <w:t>100%</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93,596</w:t>
            </w:r>
          </w:p>
        </w:tc>
        <w:tc>
          <w:tcPr>
            <w:tcW w:w="180" w:type="dxa"/>
            <w:vAlign w:val="bottom"/>
          </w:tcPr>
          <w:p>
            <w:pPr>
              <w:spacing w:after="0"/>
              <w:rPr>
                <w:sz w:val="18"/>
                <w:szCs w:val="18"/>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
        </w:trPr>
        <w:tc>
          <w:tcPr>
            <w:tcW w:w="38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38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ind w:right="120" w:firstLine="348"/>
        <w:spacing w:after="0" w:line="332" w:lineRule="auto"/>
        <w:rPr>
          <w:sz w:val="20"/>
          <w:szCs w:val="20"/>
          <w:color w:val="auto"/>
        </w:rPr>
      </w:pPr>
      <w:r>
        <w:rPr>
          <w:rFonts w:ascii="Arial" w:cs="Arial" w:eastAsia="Arial" w:hAnsi="Arial"/>
          <w:sz w:val="16"/>
          <w:szCs w:val="16"/>
          <w:color w:val="auto"/>
        </w:rPr>
        <w:t>The following presents the difference between the aggregate principal balance of loans on nonaccrual status for which the fair value option has been elected and for loans measured at lower of cost or market valuation as of September 30, 2010 and December 31, 2009 (in thousands):</w:t>
      </w:r>
    </w:p>
    <w:p>
      <w:pPr>
        <w:spacing w:after="0" w:line="189"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2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300" w:type="dxa"/>
            <w:vAlign w:val="bottom"/>
            <w:tcBorders>
              <w:bottom w:val="single" w:sz="8" w:color="auto"/>
            </w:tcBorders>
            <w:gridSpan w:val="6"/>
          </w:tcPr>
          <w:p>
            <w:pPr>
              <w:jc w:val="right"/>
              <w:spacing w:after="0"/>
              <w:rPr>
                <w:sz w:val="20"/>
                <w:szCs w:val="20"/>
                <w:color w:val="auto"/>
              </w:rPr>
            </w:pPr>
            <w:r>
              <w:rPr>
                <w:rFonts w:ascii="Arial" w:cs="Arial" w:eastAsia="Arial" w:hAnsi="Arial"/>
                <w:sz w:val="14"/>
                <w:szCs w:val="14"/>
                <w:b w:val="1"/>
                <w:bCs w:val="1"/>
                <w:color w:val="auto"/>
              </w:rPr>
              <w:t>As of September 30, 2010</w:t>
            </w:r>
          </w:p>
        </w:tc>
        <w:tc>
          <w:tcPr>
            <w:tcW w:w="90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r>
      <w:tr>
        <w:trPr>
          <w:trHeight w:val="129"/>
        </w:trPr>
        <w:tc>
          <w:tcPr>
            <w:tcW w:w="20" w:type="dxa"/>
            <w:vAlign w:val="bottom"/>
          </w:tcPr>
          <w:p>
            <w:pPr>
              <w:spacing w:after="0"/>
              <w:rPr>
                <w:sz w:val="11"/>
                <w:szCs w:val="11"/>
                <w:color w:val="auto"/>
              </w:rPr>
            </w:pPr>
          </w:p>
        </w:tc>
        <w:tc>
          <w:tcPr>
            <w:tcW w:w="52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gridSpan w:val="2"/>
          </w:tcPr>
          <w:p>
            <w:pPr>
              <w:jc w:val="center"/>
              <w:ind w:right="280"/>
              <w:spacing w:after="0" w:line="129" w:lineRule="exact"/>
              <w:rPr>
                <w:sz w:val="20"/>
                <w:szCs w:val="20"/>
                <w:color w:val="auto"/>
              </w:rPr>
            </w:pPr>
            <w:r>
              <w:rPr>
                <w:rFonts w:ascii="Arial" w:cs="Arial" w:eastAsia="Arial" w:hAnsi="Arial"/>
                <w:sz w:val="14"/>
                <w:szCs w:val="14"/>
                <w:b w:val="1"/>
                <w:bCs w:val="1"/>
                <w:color w:val="auto"/>
                <w:w w:val="86"/>
              </w:rPr>
              <w:t>Loans on</w:t>
            </w:r>
          </w:p>
        </w:tc>
        <w:tc>
          <w:tcPr>
            <w:tcW w:w="120" w:type="dxa"/>
            <w:vAlign w:val="bottom"/>
          </w:tcPr>
          <w:p>
            <w:pPr>
              <w:spacing w:after="0"/>
              <w:rPr>
                <w:sz w:val="11"/>
                <w:szCs w:val="11"/>
                <w:color w:val="auto"/>
              </w:rPr>
            </w:pPr>
          </w:p>
        </w:tc>
        <w:tc>
          <w:tcPr>
            <w:tcW w:w="1020" w:type="dxa"/>
            <w:vAlign w:val="bottom"/>
            <w:gridSpan w:val="2"/>
          </w:tcPr>
          <w:p>
            <w:pPr>
              <w:jc w:val="center"/>
              <w:ind w:right="280"/>
              <w:spacing w:after="0" w:line="129" w:lineRule="exact"/>
              <w:rPr>
                <w:sz w:val="20"/>
                <w:szCs w:val="20"/>
                <w:color w:val="auto"/>
              </w:rPr>
            </w:pPr>
            <w:r>
              <w:rPr>
                <w:rFonts w:ascii="Arial" w:cs="Arial" w:eastAsia="Arial" w:hAnsi="Arial"/>
                <w:sz w:val="14"/>
                <w:szCs w:val="14"/>
                <w:b w:val="1"/>
                <w:bCs w:val="1"/>
                <w:color w:val="auto"/>
                <w:w w:val="86"/>
              </w:rPr>
              <w:t>Loans on</w:t>
            </w:r>
          </w:p>
        </w:tc>
        <w:tc>
          <w:tcPr>
            <w:tcW w:w="1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60" w:type="dxa"/>
            <w:vAlign w:val="bottom"/>
          </w:tcPr>
          <w:p>
            <w:pPr>
              <w:spacing w:after="0"/>
              <w:rPr>
                <w:sz w:val="11"/>
                <w:szCs w:val="11"/>
                <w:color w:val="auto"/>
              </w:rPr>
            </w:pPr>
          </w:p>
        </w:tc>
      </w:tr>
      <w:tr>
        <w:trPr>
          <w:trHeight w:val="149"/>
        </w:trPr>
        <w:tc>
          <w:tcPr>
            <w:tcW w:w="20" w:type="dxa"/>
            <w:vAlign w:val="bottom"/>
          </w:tcPr>
          <w:p>
            <w:pPr>
              <w:spacing w:after="0"/>
              <w:rPr>
                <w:sz w:val="12"/>
                <w:szCs w:val="12"/>
                <w:color w:val="auto"/>
              </w:rPr>
            </w:pPr>
          </w:p>
        </w:tc>
        <w:tc>
          <w:tcPr>
            <w:tcW w:w="52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120" w:type="dxa"/>
            <w:vAlign w:val="bottom"/>
            <w:gridSpan w:val="3"/>
          </w:tcPr>
          <w:p>
            <w:pPr>
              <w:jc w:val="center"/>
              <w:ind w:right="160"/>
              <w:spacing w:after="0" w:line="149" w:lineRule="exact"/>
              <w:rPr>
                <w:sz w:val="20"/>
                <w:szCs w:val="20"/>
                <w:color w:val="auto"/>
              </w:rPr>
            </w:pPr>
            <w:r>
              <w:rPr>
                <w:rFonts w:ascii="Arial" w:cs="Arial" w:eastAsia="Arial" w:hAnsi="Arial"/>
                <w:sz w:val="14"/>
                <w:szCs w:val="14"/>
                <w:b w:val="1"/>
                <w:bCs w:val="1"/>
                <w:color w:val="auto"/>
                <w:w w:val="88"/>
              </w:rPr>
              <w:t>Nonaccrual—</w:t>
            </w:r>
          </w:p>
        </w:tc>
        <w:tc>
          <w:tcPr>
            <w:tcW w:w="1140" w:type="dxa"/>
            <w:vAlign w:val="bottom"/>
            <w:gridSpan w:val="3"/>
          </w:tcPr>
          <w:p>
            <w:pPr>
              <w:jc w:val="center"/>
              <w:ind w:right="160"/>
              <w:spacing w:after="0" w:line="149" w:lineRule="exact"/>
              <w:rPr>
                <w:sz w:val="20"/>
                <w:szCs w:val="20"/>
                <w:color w:val="auto"/>
              </w:rPr>
            </w:pPr>
            <w:r>
              <w:rPr>
                <w:rFonts w:ascii="Arial" w:cs="Arial" w:eastAsia="Arial" w:hAnsi="Arial"/>
                <w:sz w:val="14"/>
                <w:szCs w:val="14"/>
                <w:b w:val="1"/>
                <w:bCs w:val="1"/>
                <w:color w:val="auto"/>
                <w:w w:val="90"/>
              </w:rPr>
              <w:t>Nonaccrual—</w:t>
            </w:r>
          </w:p>
        </w:tc>
        <w:tc>
          <w:tcPr>
            <w:tcW w:w="1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52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8"/>
              </w:rPr>
              <w:t>Measured at</w:t>
            </w:r>
          </w:p>
        </w:tc>
        <w:tc>
          <w:tcPr>
            <w:tcW w:w="120" w:type="dxa"/>
            <w:vAlign w:val="bottom"/>
          </w:tcPr>
          <w:p>
            <w:pPr>
              <w:spacing w:after="0"/>
              <w:rPr>
                <w:sz w:val="12"/>
                <w:szCs w:val="12"/>
                <w:color w:val="auto"/>
              </w:rPr>
            </w:pPr>
          </w:p>
        </w:tc>
        <w:tc>
          <w:tcPr>
            <w:tcW w:w="102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88"/>
              </w:rPr>
              <w:t>Measured at</w:t>
            </w:r>
          </w:p>
        </w:tc>
        <w:tc>
          <w:tcPr>
            <w:tcW w:w="1200" w:type="dxa"/>
            <w:vAlign w:val="bottom"/>
            <w:gridSpan w:val="3"/>
          </w:tcPr>
          <w:p>
            <w:pPr>
              <w:jc w:val="right"/>
              <w:ind w:right="260"/>
              <w:spacing w:after="0" w:line="149" w:lineRule="exact"/>
              <w:rPr>
                <w:sz w:val="20"/>
                <w:szCs w:val="20"/>
                <w:color w:val="auto"/>
              </w:rPr>
            </w:pPr>
            <w:r>
              <w:rPr>
                <w:rFonts w:ascii="Arial" w:cs="Arial" w:eastAsia="Arial" w:hAnsi="Arial"/>
                <w:sz w:val="14"/>
                <w:szCs w:val="14"/>
                <w:b w:val="1"/>
                <w:bCs w:val="1"/>
                <w:color w:val="auto"/>
                <w:w w:val="92"/>
              </w:rPr>
              <w:t>Total Loans on</w:t>
            </w:r>
          </w:p>
        </w:tc>
      </w:tr>
      <w:tr>
        <w:trPr>
          <w:trHeight w:val="161"/>
        </w:trPr>
        <w:tc>
          <w:tcPr>
            <w:tcW w:w="20" w:type="dxa"/>
            <w:vAlign w:val="bottom"/>
          </w:tcPr>
          <w:p>
            <w:pPr>
              <w:spacing w:after="0"/>
              <w:rPr>
                <w:sz w:val="14"/>
                <w:szCs w:val="14"/>
                <w:color w:val="auto"/>
              </w:rPr>
            </w:pPr>
          </w:p>
        </w:tc>
        <w:tc>
          <w:tcPr>
            <w:tcW w:w="52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center"/>
              <w:ind w:right="21"/>
              <w:spacing w:after="0"/>
              <w:rPr>
                <w:sz w:val="20"/>
                <w:szCs w:val="20"/>
                <w:color w:val="auto"/>
              </w:rPr>
            </w:pPr>
            <w:r>
              <w:rPr>
                <w:rFonts w:ascii="Arial" w:cs="Arial" w:eastAsia="Arial" w:hAnsi="Arial"/>
                <w:sz w:val="14"/>
                <w:szCs w:val="14"/>
                <w:b w:val="1"/>
                <w:bCs w:val="1"/>
                <w:color w:val="auto"/>
                <w:w w:val="89"/>
              </w:rPr>
              <w:t>Fair Value</w:t>
            </w:r>
          </w:p>
        </w:tc>
        <w:tc>
          <w:tcPr>
            <w:tcW w:w="1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center"/>
              <w:ind w:right="40"/>
              <w:spacing w:after="0"/>
              <w:rPr>
                <w:sz w:val="20"/>
                <w:szCs w:val="20"/>
                <w:color w:val="auto"/>
              </w:rPr>
            </w:pPr>
            <w:r>
              <w:rPr>
                <w:rFonts w:ascii="Arial" w:cs="Arial" w:eastAsia="Arial" w:hAnsi="Arial"/>
                <w:sz w:val="14"/>
                <w:szCs w:val="14"/>
                <w:b w:val="1"/>
                <w:bCs w:val="1"/>
                <w:color w:val="auto"/>
              </w:rPr>
              <w:t>LOCOM</w:t>
            </w:r>
          </w:p>
        </w:tc>
        <w:tc>
          <w:tcPr>
            <w:tcW w:w="1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96"/>
              <w:spacing w:after="0"/>
              <w:rPr>
                <w:sz w:val="20"/>
                <w:szCs w:val="20"/>
                <w:color w:val="auto"/>
              </w:rPr>
            </w:pPr>
            <w:r>
              <w:rPr>
                <w:rFonts w:ascii="Arial" w:cs="Arial" w:eastAsia="Arial" w:hAnsi="Arial"/>
                <w:sz w:val="14"/>
                <w:szCs w:val="14"/>
                <w:b w:val="1"/>
                <w:bCs w:val="1"/>
                <w:color w:val="auto"/>
                <w:w w:val="91"/>
              </w:rPr>
              <w:t>Nonaccrual</w:t>
            </w:r>
          </w:p>
        </w:tc>
        <w:tc>
          <w:tcPr>
            <w:tcW w:w="160" w:type="dxa"/>
            <w:vAlign w:val="bottom"/>
          </w:tcPr>
          <w:p>
            <w:pPr>
              <w:spacing w:after="0"/>
              <w:rPr>
                <w:sz w:val="14"/>
                <w:szCs w:val="14"/>
                <w:color w:val="auto"/>
              </w:rPr>
            </w:pPr>
          </w:p>
        </w:tc>
      </w:tr>
      <w:tr>
        <w:trPr>
          <w:trHeight w:val="210"/>
        </w:trPr>
        <w:tc>
          <w:tcPr>
            <w:tcW w:w="20" w:type="dxa"/>
            <w:vAlign w:val="bottom"/>
          </w:tcPr>
          <w:p>
            <w:pPr>
              <w:spacing w:after="0"/>
              <w:rPr>
                <w:sz w:val="18"/>
                <w:szCs w:val="18"/>
                <w:color w:val="auto"/>
              </w:rPr>
            </w:pPr>
          </w:p>
        </w:tc>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Aggregate unpaid principal balance</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1,673</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2,933</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4,606</w:t>
            </w: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260" w:type="dxa"/>
            <w:vAlign w:val="bottom"/>
          </w:tcPr>
          <w:p>
            <w:pPr>
              <w:spacing w:after="0"/>
              <w:rPr>
                <w:sz w:val="20"/>
                <w:szCs w:val="20"/>
                <w:color w:val="auto"/>
              </w:rPr>
            </w:pPr>
            <w:r>
              <w:rPr>
                <w:rFonts w:ascii="Arial" w:cs="Arial" w:eastAsia="Arial" w:hAnsi="Arial"/>
                <w:sz w:val="18"/>
                <w:szCs w:val="18"/>
                <w:color w:val="auto"/>
                <w:w w:val="94"/>
              </w:rPr>
              <w:t>Difference between fair value and aggregate unpaid principal balance</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(637)</w:t>
            </w:r>
          </w:p>
        </w:tc>
        <w:tc>
          <w:tcPr>
            <w:tcW w:w="12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(637)</w:t>
            </w:r>
          </w:p>
        </w:tc>
      </w:tr>
      <w:tr>
        <w:trPr>
          <w:trHeight w:val="216"/>
        </w:trPr>
        <w:tc>
          <w:tcPr>
            <w:tcW w:w="20" w:type="dxa"/>
            <w:vAlign w:val="bottom"/>
          </w:tcPr>
          <w:p>
            <w:pPr>
              <w:spacing w:after="0"/>
              <w:rPr>
                <w:sz w:val="18"/>
                <w:szCs w:val="18"/>
                <w:color w:val="auto"/>
              </w:rPr>
            </w:pPr>
          </w:p>
        </w:tc>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Lower of cost or market valuation allowance</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(1,783)</w:t>
            </w: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(1,783)</w:t>
            </w:r>
          </w:p>
        </w:tc>
      </w:tr>
      <w:tr>
        <w:trPr>
          <w:trHeight w:val="222"/>
        </w:trPr>
        <w:tc>
          <w:tcPr>
            <w:tcW w:w="20" w:type="dxa"/>
            <w:vAlign w:val="bottom"/>
          </w:tcPr>
          <w:p>
            <w:pPr>
              <w:spacing w:after="0"/>
              <w:rPr>
                <w:sz w:val="19"/>
                <w:szCs w:val="19"/>
                <w:color w:val="auto"/>
              </w:rPr>
            </w:pPr>
          </w:p>
        </w:tc>
        <w:tc>
          <w:tcPr>
            <w:tcW w:w="5260" w:type="dxa"/>
            <w:vAlign w:val="bottom"/>
          </w:tcPr>
          <w:p>
            <w:pPr>
              <w:spacing w:after="0"/>
              <w:rPr>
                <w:sz w:val="20"/>
                <w:szCs w:val="20"/>
                <w:color w:val="auto"/>
              </w:rPr>
            </w:pPr>
            <w:r>
              <w:rPr>
                <w:rFonts w:ascii="Arial" w:cs="Arial" w:eastAsia="Arial" w:hAnsi="Arial"/>
                <w:sz w:val="18"/>
                <w:szCs w:val="18"/>
                <w:color w:val="auto"/>
              </w:rPr>
              <w:t>Deferred loan fees, net of costs</w:t>
            </w: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(9)</w:t>
            </w:r>
          </w:p>
        </w:tc>
        <w:tc>
          <w:tcPr>
            <w:tcW w:w="140" w:type="dxa"/>
            <w:vAlign w:val="bottom"/>
          </w:tcPr>
          <w:p>
            <w:pPr>
              <w:spacing w:after="0"/>
              <w:rPr>
                <w:sz w:val="19"/>
                <w:szCs w:val="19"/>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(9)</w:t>
            </w:r>
          </w:p>
        </w:tc>
      </w:tr>
      <w:tr>
        <w:trPr>
          <w:trHeight w:val="21"/>
        </w:trPr>
        <w:tc>
          <w:tcPr>
            <w:tcW w:w="20" w:type="dxa"/>
            <w:vAlign w:val="bottom"/>
          </w:tcPr>
          <w:p>
            <w:pPr>
              <w:spacing w:after="0" w:line="20" w:lineRule="exact"/>
              <w:rPr>
                <w:sz w:val="1"/>
                <w:szCs w:val="1"/>
                <w:color w:val="auto"/>
              </w:rPr>
            </w:pPr>
          </w:p>
        </w:tc>
        <w:tc>
          <w:tcPr>
            <w:tcW w:w="52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Loans on nonaccrual</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1,036</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1,141</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2,177</w:t>
            </w:r>
          </w:p>
        </w:tc>
        <w:tc>
          <w:tcPr>
            <w:tcW w:w="160" w:type="dxa"/>
            <w:vAlign w:val="bottom"/>
            <w:shd w:val="clear" w:color="auto" w:fill="CCEEFF"/>
          </w:tcPr>
          <w:p>
            <w:pPr>
              <w:spacing w:after="0"/>
              <w:rPr>
                <w:sz w:val="18"/>
                <w:szCs w:val="18"/>
                <w:color w:val="auto"/>
              </w:rPr>
            </w:pPr>
          </w:p>
        </w:tc>
      </w:tr>
      <w:tr>
        <w:trPr>
          <w:trHeight w:val="27"/>
        </w:trPr>
        <w:tc>
          <w:tcPr>
            <w:tcW w:w="20" w:type="dxa"/>
            <w:vAlign w:val="bottom"/>
          </w:tcPr>
          <w:p>
            <w:pPr>
              <w:spacing w:after="0"/>
              <w:rPr>
                <w:sz w:val="2"/>
                <w:szCs w:val="2"/>
                <w:color w:val="auto"/>
              </w:rPr>
            </w:pPr>
          </w:p>
        </w:tc>
        <w:tc>
          <w:tcPr>
            <w:tcW w:w="52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r>
      <w:tr>
        <w:trPr>
          <w:trHeight w:val="20"/>
        </w:trPr>
        <w:tc>
          <w:tcPr>
            <w:tcW w:w="20" w:type="dxa"/>
            <w:vAlign w:val="bottom"/>
          </w:tcPr>
          <w:p>
            <w:pPr>
              <w:spacing w:after="0" w:line="20" w:lineRule="exact"/>
              <w:rPr>
                <w:sz w:val="1"/>
                <w:szCs w:val="1"/>
                <w:color w:val="auto"/>
              </w:rPr>
            </w:pPr>
          </w:p>
        </w:tc>
        <w:tc>
          <w:tcPr>
            <w:tcW w:w="52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52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300" w:type="dxa"/>
            <w:vAlign w:val="bottom"/>
            <w:tcBorders>
              <w:bottom w:val="single" w:sz="8" w:color="auto"/>
            </w:tcBorders>
            <w:gridSpan w:val="6"/>
          </w:tcPr>
          <w:p>
            <w:pPr>
              <w:jc w:val="right"/>
              <w:spacing w:after="0"/>
              <w:rPr>
                <w:sz w:val="20"/>
                <w:szCs w:val="20"/>
                <w:color w:val="auto"/>
              </w:rPr>
            </w:pPr>
            <w:r>
              <w:rPr>
                <w:rFonts w:ascii="Arial" w:cs="Arial" w:eastAsia="Arial" w:hAnsi="Arial"/>
                <w:sz w:val="14"/>
                <w:szCs w:val="14"/>
                <w:b w:val="1"/>
                <w:bCs w:val="1"/>
                <w:color w:val="auto"/>
              </w:rPr>
              <w:t>As of December 31, 2009</w:t>
            </w:r>
          </w:p>
        </w:tc>
        <w:tc>
          <w:tcPr>
            <w:tcW w:w="90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1160" w:type="dxa"/>
            <w:vAlign w:val="bottom"/>
          </w:tcPr>
          <w:p>
            <w:pPr>
              <w:spacing w:after="0"/>
              <w:rPr>
                <w:sz w:val="11"/>
                <w:szCs w:val="11"/>
                <w:color w:val="auto"/>
              </w:rPr>
            </w:pPr>
          </w:p>
        </w:tc>
        <w:tc>
          <w:tcPr>
            <w:tcW w:w="52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gridSpan w:val="2"/>
          </w:tcPr>
          <w:p>
            <w:pPr>
              <w:jc w:val="center"/>
              <w:ind w:right="280"/>
              <w:spacing w:after="0" w:line="129" w:lineRule="exact"/>
              <w:rPr>
                <w:sz w:val="20"/>
                <w:szCs w:val="20"/>
                <w:color w:val="auto"/>
              </w:rPr>
            </w:pPr>
            <w:r>
              <w:rPr>
                <w:rFonts w:ascii="Arial" w:cs="Arial" w:eastAsia="Arial" w:hAnsi="Arial"/>
                <w:sz w:val="14"/>
                <w:szCs w:val="14"/>
                <w:b w:val="1"/>
                <w:bCs w:val="1"/>
                <w:color w:val="auto"/>
                <w:w w:val="86"/>
              </w:rPr>
              <w:t>Loans on</w:t>
            </w:r>
          </w:p>
        </w:tc>
        <w:tc>
          <w:tcPr>
            <w:tcW w:w="120" w:type="dxa"/>
            <w:vAlign w:val="bottom"/>
          </w:tcPr>
          <w:p>
            <w:pPr>
              <w:spacing w:after="0"/>
              <w:rPr>
                <w:sz w:val="11"/>
                <w:szCs w:val="11"/>
                <w:color w:val="auto"/>
              </w:rPr>
            </w:pPr>
          </w:p>
        </w:tc>
        <w:tc>
          <w:tcPr>
            <w:tcW w:w="1020" w:type="dxa"/>
            <w:vAlign w:val="bottom"/>
            <w:gridSpan w:val="2"/>
          </w:tcPr>
          <w:p>
            <w:pPr>
              <w:jc w:val="center"/>
              <w:ind w:right="280"/>
              <w:spacing w:after="0" w:line="129" w:lineRule="exact"/>
              <w:rPr>
                <w:sz w:val="20"/>
                <w:szCs w:val="20"/>
                <w:color w:val="auto"/>
              </w:rPr>
            </w:pPr>
            <w:r>
              <w:rPr>
                <w:rFonts w:ascii="Arial" w:cs="Arial" w:eastAsia="Arial" w:hAnsi="Arial"/>
                <w:sz w:val="14"/>
                <w:szCs w:val="14"/>
                <w:b w:val="1"/>
                <w:bCs w:val="1"/>
                <w:color w:val="auto"/>
                <w:w w:val="86"/>
              </w:rPr>
              <w:t>Loans on</w:t>
            </w:r>
          </w:p>
        </w:tc>
        <w:tc>
          <w:tcPr>
            <w:tcW w:w="1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160" w:type="dxa"/>
            <w:vAlign w:val="bottom"/>
          </w:tcPr>
          <w:p>
            <w:pPr>
              <w:spacing w:after="0"/>
              <w:rPr>
                <w:sz w:val="12"/>
                <w:szCs w:val="12"/>
                <w:color w:val="auto"/>
              </w:rPr>
            </w:pPr>
          </w:p>
        </w:tc>
        <w:tc>
          <w:tcPr>
            <w:tcW w:w="52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120" w:type="dxa"/>
            <w:vAlign w:val="bottom"/>
            <w:gridSpan w:val="3"/>
          </w:tcPr>
          <w:p>
            <w:pPr>
              <w:jc w:val="center"/>
              <w:ind w:right="160"/>
              <w:spacing w:after="0" w:line="149" w:lineRule="exact"/>
              <w:rPr>
                <w:sz w:val="20"/>
                <w:szCs w:val="20"/>
                <w:color w:val="auto"/>
              </w:rPr>
            </w:pPr>
            <w:r>
              <w:rPr>
                <w:rFonts w:ascii="Arial" w:cs="Arial" w:eastAsia="Arial" w:hAnsi="Arial"/>
                <w:sz w:val="14"/>
                <w:szCs w:val="14"/>
                <w:b w:val="1"/>
                <w:bCs w:val="1"/>
                <w:color w:val="auto"/>
                <w:w w:val="88"/>
              </w:rPr>
              <w:t>Nonaccrual—</w:t>
            </w:r>
          </w:p>
        </w:tc>
        <w:tc>
          <w:tcPr>
            <w:tcW w:w="1140" w:type="dxa"/>
            <w:vAlign w:val="bottom"/>
            <w:gridSpan w:val="3"/>
          </w:tcPr>
          <w:p>
            <w:pPr>
              <w:jc w:val="center"/>
              <w:ind w:right="160"/>
              <w:spacing w:after="0" w:line="149" w:lineRule="exact"/>
              <w:rPr>
                <w:sz w:val="20"/>
                <w:szCs w:val="20"/>
                <w:color w:val="auto"/>
              </w:rPr>
            </w:pPr>
            <w:r>
              <w:rPr>
                <w:rFonts w:ascii="Arial" w:cs="Arial" w:eastAsia="Arial" w:hAnsi="Arial"/>
                <w:sz w:val="14"/>
                <w:szCs w:val="14"/>
                <w:b w:val="1"/>
                <w:bCs w:val="1"/>
                <w:color w:val="auto"/>
                <w:w w:val="90"/>
              </w:rPr>
              <w:t>Nonaccrual—</w:t>
            </w:r>
          </w:p>
        </w:tc>
        <w:tc>
          <w:tcPr>
            <w:tcW w:w="1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160" w:type="dxa"/>
            <w:vAlign w:val="bottom"/>
          </w:tcPr>
          <w:p>
            <w:pPr>
              <w:spacing w:after="0"/>
              <w:rPr>
                <w:sz w:val="12"/>
                <w:szCs w:val="12"/>
                <w:color w:val="auto"/>
              </w:rPr>
            </w:pPr>
          </w:p>
        </w:tc>
        <w:tc>
          <w:tcPr>
            <w:tcW w:w="52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8"/>
              </w:rPr>
              <w:t>Measured at</w:t>
            </w:r>
          </w:p>
        </w:tc>
        <w:tc>
          <w:tcPr>
            <w:tcW w:w="120" w:type="dxa"/>
            <w:vAlign w:val="bottom"/>
          </w:tcPr>
          <w:p>
            <w:pPr>
              <w:spacing w:after="0"/>
              <w:rPr>
                <w:sz w:val="12"/>
                <w:szCs w:val="12"/>
                <w:color w:val="auto"/>
              </w:rPr>
            </w:pPr>
          </w:p>
        </w:tc>
        <w:tc>
          <w:tcPr>
            <w:tcW w:w="102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88"/>
              </w:rPr>
              <w:t>Measured at</w:t>
            </w:r>
          </w:p>
        </w:tc>
        <w:tc>
          <w:tcPr>
            <w:tcW w:w="2340" w:type="dxa"/>
            <w:vAlign w:val="bottom"/>
            <w:gridSpan w:val="4"/>
          </w:tcPr>
          <w:p>
            <w:pPr>
              <w:ind w:left="80"/>
              <w:spacing w:after="0" w:line="149" w:lineRule="exact"/>
              <w:rPr>
                <w:sz w:val="20"/>
                <w:szCs w:val="20"/>
                <w:color w:val="auto"/>
              </w:rPr>
            </w:pPr>
            <w:r>
              <w:rPr>
                <w:rFonts w:ascii="Arial" w:cs="Arial" w:eastAsia="Arial" w:hAnsi="Arial"/>
                <w:sz w:val="14"/>
                <w:szCs w:val="14"/>
                <w:b w:val="1"/>
                <w:bCs w:val="1"/>
                <w:color w:val="auto"/>
              </w:rPr>
              <w:t>Total Loans on</w:t>
            </w:r>
          </w:p>
        </w:tc>
        <w:tc>
          <w:tcPr>
            <w:tcW w:w="0" w:type="dxa"/>
            <w:vAlign w:val="bottom"/>
          </w:tcPr>
          <w:p>
            <w:pPr>
              <w:spacing w:after="0"/>
              <w:rPr>
                <w:sz w:val="1"/>
                <w:szCs w:val="1"/>
                <w:color w:val="auto"/>
              </w:rPr>
            </w:pPr>
          </w:p>
        </w:tc>
      </w:tr>
      <w:tr>
        <w:trPr>
          <w:trHeight w:val="161"/>
        </w:trPr>
        <w:tc>
          <w:tcPr>
            <w:tcW w:w="1160" w:type="dxa"/>
            <w:vAlign w:val="bottom"/>
          </w:tcPr>
          <w:p>
            <w:pPr>
              <w:spacing w:after="0"/>
              <w:rPr>
                <w:sz w:val="14"/>
                <w:szCs w:val="14"/>
                <w:color w:val="auto"/>
              </w:rPr>
            </w:pPr>
          </w:p>
        </w:tc>
        <w:tc>
          <w:tcPr>
            <w:tcW w:w="52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center"/>
              <w:ind w:right="21"/>
              <w:spacing w:after="0"/>
              <w:rPr>
                <w:sz w:val="20"/>
                <w:szCs w:val="20"/>
                <w:color w:val="auto"/>
              </w:rPr>
            </w:pPr>
            <w:r>
              <w:rPr>
                <w:rFonts w:ascii="Arial" w:cs="Arial" w:eastAsia="Arial" w:hAnsi="Arial"/>
                <w:sz w:val="14"/>
                <w:szCs w:val="14"/>
                <w:b w:val="1"/>
                <w:bCs w:val="1"/>
                <w:color w:val="auto"/>
                <w:w w:val="89"/>
              </w:rPr>
              <w:t>Fair Value</w:t>
            </w:r>
          </w:p>
        </w:tc>
        <w:tc>
          <w:tcPr>
            <w:tcW w:w="1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center"/>
              <w:ind w:right="40"/>
              <w:spacing w:after="0"/>
              <w:rPr>
                <w:sz w:val="20"/>
                <w:szCs w:val="20"/>
                <w:color w:val="auto"/>
              </w:rPr>
            </w:pPr>
            <w:r>
              <w:rPr>
                <w:rFonts w:ascii="Arial" w:cs="Arial" w:eastAsia="Arial" w:hAnsi="Arial"/>
                <w:sz w:val="14"/>
                <w:szCs w:val="14"/>
                <w:b w:val="1"/>
                <w:bCs w:val="1"/>
                <w:color w:val="auto"/>
              </w:rPr>
              <w:t>LOCOM</w:t>
            </w:r>
          </w:p>
        </w:tc>
        <w:tc>
          <w:tcPr>
            <w:tcW w:w="1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96"/>
              <w:spacing w:after="0"/>
              <w:rPr>
                <w:sz w:val="20"/>
                <w:szCs w:val="20"/>
                <w:color w:val="auto"/>
              </w:rPr>
            </w:pPr>
            <w:r>
              <w:rPr>
                <w:rFonts w:ascii="Arial" w:cs="Arial" w:eastAsia="Arial" w:hAnsi="Arial"/>
                <w:sz w:val="14"/>
                <w:szCs w:val="14"/>
                <w:b w:val="1"/>
                <w:bCs w:val="1"/>
                <w:color w:val="auto"/>
                <w:w w:val="91"/>
              </w:rPr>
              <w:t>Nonaccrual</w:t>
            </w:r>
          </w:p>
        </w:tc>
        <w:tc>
          <w:tcPr>
            <w:tcW w:w="130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Aggregate unpaid principal balance</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1,303</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3,217</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4,520</w:t>
            </w:r>
          </w:p>
        </w:tc>
        <w:tc>
          <w:tcPr>
            <w:tcW w:w="1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5260" w:type="dxa"/>
            <w:vAlign w:val="bottom"/>
          </w:tcPr>
          <w:p>
            <w:pPr>
              <w:spacing w:after="0"/>
              <w:rPr>
                <w:sz w:val="20"/>
                <w:szCs w:val="20"/>
                <w:color w:val="auto"/>
              </w:rPr>
            </w:pPr>
            <w:r>
              <w:rPr>
                <w:rFonts w:ascii="Arial" w:cs="Arial" w:eastAsia="Arial" w:hAnsi="Arial"/>
                <w:sz w:val="18"/>
                <w:szCs w:val="18"/>
                <w:color w:val="auto"/>
                <w:w w:val="94"/>
              </w:rPr>
              <w:t>Difference between fair value and aggregate unpaid principal balance</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(526)</w:t>
            </w:r>
          </w:p>
        </w:tc>
        <w:tc>
          <w:tcPr>
            <w:tcW w:w="12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(526)</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Lower of cost or market valuation allowance</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(1,848)</w:t>
            </w: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(1,848)</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1160" w:type="dxa"/>
            <w:vAlign w:val="bottom"/>
          </w:tcPr>
          <w:p>
            <w:pPr>
              <w:spacing w:after="0"/>
              <w:rPr>
                <w:sz w:val="19"/>
                <w:szCs w:val="19"/>
                <w:color w:val="auto"/>
              </w:rPr>
            </w:pPr>
          </w:p>
        </w:tc>
        <w:tc>
          <w:tcPr>
            <w:tcW w:w="5260" w:type="dxa"/>
            <w:vAlign w:val="bottom"/>
          </w:tcPr>
          <w:p>
            <w:pPr>
              <w:spacing w:after="0"/>
              <w:rPr>
                <w:sz w:val="20"/>
                <w:szCs w:val="20"/>
                <w:color w:val="auto"/>
              </w:rPr>
            </w:pPr>
            <w:r>
              <w:rPr>
                <w:rFonts w:ascii="Arial" w:cs="Arial" w:eastAsia="Arial" w:hAnsi="Arial"/>
                <w:sz w:val="18"/>
                <w:szCs w:val="18"/>
                <w:color w:val="auto"/>
              </w:rPr>
              <w:t>Deferred loan fees, net of costs</w:t>
            </w: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(9)</w:t>
            </w:r>
          </w:p>
        </w:tc>
        <w:tc>
          <w:tcPr>
            <w:tcW w:w="140" w:type="dxa"/>
            <w:vAlign w:val="bottom"/>
          </w:tcPr>
          <w:p>
            <w:pPr>
              <w:spacing w:after="0"/>
              <w:rPr>
                <w:sz w:val="19"/>
                <w:szCs w:val="19"/>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(9)</w:t>
            </w: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1160" w:type="dxa"/>
            <w:vAlign w:val="bottom"/>
          </w:tcPr>
          <w:p>
            <w:pPr>
              <w:spacing w:after="0" w:line="20" w:lineRule="exact"/>
              <w:rPr>
                <w:sz w:val="1"/>
                <w:szCs w:val="1"/>
                <w:color w:val="auto"/>
              </w:rPr>
            </w:pPr>
          </w:p>
        </w:tc>
        <w:tc>
          <w:tcPr>
            <w:tcW w:w="52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Loans on nonaccrual</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777</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1,360</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2,137</w:t>
            </w:r>
          </w:p>
        </w:tc>
        <w:tc>
          <w:tcPr>
            <w:tcW w:w="1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6420" w:type="dxa"/>
            <w:vAlign w:val="bottom"/>
            <w:gridSpan w:val="2"/>
            <w:vMerge w:val="restart"/>
          </w:tcPr>
          <w:p>
            <w:pPr>
              <w:jc w:val="right"/>
              <w:ind w:right="532"/>
              <w:spacing w:after="0"/>
              <w:rPr>
                <w:sz w:val="20"/>
                <w:szCs w:val="20"/>
                <w:color w:val="auto"/>
              </w:rPr>
            </w:pPr>
            <w:r>
              <w:rPr>
                <w:rFonts w:ascii="Arial" w:cs="Arial" w:eastAsia="Arial" w:hAnsi="Arial"/>
                <w:sz w:val="18"/>
                <w:szCs w:val="18"/>
                <w:color w:val="auto"/>
              </w:rPr>
              <w:t>30</w:t>
            </w:r>
          </w:p>
        </w:tc>
        <w:tc>
          <w:tcPr>
            <w:tcW w:w="4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6420" w:type="dxa"/>
            <w:vAlign w:val="bottom"/>
            <w:gridSpan w:val="2"/>
            <w:vMerge w:val="continu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1"/>
        </w:trPr>
        <w:tc>
          <w:tcPr>
            <w:tcW w:w="6420" w:type="dxa"/>
            <w:vAlign w:val="bottom"/>
            <w:gridSpan w:val="2"/>
            <w:vMerge w:val="continue"/>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1160" w:type="dxa"/>
            <w:vAlign w:val="bottom"/>
            <w:tcBorders>
              <w:bottom w:val="single" w:sz="8" w:color="808080"/>
            </w:tcBorders>
          </w:tcPr>
          <w:p>
            <w:pPr>
              <w:spacing w:after="0"/>
              <w:rPr>
                <w:sz w:val="19"/>
                <w:szCs w:val="19"/>
                <w:color w:val="auto"/>
              </w:rPr>
            </w:pPr>
          </w:p>
        </w:tc>
        <w:tc>
          <w:tcPr>
            <w:tcW w:w="5260" w:type="dxa"/>
            <w:vAlign w:val="bottom"/>
            <w:tcBorders>
              <w:bottom w:val="single" w:sz="8" w:color="808080"/>
            </w:tcBorders>
          </w:tcPr>
          <w:p>
            <w:pPr>
              <w:spacing w:after="0"/>
              <w:rPr>
                <w:sz w:val="19"/>
                <w:szCs w:val="19"/>
                <w:color w:val="auto"/>
              </w:rPr>
            </w:pPr>
          </w:p>
        </w:tc>
        <w:tc>
          <w:tcPr>
            <w:tcW w:w="40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86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86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90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14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1" w:name="page32"/>
    <w:bookmarkEnd w:id="3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TREE.COM, INC. AND SUBSIDIARIES</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10—ORIGINATION AND SALE OF LOANS, LOANS HELD FOR SALE AND LOAN LOSS OBLIGATIONS (Continued)</w:t>
      </w:r>
    </w:p>
    <w:p>
      <w:pPr>
        <w:spacing w:after="0" w:line="231" w:lineRule="exact"/>
        <w:rPr>
          <w:sz w:val="20"/>
          <w:szCs w:val="20"/>
          <w:color w:val="auto"/>
        </w:rPr>
      </w:pPr>
    </w:p>
    <w:p>
      <w:pPr>
        <w:ind w:right="100" w:firstLine="351"/>
        <w:spacing w:after="0" w:line="256" w:lineRule="auto"/>
        <w:rPr>
          <w:sz w:val="20"/>
          <w:szCs w:val="20"/>
          <w:color w:val="auto"/>
        </w:rPr>
      </w:pPr>
      <w:r>
        <w:rPr>
          <w:rFonts w:ascii="Arial" w:cs="Arial" w:eastAsia="Arial" w:hAnsi="Arial"/>
          <w:sz w:val="18"/>
          <w:szCs w:val="18"/>
          <w:color w:val="auto"/>
        </w:rPr>
        <w:t>Included within the loans on nonaccrual status are repurchased loans with a net book value of $0.5 million and $0.7 million at September 30, 2010 and December 31, 2009, respectively. During the three months ended September 30, 2010, LendingTree did not repurchase any loans. During the nine months ended September 30, 2010, LendingTree repurchased one loan with a balance of $0.3 million. During the three and nine months ended September 30, 2009, LendingTree Loans repurchased one loan with a balance of $0.1 million.</w:t>
      </w:r>
    </w:p>
    <w:p>
      <w:pPr>
        <w:spacing w:after="0" w:line="197" w:lineRule="exact"/>
        <w:rPr>
          <w:sz w:val="20"/>
          <w:szCs w:val="20"/>
          <w:color w:val="auto"/>
        </w:rPr>
      </w:pPr>
    </w:p>
    <w:p>
      <w:pPr>
        <w:ind w:right="240" w:firstLine="351"/>
        <w:spacing w:after="0" w:line="332" w:lineRule="auto"/>
        <w:rPr>
          <w:sz w:val="20"/>
          <w:szCs w:val="20"/>
          <w:color w:val="auto"/>
        </w:rPr>
      </w:pPr>
      <w:r>
        <w:rPr>
          <w:rFonts w:ascii="Arial" w:cs="Arial" w:eastAsia="Arial" w:hAnsi="Arial"/>
          <w:sz w:val="16"/>
          <w:szCs w:val="16"/>
          <w:color w:val="auto"/>
        </w:rPr>
        <w:t>Real estate properties acquired in satisfaction of loans totaled $0.1 million and $0.9 million, net of estimated selling expenses, at September 30, 2010 and December 31, 2009, respectively. This amount is included in prepaid and other current assets in the accompanying consolidated balance sheet.</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Loan Loss Obligations</w:t>
      </w:r>
    </w:p>
    <w:p>
      <w:pPr>
        <w:spacing w:after="0" w:line="231" w:lineRule="exact"/>
        <w:rPr>
          <w:sz w:val="20"/>
          <w:szCs w:val="20"/>
          <w:color w:val="auto"/>
        </w:rPr>
      </w:pPr>
    </w:p>
    <w:p>
      <w:pPr>
        <w:ind w:firstLine="351"/>
        <w:spacing w:after="0" w:line="254" w:lineRule="auto"/>
        <w:rPr>
          <w:sz w:val="20"/>
          <w:szCs w:val="20"/>
          <w:color w:val="auto"/>
        </w:rPr>
      </w:pPr>
      <w:r>
        <w:rPr>
          <w:rFonts w:ascii="Arial" w:cs="Arial" w:eastAsia="Arial" w:hAnsi="Arial"/>
          <w:sz w:val="18"/>
          <w:szCs w:val="18"/>
          <w:color w:val="auto"/>
        </w:rPr>
        <w:t>LendingTree Loans sells loans it originates to investors on a servicing released basis so the risk of loss or default by the borrower is generally transferred to the investor. However, LendingTree Loans is required by these investors to make certain representations relating to credit information, loan documentation and collateral. These representations and warranties may extend through the contractual life of the mortgage loan. Subsequent to the sale, if underwriting deficiencies, borrower fraud or documentation defects are discovered in individual mortgage loans, LendingTree Loans may be obligated to repurchase the respective mortgage loan or indemnify the investors for any losses from borrower defaults if such deficiency or defect cannot be cured within the specified period following discovery.</w:t>
      </w:r>
    </w:p>
    <w:p>
      <w:pPr>
        <w:spacing w:after="0" w:line="198" w:lineRule="exact"/>
        <w:rPr>
          <w:sz w:val="20"/>
          <w:szCs w:val="20"/>
          <w:color w:val="auto"/>
        </w:rPr>
      </w:pPr>
    </w:p>
    <w:p>
      <w:pPr>
        <w:ind w:right="40" w:firstLine="351"/>
        <w:spacing w:after="0" w:line="259" w:lineRule="auto"/>
        <w:rPr>
          <w:sz w:val="20"/>
          <w:szCs w:val="20"/>
          <w:color w:val="auto"/>
        </w:rPr>
      </w:pPr>
      <w:r>
        <w:rPr>
          <w:rFonts w:ascii="Arial" w:cs="Arial" w:eastAsia="Arial" w:hAnsi="Arial"/>
          <w:sz w:val="18"/>
          <w:szCs w:val="18"/>
          <w:color w:val="auto"/>
        </w:rPr>
        <w:t>In the case of early loan payoffs, which occurs when a borrower prepays a loan prior to the end of a specified period, LendingTree Loans may be required to repay all or a portion of the premium initially paid by the investor. The estimated obligation associated with early loan payoffs is calculated based on historical loss experience by type of loan.</w:t>
      </w:r>
    </w:p>
    <w:p>
      <w:pPr>
        <w:spacing w:after="0" w:line="194" w:lineRule="exact"/>
        <w:rPr>
          <w:sz w:val="20"/>
          <w:szCs w:val="20"/>
          <w:color w:val="auto"/>
        </w:rPr>
      </w:pPr>
    </w:p>
    <w:p>
      <w:pPr>
        <w:ind w:firstLine="348"/>
        <w:spacing w:after="0" w:line="286" w:lineRule="auto"/>
        <w:rPr>
          <w:sz w:val="20"/>
          <w:szCs w:val="20"/>
          <w:color w:val="auto"/>
        </w:rPr>
      </w:pPr>
      <w:r>
        <w:rPr>
          <w:rFonts w:ascii="Arial" w:cs="Arial" w:eastAsia="Arial" w:hAnsi="Arial"/>
          <w:sz w:val="16"/>
          <w:szCs w:val="16"/>
          <w:color w:val="auto"/>
        </w:rPr>
        <w:t>The obligation for losses related to the representations and warranties and other provisions discussed above is initially recorded at its estimated fair value, which includes a projection of expected future losses as well as a market based premium. Because LendingTree Loans does not service the loans it sells, it does not maintain nor have access to the current balances and loan performance data with respect to the individual loans previously sold to investors. Accordingly, the Company is unable to determine, with precision, its maximum exposure under its representations and warranties. However, LendingTree Loans utilizes the original loan balance (before it was sold to an investor), historical and projected loss frequency and loss severity ratios by loan type as well as analyses of losses in process to estimate its exposure to losses on loans previously sold. The Company maintains a liability related to this exposure based, in part, on historical and projected loss frequency and loss severity using its loan loss history (adjusted for recent trends in loan loss experience), the original principal amount of the loans previously sold, the year the loans were sold, and loan type. Accordingly, subsequent adjustments to the obligation, if any, are not made based on changes in the fair value of the obligation, which might include an estimated change in losses that may be expected in the future, but are made once further losses are estimated to be both probable and estimable. As such, given current general industry trends in mortgage loans as well as housing prices, market expectations around losses related to the Company's obligations could vary significantly from the obligation recorded as of the balance sheet date or the range estimated below. In estimating its exposure to loan losses, LendingTree Loans categorizes</w:t>
      </w:r>
    </w:p>
    <w:p>
      <w:pPr>
        <w:spacing w:after="0" w:line="17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32" w:name="page33"/>
    <w:bookmarkEnd w:id="3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TREE.COM, INC. AND SUBSIDIARIES</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10—ORIGINATION AND SALE OF LOANS, LOANS HELD FOR SALE AND LOAN LOSS OBLIGATIONS (Continued)</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its loan sales into four types based on the extent of the documentation provided by the borrower to substantiate income and/or assets (full or limited documentation) and the lien position of the mortgage in the underling property (first or second position). Each of these loan types has a different loss experience with full documentation, first lien position loans generally having the lowest loss ratios and limited documentation, second lien position loans generally having the highest loss ratios.</w:t>
      </w:r>
    </w:p>
    <w:p>
      <w:pPr>
        <w:spacing w:after="0" w:line="197"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following table represents the loans sold for the period shown and the aggregate loan losses through September 30, 2010:</w:t>
      </w:r>
    </w:p>
    <w:p>
      <w:pPr>
        <w:spacing w:after="0" w:line="275"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3060" w:type="dxa"/>
            <w:vAlign w:val="bottom"/>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2000" w:type="dxa"/>
            <w:vAlign w:val="bottom"/>
            <w:tcBorders>
              <w:bottom w:val="single" w:sz="8" w:color="auto"/>
            </w:tcBorders>
            <w:gridSpan w:val="5"/>
          </w:tcPr>
          <w:p>
            <w:pPr>
              <w:jc w:val="right"/>
              <w:ind w:right="462"/>
              <w:spacing w:after="0"/>
              <w:rPr>
                <w:sz w:val="20"/>
                <w:szCs w:val="20"/>
                <w:color w:val="auto"/>
              </w:rPr>
            </w:pPr>
            <w:r>
              <w:rPr>
                <w:rFonts w:ascii="Arial" w:cs="Arial" w:eastAsia="Arial" w:hAnsi="Arial"/>
                <w:sz w:val="14"/>
                <w:szCs w:val="14"/>
                <w:b w:val="1"/>
                <w:bCs w:val="1"/>
                <w:color w:val="auto"/>
                <w:w w:val="84"/>
              </w:rPr>
              <w:t>As of September 30, 2010</w:t>
            </w:r>
          </w:p>
        </w:tc>
        <w:tc>
          <w:tcPr>
            <w:tcW w:w="1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r>
      <w:tr>
        <w:trPr>
          <w:trHeight w:val="129"/>
        </w:trPr>
        <w:tc>
          <w:tcPr>
            <w:tcW w:w="2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30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jc w:val="center"/>
              <w:ind w:right="42"/>
              <w:spacing w:after="0" w:line="129" w:lineRule="exact"/>
              <w:rPr>
                <w:sz w:val="20"/>
                <w:szCs w:val="20"/>
                <w:color w:val="auto"/>
              </w:rPr>
            </w:pPr>
            <w:r>
              <w:rPr>
                <w:rFonts w:ascii="Arial" w:cs="Arial" w:eastAsia="Arial" w:hAnsi="Arial"/>
                <w:sz w:val="14"/>
                <w:szCs w:val="14"/>
                <w:b w:val="1"/>
                <w:bCs w:val="1"/>
                <w:color w:val="auto"/>
                <w:w w:val="90"/>
              </w:rPr>
              <w:t>Original</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60" w:type="dxa"/>
            <w:vAlign w:val="bottom"/>
          </w:tcPr>
          <w:p>
            <w:pPr>
              <w:spacing w:after="0"/>
              <w:rPr>
                <w:sz w:val="11"/>
                <w:szCs w:val="11"/>
                <w:color w:val="auto"/>
              </w:rPr>
            </w:pPr>
          </w:p>
        </w:tc>
      </w:tr>
      <w:tr>
        <w:trPr>
          <w:trHeight w:val="149"/>
        </w:trPr>
        <w:tc>
          <w:tcPr>
            <w:tcW w:w="2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30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jc w:val="center"/>
              <w:ind w:right="42"/>
              <w:spacing w:after="0" w:line="149" w:lineRule="exact"/>
              <w:rPr>
                <w:sz w:val="20"/>
                <w:szCs w:val="20"/>
                <w:color w:val="auto"/>
              </w:rPr>
            </w:pPr>
            <w:r>
              <w:rPr>
                <w:rFonts w:ascii="Arial" w:cs="Arial" w:eastAsia="Arial" w:hAnsi="Arial"/>
                <w:sz w:val="14"/>
                <w:szCs w:val="14"/>
                <w:b w:val="1"/>
                <w:bCs w:val="1"/>
                <w:color w:val="auto"/>
                <w:w w:val="89"/>
              </w:rPr>
              <w:t>principal</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3060" w:type="dxa"/>
            <w:vAlign w:val="bottom"/>
          </w:tcPr>
          <w:p>
            <w:pPr>
              <w:spacing w:after="0"/>
              <w:rPr>
                <w:sz w:val="12"/>
                <w:szCs w:val="12"/>
                <w:color w:val="auto"/>
              </w:rPr>
            </w:pPr>
          </w:p>
        </w:tc>
        <w:tc>
          <w:tcPr>
            <w:tcW w:w="7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Number</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gridSpan w:val="2"/>
          </w:tcPr>
          <w:p>
            <w:pPr>
              <w:jc w:val="center"/>
              <w:ind w:right="192"/>
              <w:spacing w:after="0" w:line="149" w:lineRule="exact"/>
              <w:rPr>
                <w:sz w:val="20"/>
                <w:szCs w:val="20"/>
                <w:color w:val="auto"/>
              </w:rPr>
            </w:pPr>
            <w:r>
              <w:rPr>
                <w:rFonts w:ascii="Arial" w:cs="Arial" w:eastAsia="Arial" w:hAnsi="Arial"/>
                <w:sz w:val="14"/>
                <w:szCs w:val="14"/>
                <w:b w:val="1"/>
                <w:bCs w:val="1"/>
                <w:color w:val="auto"/>
                <w:w w:val="94"/>
              </w:rPr>
              <w:t>Original</w:t>
            </w:r>
          </w:p>
        </w:tc>
        <w:tc>
          <w:tcPr>
            <w:tcW w:w="7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Number of</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jc w:val="center"/>
              <w:ind w:right="22"/>
              <w:spacing w:after="0" w:line="149" w:lineRule="exact"/>
              <w:rPr>
                <w:sz w:val="20"/>
                <w:szCs w:val="20"/>
                <w:color w:val="auto"/>
              </w:rPr>
            </w:pPr>
            <w:r>
              <w:rPr>
                <w:rFonts w:ascii="Arial" w:cs="Arial" w:eastAsia="Arial" w:hAnsi="Arial"/>
                <w:sz w:val="14"/>
                <w:szCs w:val="14"/>
                <w:b w:val="1"/>
                <w:bCs w:val="1"/>
                <w:color w:val="auto"/>
                <w:w w:val="83"/>
              </w:rPr>
              <w:t>balance of</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8"/>
              </w:rPr>
              <w:t>Amount of</w:t>
            </w:r>
          </w:p>
        </w:tc>
      </w:tr>
      <w:tr>
        <w:trPr>
          <w:trHeight w:val="149"/>
        </w:trPr>
        <w:tc>
          <w:tcPr>
            <w:tcW w:w="2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3060" w:type="dxa"/>
            <w:vAlign w:val="bottom"/>
          </w:tcPr>
          <w:p>
            <w:pPr>
              <w:spacing w:after="0"/>
              <w:rPr>
                <w:sz w:val="12"/>
                <w:szCs w:val="12"/>
                <w:color w:val="auto"/>
              </w:rPr>
            </w:pPr>
          </w:p>
        </w:tc>
        <w:tc>
          <w:tcPr>
            <w:tcW w:w="7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of loans</w:t>
            </w:r>
          </w:p>
        </w:tc>
        <w:tc>
          <w:tcPr>
            <w:tcW w:w="160" w:type="dxa"/>
            <w:vAlign w:val="bottom"/>
          </w:tcPr>
          <w:p>
            <w:pPr>
              <w:spacing w:after="0"/>
              <w:rPr>
                <w:sz w:val="12"/>
                <w:szCs w:val="12"/>
                <w:color w:val="auto"/>
              </w:rPr>
            </w:pPr>
          </w:p>
        </w:tc>
        <w:tc>
          <w:tcPr>
            <w:tcW w:w="860" w:type="dxa"/>
            <w:vAlign w:val="bottom"/>
            <w:gridSpan w:val="3"/>
          </w:tcPr>
          <w:p>
            <w:pPr>
              <w:jc w:val="center"/>
              <w:ind w:right="112"/>
              <w:spacing w:after="0" w:line="149" w:lineRule="exact"/>
              <w:rPr>
                <w:sz w:val="20"/>
                <w:szCs w:val="20"/>
                <w:color w:val="auto"/>
              </w:rPr>
            </w:pPr>
            <w:r>
              <w:rPr>
                <w:rFonts w:ascii="Arial" w:cs="Arial" w:eastAsia="Arial" w:hAnsi="Arial"/>
                <w:sz w:val="14"/>
                <w:szCs w:val="14"/>
                <w:b w:val="1"/>
                <w:bCs w:val="1"/>
                <w:color w:val="auto"/>
                <w:w w:val="89"/>
              </w:rPr>
              <w:t>principal</w:t>
            </w:r>
          </w:p>
        </w:tc>
        <w:tc>
          <w:tcPr>
            <w:tcW w:w="7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loans with</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jc w:val="center"/>
              <w:ind w:right="22"/>
              <w:spacing w:after="0" w:line="149" w:lineRule="exact"/>
              <w:rPr>
                <w:sz w:val="20"/>
                <w:szCs w:val="20"/>
                <w:color w:val="auto"/>
              </w:rPr>
            </w:pPr>
            <w:r>
              <w:rPr>
                <w:rFonts w:ascii="Arial" w:cs="Arial" w:eastAsia="Arial" w:hAnsi="Arial"/>
                <w:sz w:val="14"/>
                <w:szCs w:val="14"/>
                <w:b w:val="1"/>
                <w:bCs w:val="1"/>
                <w:color w:val="auto"/>
                <w:w w:val="84"/>
              </w:rPr>
              <w:t>loans with</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3"/>
              </w:rPr>
              <w:t>aggregate</w:t>
            </w:r>
          </w:p>
        </w:tc>
      </w:tr>
      <w:tr>
        <w:trPr>
          <w:trHeight w:val="161"/>
        </w:trPr>
        <w:tc>
          <w:tcPr>
            <w:tcW w:w="4400" w:type="dxa"/>
            <w:vAlign w:val="bottom"/>
            <w:gridSpan w:val="3"/>
          </w:tcPr>
          <w:p>
            <w:pPr>
              <w:spacing w:after="0"/>
              <w:rPr>
                <w:sz w:val="20"/>
                <w:szCs w:val="20"/>
                <w:color w:val="auto"/>
              </w:rPr>
            </w:pPr>
            <w:r>
              <w:rPr>
                <w:rFonts w:ascii="Arial" w:cs="Arial" w:eastAsia="Arial" w:hAnsi="Arial"/>
                <w:sz w:val="14"/>
                <w:szCs w:val="14"/>
                <w:b w:val="1"/>
                <w:bCs w:val="1"/>
                <w:color w:val="auto"/>
              </w:rPr>
              <w:t>Period of Loan Sales</w:t>
            </w:r>
          </w:p>
        </w:tc>
        <w:tc>
          <w:tcPr>
            <w:tcW w:w="700" w:type="dxa"/>
            <w:vAlign w:val="bottom"/>
          </w:tcPr>
          <w:p>
            <w:pPr>
              <w:jc w:val="center"/>
              <w:spacing w:after="0"/>
              <w:rPr>
                <w:sz w:val="20"/>
                <w:szCs w:val="20"/>
                <w:color w:val="auto"/>
              </w:rPr>
            </w:pPr>
            <w:r>
              <w:rPr>
                <w:rFonts w:ascii="Arial" w:cs="Arial" w:eastAsia="Arial" w:hAnsi="Arial"/>
                <w:sz w:val="14"/>
                <w:szCs w:val="14"/>
                <w:b w:val="1"/>
                <w:bCs w:val="1"/>
                <w:color w:val="auto"/>
                <w:w w:val="76"/>
              </w:rPr>
              <w:t>sold</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gridSpan w:val="2"/>
          </w:tcPr>
          <w:p>
            <w:pPr>
              <w:jc w:val="center"/>
              <w:ind w:right="212"/>
              <w:spacing w:after="0"/>
              <w:rPr>
                <w:sz w:val="20"/>
                <w:szCs w:val="20"/>
                <w:color w:val="auto"/>
              </w:rPr>
            </w:pPr>
            <w:r>
              <w:rPr>
                <w:rFonts w:ascii="Arial" w:cs="Arial" w:eastAsia="Arial" w:hAnsi="Arial"/>
                <w:sz w:val="14"/>
                <w:szCs w:val="14"/>
                <w:b w:val="1"/>
                <w:bCs w:val="1"/>
                <w:color w:val="auto"/>
                <w:w w:val="84"/>
              </w:rPr>
              <w:t>balance</w:t>
            </w:r>
          </w:p>
        </w:tc>
        <w:tc>
          <w:tcPr>
            <w:tcW w:w="780" w:type="dxa"/>
            <w:vAlign w:val="bottom"/>
          </w:tcPr>
          <w:p>
            <w:pPr>
              <w:jc w:val="center"/>
              <w:spacing w:after="0"/>
              <w:rPr>
                <w:sz w:val="20"/>
                <w:szCs w:val="20"/>
                <w:color w:val="auto"/>
              </w:rPr>
            </w:pPr>
            <w:r>
              <w:rPr>
                <w:rFonts w:ascii="Arial" w:cs="Arial" w:eastAsia="Arial" w:hAnsi="Arial"/>
                <w:sz w:val="14"/>
                <w:szCs w:val="14"/>
                <w:b w:val="1"/>
                <w:bCs w:val="1"/>
                <w:color w:val="auto"/>
                <w:w w:val="73"/>
              </w:rPr>
              <w:t>losses</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jc w:val="center"/>
              <w:ind w:right="42"/>
              <w:spacing w:after="0"/>
              <w:rPr>
                <w:sz w:val="20"/>
                <w:szCs w:val="20"/>
                <w:color w:val="auto"/>
              </w:rPr>
            </w:pPr>
            <w:r>
              <w:rPr>
                <w:rFonts w:ascii="Arial" w:cs="Arial" w:eastAsia="Arial" w:hAnsi="Arial"/>
                <w:sz w:val="14"/>
                <w:szCs w:val="14"/>
                <w:b w:val="1"/>
                <w:bCs w:val="1"/>
                <w:color w:val="auto"/>
                <w:w w:val="73"/>
              </w:rPr>
              <w:t>losses</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73"/>
              </w:rPr>
              <w:t>losses</w:t>
            </w:r>
          </w:p>
        </w:tc>
      </w:tr>
      <w:tr>
        <w:trPr>
          <w:trHeight w:val="142"/>
        </w:trPr>
        <w:tc>
          <w:tcPr>
            <w:tcW w:w="20" w:type="dxa"/>
            <w:vAlign w:val="bottom"/>
          </w:tcPr>
          <w:p>
            <w:pPr>
              <w:spacing w:after="0"/>
              <w:rPr>
                <w:sz w:val="12"/>
                <w:szCs w:val="12"/>
                <w:color w:val="auto"/>
              </w:rPr>
            </w:pPr>
          </w:p>
        </w:tc>
        <w:tc>
          <w:tcPr>
            <w:tcW w:w="1320" w:type="dxa"/>
            <w:vAlign w:val="bottom"/>
            <w:tcBorders>
              <w:top w:val="single" w:sz="8" w:color="auto"/>
            </w:tcBorders>
          </w:tcPr>
          <w:p>
            <w:pPr>
              <w:spacing w:after="0"/>
              <w:rPr>
                <w:sz w:val="12"/>
                <w:szCs w:val="12"/>
                <w:color w:val="auto"/>
              </w:rPr>
            </w:pPr>
          </w:p>
        </w:tc>
        <w:tc>
          <w:tcPr>
            <w:tcW w:w="3060" w:type="dxa"/>
            <w:vAlign w:val="bottom"/>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w w:val="90"/>
              </w:rPr>
              <w:t>(in billions)</w:t>
            </w:r>
          </w:p>
        </w:tc>
        <w:tc>
          <w:tcPr>
            <w:tcW w:w="160" w:type="dxa"/>
            <w:vAlign w:val="bottom"/>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jc w:val="center"/>
              <w:ind w:right="22"/>
              <w:spacing w:after="0" w:line="142" w:lineRule="exact"/>
              <w:rPr>
                <w:sz w:val="20"/>
                <w:szCs w:val="20"/>
                <w:color w:val="auto"/>
              </w:rPr>
            </w:pPr>
            <w:r>
              <w:rPr>
                <w:rFonts w:ascii="Arial" w:cs="Arial" w:eastAsia="Arial" w:hAnsi="Arial"/>
                <w:sz w:val="14"/>
                <w:szCs w:val="14"/>
                <w:b w:val="1"/>
                <w:bCs w:val="1"/>
                <w:color w:val="auto"/>
                <w:w w:val="89"/>
              </w:rPr>
              <w:t>(in millions)</w:t>
            </w:r>
          </w:p>
        </w:tc>
        <w:tc>
          <w:tcPr>
            <w:tcW w:w="16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jc w:val="center"/>
              <w:ind w:right="20"/>
              <w:spacing w:after="0" w:line="142" w:lineRule="exact"/>
              <w:rPr>
                <w:sz w:val="20"/>
                <w:szCs w:val="20"/>
                <w:color w:val="auto"/>
              </w:rPr>
            </w:pPr>
            <w:r>
              <w:rPr>
                <w:rFonts w:ascii="Arial" w:cs="Arial" w:eastAsia="Arial" w:hAnsi="Arial"/>
                <w:sz w:val="14"/>
                <w:szCs w:val="14"/>
                <w:b w:val="1"/>
                <w:bCs w:val="1"/>
                <w:color w:val="auto"/>
                <w:w w:val="86"/>
              </w:rPr>
              <w:t>(in millions)</w:t>
            </w:r>
          </w:p>
        </w:tc>
        <w:tc>
          <w:tcPr>
            <w:tcW w:w="160" w:type="dxa"/>
            <w:vAlign w:val="bottom"/>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4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Nine months ended September 30, 2010</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8,500</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1320" w:type="dxa"/>
            <w:vAlign w:val="bottom"/>
          </w:tcPr>
          <w:p>
            <w:pPr>
              <w:spacing w:after="0"/>
              <w:rPr>
                <w:sz w:val="20"/>
                <w:szCs w:val="20"/>
                <w:color w:val="auto"/>
              </w:rPr>
            </w:pPr>
            <w:r>
              <w:rPr>
                <w:rFonts w:ascii="Arial" w:cs="Arial" w:eastAsia="Arial" w:hAnsi="Arial"/>
                <w:sz w:val="18"/>
                <w:szCs w:val="18"/>
                <w:color w:val="auto"/>
              </w:rPr>
              <w:t>2009</w:t>
            </w:r>
          </w:p>
        </w:tc>
        <w:tc>
          <w:tcPr>
            <w:tcW w:w="30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12,800</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2.8</w:t>
            </w: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0.8</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0.1</w:t>
            </w: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320" w:type="dxa"/>
            <w:vAlign w:val="bottom"/>
            <w:shd w:val="clear" w:color="auto" w:fill="CCEEFF"/>
          </w:tcPr>
          <w:p>
            <w:pPr>
              <w:spacing w:after="0"/>
              <w:rPr>
                <w:sz w:val="20"/>
                <w:szCs w:val="20"/>
                <w:color w:val="auto"/>
              </w:rPr>
            </w:pPr>
            <w:r>
              <w:rPr>
                <w:rFonts w:ascii="Arial" w:cs="Arial" w:eastAsia="Arial" w:hAnsi="Arial"/>
                <w:sz w:val="18"/>
                <w:szCs w:val="18"/>
                <w:color w:val="auto"/>
              </w:rPr>
              <w:t>2008</w:t>
            </w:r>
          </w:p>
        </w:tc>
        <w:tc>
          <w:tcPr>
            <w:tcW w:w="30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11,000</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320" w:type="dxa"/>
            <w:vAlign w:val="bottom"/>
          </w:tcPr>
          <w:p>
            <w:pPr>
              <w:spacing w:after="0"/>
              <w:rPr>
                <w:sz w:val="20"/>
                <w:szCs w:val="20"/>
                <w:color w:val="auto"/>
              </w:rPr>
            </w:pPr>
            <w:r>
              <w:rPr>
                <w:rFonts w:ascii="Arial" w:cs="Arial" w:eastAsia="Arial" w:hAnsi="Arial"/>
                <w:sz w:val="18"/>
                <w:szCs w:val="18"/>
                <w:color w:val="auto"/>
              </w:rPr>
              <w:t>2007</w:t>
            </w:r>
          </w:p>
        </w:tc>
        <w:tc>
          <w:tcPr>
            <w:tcW w:w="30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36,300</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6.1</w:t>
            </w: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137</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17.9</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6.1</w:t>
            </w: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320" w:type="dxa"/>
            <w:vAlign w:val="bottom"/>
            <w:shd w:val="clear" w:color="auto" w:fill="CCEEFF"/>
          </w:tcPr>
          <w:p>
            <w:pPr>
              <w:spacing w:after="0"/>
              <w:rPr>
                <w:sz w:val="20"/>
                <w:szCs w:val="20"/>
                <w:color w:val="auto"/>
              </w:rPr>
            </w:pPr>
            <w:r>
              <w:rPr>
                <w:rFonts w:ascii="Arial" w:cs="Arial" w:eastAsia="Arial" w:hAnsi="Arial"/>
                <w:sz w:val="18"/>
                <w:szCs w:val="18"/>
                <w:color w:val="auto"/>
              </w:rPr>
              <w:t>2006</w:t>
            </w:r>
          </w:p>
        </w:tc>
        <w:tc>
          <w:tcPr>
            <w:tcW w:w="30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55,000</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w:t>
            </w: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21.9</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w:t>
            </w:r>
          </w:p>
        </w:tc>
        <w:tc>
          <w:tcPr>
            <w:tcW w:w="160" w:type="dxa"/>
            <w:vAlign w:val="bottom"/>
            <w:shd w:val="clear" w:color="auto" w:fill="CCEEFF"/>
          </w:tcPr>
          <w:p>
            <w:pPr>
              <w:spacing w:after="0"/>
              <w:rPr>
                <w:sz w:val="18"/>
                <w:szCs w:val="18"/>
                <w:color w:val="auto"/>
              </w:rPr>
            </w:pPr>
          </w:p>
        </w:tc>
      </w:tr>
      <w:tr>
        <w:trPr>
          <w:trHeight w:val="222"/>
        </w:trPr>
        <w:tc>
          <w:tcPr>
            <w:tcW w:w="20" w:type="dxa"/>
            <w:vAlign w:val="bottom"/>
          </w:tcPr>
          <w:p>
            <w:pPr>
              <w:spacing w:after="0"/>
              <w:rPr>
                <w:sz w:val="19"/>
                <w:szCs w:val="19"/>
                <w:color w:val="auto"/>
              </w:rPr>
            </w:pPr>
          </w:p>
        </w:tc>
        <w:tc>
          <w:tcPr>
            <w:tcW w:w="4380" w:type="dxa"/>
            <w:vAlign w:val="bottom"/>
            <w:gridSpan w:val="2"/>
          </w:tcPr>
          <w:p>
            <w:pPr>
              <w:spacing w:after="0"/>
              <w:rPr>
                <w:sz w:val="20"/>
                <w:szCs w:val="20"/>
                <w:color w:val="auto"/>
              </w:rPr>
            </w:pPr>
            <w:r>
              <w:rPr>
                <w:rFonts w:ascii="Arial" w:cs="Arial" w:eastAsia="Arial" w:hAnsi="Arial"/>
                <w:sz w:val="18"/>
                <w:szCs w:val="18"/>
                <w:color w:val="auto"/>
              </w:rPr>
              <w:t>2005 and prior years</w:t>
            </w:r>
          </w:p>
        </w:tc>
        <w:tc>
          <w:tcPr>
            <w:tcW w:w="700" w:type="dxa"/>
            <w:vAlign w:val="bottom"/>
          </w:tcPr>
          <w:p>
            <w:pPr>
              <w:jc w:val="right"/>
              <w:spacing w:after="0"/>
              <w:rPr>
                <w:sz w:val="20"/>
                <w:szCs w:val="20"/>
                <w:color w:val="auto"/>
              </w:rPr>
            </w:pPr>
            <w:r>
              <w:rPr>
                <w:rFonts w:ascii="Arial" w:cs="Arial" w:eastAsia="Arial" w:hAnsi="Arial"/>
                <w:sz w:val="18"/>
                <w:szCs w:val="18"/>
                <w:color w:val="auto"/>
              </w:rPr>
              <w:t>86,700</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13.0</w:t>
            </w:r>
          </w:p>
        </w:tc>
        <w:tc>
          <w:tcPr>
            <w:tcW w:w="1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86</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11.6</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4.6</w:t>
            </w:r>
          </w:p>
        </w:tc>
        <w:tc>
          <w:tcPr>
            <w:tcW w:w="160" w:type="dxa"/>
            <w:vAlign w:val="bottom"/>
          </w:tcPr>
          <w:p>
            <w:pPr>
              <w:spacing w:after="0"/>
              <w:rPr>
                <w:sz w:val="19"/>
                <w:szCs w:val="19"/>
                <w:color w:val="auto"/>
              </w:rPr>
            </w:pPr>
          </w:p>
        </w:tc>
      </w:tr>
      <w:tr>
        <w:trPr>
          <w:trHeight w:val="21"/>
        </w:trPr>
        <w:tc>
          <w:tcPr>
            <w:tcW w:w="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210,300</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33.9</w:t>
            </w: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439</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55.6</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23.4</w:t>
            </w:r>
          </w:p>
        </w:tc>
        <w:tc>
          <w:tcPr>
            <w:tcW w:w="160" w:type="dxa"/>
            <w:vAlign w:val="bottom"/>
            <w:shd w:val="clear" w:color="auto" w:fill="CCEEFF"/>
          </w:tcPr>
          <w:p>
            <w:pPr>
              <w:spacing w:after="0"/>
              <w:rPr>
                <w:sz w:val="18"/>
                <w:szCs w:val="18"/>
                <w:color w:val="auto"/>
              </w:rPr>
            </w:pPr>
          </w:p>
        </w:tc>
      </w:tr>
      <w:tr>
        <w:trPr>
          <w:trHeight w:val="27"/>
        </w:trPr>
        <w:tc>
          <w:tcPr>
            <w:tcW w:w="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3060" w:type="dxa"/>
            <w:vAlign w:val="bottom"/>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r>
      <w:tr>
        <w:trPr>
          <w:trHeight w:val="20"/>
        </w:trPr>
        <w:tc>
          <w:tcPr>
            <w:tcW w:w="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8" w:lineRule="exact"/>
        <w:rPr>
          <w:sz w:val="20"/>
          <w:szCs w:val="20"/>
          <w:color w:val="auto"/>
        </w:rPr>
      </w:pPr>
    </w:p>
    <w:p>
      <w:pPr>
        <w:ind w:right="40" w:firstLine="348"/>
        <w:spacing w:after="0" w:line="254" w:lineRule="auto"/>
        <w:rPr>
          <w:sz w:val="20"/>
          <w:szCs w:val="20"/>
          <w:color w:val="auto"/>
        </w:rPr>
      </w:pPr>
      <w:r>
        <w:rPr>
          <w:rFonts w:ascii="Arial" w:cs="Arial" w:eastAsia="Arial" w:hAnsi="Arial"/>
          <w:sz w:val="18"/>
          <w:szCs w:val="18"/>
          <w:color w:val="auto"/>
        </w:rPr>
        <w:t>The pipeline of 91 loan repurchase requests and indemnifications as of September 30, 2010 was considered in determining the appropriate reserve amount. The status of these 91 loans varied from an initial review stage, which may result in a rescission of the request, to in process, where the probability of incurring a loss is high, to indemnification, whereby the Company has agreed to reimburse the purchaser of that loan if and when losses are incurred. The indemnification may have a specific term, thereby limiting the Company's exposure. The original principal amount of these loans is approximately $15.1 million, comprised of approximately 62% full documentation first liens, 4% full documentation second liens, 25% limited documentation first liens, and 9% limited documentation second liens.</w:t>
      </w:r>
    </w:p>
    <w:p>
      <w:pPr>
        <w:spacing w:after="0" w:line="198" w:lineRule="exact"/>
        <w:rPr>
          <w:sz w:val="20"/>
          <w:szCs w:val="20"/>
          <w:color w:val="auto"/>
        </w:rPr>
      </w:pPr>
    </w:p>
    <w:p>
      <w:pPr>
        <w:ind w:firstLine="351"/>
        <w:spacing w:after="0" w:line="288" w:lineRule="auto"/>
        <w:rPr>
          <w:sz w:val="20"/>
          <w:szCs w:val="20"/>
          <w:color w:val="auto"/>
        </w:rPr>
      </w:pPr>
      <w:r>
        <w:rPr>
          <w:rFonts w:ascii="Arial" w:cs="Arial" w:eastAsia="Arial" w:hAnsi="Arial"/>
          <w:sz w:val="16"/>
          <w:szCs w:val="16"/>
          <w:color w:val="auto"/>
        </w:rPr>
        <w:t>In the fourth quarter of 2009, LendingTree Loans entered into settlement negotiations with two buyers of previously purchased limited documentation loans. The settlement with one buyer was completed in December 2009 and included a payment of $1.9 million related to all second lien loans sold to this buyer, including both full and limited documentation. This amount was not determined on an individual loan basis and is, therefore, not included in the loss amounts disclosed above based on the year such loans were sold. The settlement was included as a charge off to the reserve in 2009. Negotiations with the second buyer were completed in January 2010. This settlement of $4.5 million, to be paid in four equal quarterly installments in 2010, relates to all future losses on limited documentation second lien loans sold to this buyer. LendingTree Loans must also pay an additional amount of up to $0.3 million in conjunction with this settlement if it does not sell a certain volume of loans to this buyer in 2010. This amount is being accrued throughout 2010 and is included in the total settlement amount and the estimated settlement payments remaining to be paid. This settlement amount is included as a charge off to the reserve in 2010 and is not included in the table above.</w:t>
      </w:r>
    </w:p>
    <w:p>
      <w:pPr>
        <w:spacing w:after="0" w:line="17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33" w:name="page34"/>
    <w:bookmarkEnd w:id="3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TREE.COM, INC.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10—ORIGINATION AND SALE OF LOANS, LOANS HELD FOR SALE AND LOAN LOSS OBLIGATIONS (Continued)</w:t>
      </w:r>
    </w:p>
    <w:p>
      <w:pPr>
        <w:spacing w:after="0" w:line="231" w:lineRule="exact"/>
        <w:rPr>
          <w:sz w:val="20"/>
          <w:szCs w:val="20"/>
          <w:color w:val="auto"/>
        </w:rPr>
      </w:pPr>
    </w:p>
    <w:p>
      <w:pPr>
        <w:ind w:right="120" w:firstLine="351"/>
        <w:spacing w:after="0" w:line="255" w:lineRule="auto"/>
        <w:rPr>
          <w:sz w:val="20"/>
          <w:szCs w:val="20"/>
          <w:color w:val="auto"/>
        </w:rPr>
      </w:pPr>
      <w:r>
        <w:rPr>
          <w:rFonts w:ascii="Arial" w:cs="Arial" w:eastAsia="Arial" w:hAnsi="Arial"/>
          <w:sz w:val="18"/>
          <w:szCs w:val="18"/>
          <w:color w:val="auto"/>
        </w:rPr>
        <w:t>Based on historical experience, it is anticipated that the Company will continue to receive repurchase requests and incur losses on loans sold in prior years. However, the two settlements discussed above will eliminate future repurchase requests from those buyers for the loan types included in those settlements. As of September 30, 2010 LendingTree Loans estimated the range of remaining possible losses due to representations and warranty issues based on the methodology described above, excluding the $1.4 million settlement remaining to be paid in 2010, as $11 million to $16 million. The Company believes that it has adequately reserved for these losses.</w:t>
      </w:r>
    </w:p>
    <w:p>
      <w:pPr>
        <w:spacing w:after="0" w:line="197"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The activity related to loss reserves on previously sold loans for the nine months ended September 30, 2010 and 2009, is as follows (in thousands):</w:t>
      </w:r>
    </w:p>
    <w:p>
      <w:pPr>
        <w:spacing w:after="0" w:line="231" w:lineRule="exact"/>
        <w:rPr>
          <w:sz w:val="20"/>
          <w:szCs w:val="20"/>
          <w:color w:val="auto"/>
        </w:rPr>
      </w:pPr>
    </w:p>
    <w:tbl>
      <w:tblPr>
        <w:tblLayout w:type="fixed"/>
        <w:tblInd w:w="2300" w:type="dxa"/>
        <w:tblCellMar>
          <w:top w:w="0" w:type="dxa"/>
          <w:left w:w="0" w:type="dxa"/>
          <w:bottom w:w="0" w:type="dxa"/>
          <w:right w:w="0" w:type="dxa"/>
        </w:tblCellMar>
      </w:tblPr>
      <w:tr>
        <w:trPr>
          <w:trHeight w:val="161"/>
        </w:trPr>
        <w:tc>
          <w:tcPr>
            <w:tcW w:w="2400" w:type="dxa"/>
            <w:vAlign w:val="bottom"/>
          </w:tcPr>
          <w:p>
            <w:pPr>
              <w:spacing w:after="0"/>
              <w:rPr>
                <w:sz w:val="14"/>
                <w:szCs w:val="14"/>
                <w:color w:val="auto"/>
              </w:rPr>
            </w:pPr>
          </w:p>
        </w:tc>
        <w:tc>
          <w:tcPr>
            <w:tcW w:w="2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40" w:type="dxa"/>
            <w:vAlign w:val="bottom"/>
            <w:gridSpan w:val="6"/>
          </w:tcPr>
          <w:p>
            <w:pPr>
              <w:jc w:val="right"/>
              <w:ind w:right="400"/>
              <w:spacing w:after="0"/>
              <w:rPr>
                <w:sz w:val="20"/>
                <w:szCs w:val="20"/>
                <w:color w:val="auto"/>
              </w:rPr>
            </w:pPr>
            <w:r>
              <w:rPr>
                <w:rFonts w:ascii="Arial" w:cs="Arial" w:eastAsia="Arial" w:hAnsi="Arial"/>
                <w:sz w:val="14"/>
                <w:szCs w:val="14"/>
                <w:b w:val="1"/>
                <w:bCs w:val="1"/>
                <w:color w:val="auto"/>
                <w:w w:val="93"/>
              </w:rPr>
              <w:t>Nine Months Ended</w:t>
            </w:r>
          </w:p>
        </w:tc>
        <w:tc>
          <w:tcPr>
            <w:tcW w:w="0" w:type="dxa"/>
            <w:vAlign w:val="bottom"/>
          </w:tcPr>
          <w:p>
            <w:pPr>
              <w:spacing w:after="0"/>
              <w:rPr>
                <w:sz w:val="1"/>
                <w:szCs w:val="1"/>
                <w:color w:val="auto"/>
              </w:rPr>
            </w:pPr>
          </w:p>
        </w:tc>
      </w:tr>
      <w:tr>
        <w:trPr>
          <w:trHeight w:val="161"/>
        </w:trPr>
        <w:tc>
          <w:tcPr>
            <w:tcW w:w="2400" w:type="dxa"/>
            <w:vAlign w:val="bottom"/>
          </w:tcPr>
          <w:p>
            <w:pPr>
              <w:spacing w:after="0"/>
              <w:rPr>
                <w:sz w:val="14"/>
                <w:szCs w:val="14"/>
                <w:color w:val="auto"/>
              </w:rPr>
            </w:pPr>
          </w:p>
        </w:tc>
        <w:tc>
          <w:tcPr>
            <w:tcW w:w="2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40" w:type="dxa"/>
            <w:vAlign w:val="bottom"/>
            <w:gridSpan w:val="6"/>
          </w:tcPr>
          <w:p>
            <w:pPr>
              <w:jc w:val="right"/>
              <w:ind w:right="580"/>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42"/>
        </w:trPr>
        <w:tc>
          <w:tcPr>
            <w:tcW w:w="2400" w:type="dxa"/>
            <w:vAlign w:val="bottom"/>
          </w:tcPr>
          <w:p>
            <w:pPr>
              <w:spacing w:after="0"/>
              <w:rPr>
                <w:sz w:val="12"/>
                <w:szCs w:val="12"/>
                <w:color w:val="auto"/>
              </w:rPr>
            </w:pPr>
          </w:p>
        </w:tc>
        <w:tc>
          <w:tcPr>
            <w:tcW w:w="2640" w:type="dxa"/>
            <w:vAlign w:val="bottom"/>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jc w:val="right"/>
              <w:ind w:right="181"/>
              <w:spacing w:after="0" w:line="142" w:lineRule="exact"/>
              <w:rPr>
                <w:sz w:val="20"/>
                <w:szCs w:val="20"/>
                <w:color w:val="auto"/>
              </w:rPr>
            </w:pPr>
            <w:r>
              <w:rPr>
                <w:rFonts w:ascii="Arial" w:cs="Arial" w:eastAsia="Arial" w:hAnsi="Arial"/>
                <w:sz w:val="14"/>
                <w:szCs w:val="14"/>
                <w:b w:val="1"/>
                <w:bCs w:val="1"/>
                <w:color w:val="auto"/>
              </w:rPr>
              <w:t>2010</w:t>
            </w:r>
          </w:p>
        </w:tc>
        <w:tc>
          <w:tcPr>
            <w:tcW w:w="2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136"/>
              <w:spacing w:after="0" w:line="142" w:lineRule="exact"/>
              <w:rPr>
                <w:sz w:val="20"/>
                <w:szCs w:val="20"/>
                <w:color w:val="auto"/>
              </w:rPr>
            </w:pPr>
            <w:r>
              <w:rPr>
                <w:rFonts w:ascii="Arial" w:cs="Arial" w:eastAsia="Arial" w:hAnsi="Arial"/>
                <w:sz w:val="14"/>
                <w:szCs w:val="14"/>
                <w:b w:val="1"/>
                <w:bCs w:val="1"/>
                <w:color w:val="auto"/>
              </w:rPr>
              <w:t>2009</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5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Balance, beginning of period</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16,985</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8"/>
              </w:rPr>
              <w:t>10,451</w:t>
            </w:r>
          </w:p>
        </w:tc>
        <w:tc>
          <w:tcPr>
            <w:tcW w:w="0" w:type="dxa"/>
            <w:vAlign w:val="bottom"/>
          </w:tcPr>
          <w:p>
            <w:pPr>
              <w:spacing w:after="0"/>
              <w:rPr>
                <w:sz w:val="1"/>
                <w:szCs w:val="1"/>
                <w:color w:val="auto"/>
              </w:rPr>
            </w:pPr>
          </w:p>
        </w:tc>
      </w:tr>
      <w:tr>
        <w:trPr>
          <w:trHeight w:val="216"/>
        </w:trPr>
        <w:tc>
          <w:tcPr>
            <w:tcW w:w="5040" w:type="dxa"/>
            <w:vAlign w:val="bottom"/>
            <w:gridSpan w:val="2"/>
          </w:tcPr>
          <w:p>
            <w:pPr>
              <w:spacing w:after="0"/>
              <w:rPr>
                <w:sz w:val="20"/>
                <w:szCs w:val="20"/>
                <w:color w:val="auto"/>
              </w:rPr>
            </w:pPr>
            <w:r>
              <w:rPr>
                <w:rFonts w:ascii="Arial" w:cs="Arial" w:eastAsia="Arial" w:hAnsi="Arial"/>
                <w:sz w:val="18"/>
                <w:szCs w:val="18"/>
                <w:color w:val="auto"/>
              </w:rPr>
              <w:t>Provisions</w:t>
            </w:r>
          </w:p>
        </w:tc>
        <w:tc>
          <w:tcPr>
            <w:tcW w:w="160" w:type="dxa"/>
            <w:vAlign w:val="bottom"/>
          </w:tcPr>
          <w:p>
            <w:pPr>
              <w:spacing w:after="0"/>
              <w:rPr>
                <w:sz w:val="18"/>
                <w:szCs w:val="18"/>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rPr>
              <w:t>8,132</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w w:val="98"/>
              </w:rPr>
              <w:t>10,133</w:t>
            </w:r>
          </w:p>
        </w:tc>
        <w:tc>
          <w:tcPr>
            <w:tcW w:w="0" w:type="dxa"/>
            <w:vAlign w:val="bottom"/>
          </w:tcPr>
          <w:p>
            <w:pPr>
              <w:spacing w:after="0"/>
              <w:rPr>
                <w:sz w:val="1"/>
                <w:szCs w:val="1"/>
                <w:color w:val="auto"/>
              </w:rPr>
            </w:pPr>
          </w:p>
        </w:tc>
      </w:tr>
      <w:tr>
        <w:trPr>
          <w:trHeight w:val="216"/>
        </w:trPr>
        <w:tc>
          <w:tcPr>
            <w:tcW w:w="5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Charge offs to reserves(a)</w:t>
            </w:r>
          </w:p>
        </w:tc>
        <w:tc>
          <w:tcPr>
            <w:tcW w:w="16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w w:val="95"/>
              </w:rPr>
              <w:t>(10,172)</w:t>
            </w: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(6,548)</w:t>
            </w:r>
          </w:p>
        </w:tc>
        <w:tc>
          <w:tcPr>
            <w:tcW w:w="0" w:type="dxa"/>
            <w:vAlign w:val="bottom"/>
          </w:tcPr>
          <w:p>
            <w:pPr>
              <w:spacing w:after="0"/>
              <w:rPr>
                <w:sz w:val="1"/>
                <w:szCs w:val="1"/>
                <w:color w:val="auto"/>
              </w:rPr>
            </w:pPr>
          </w:p>
        </w:tc>
      </w:tr>
      <w:tr>
        <w:trPr>
          <w:trHeight w:val="27"/>
        </w:trPr>
        <w:tc>
          <w:tcPr>
            <w:tcW w:w="5040" w:type="dxa"/>
            <w:vAlign w:val="bottom"/>
            <w:gridSpan w:val="2"/>
            <w:vMerge w:val="restart"/>
          </w:tcPr>
          <w:p>
            <w:pPr>
              <w:spacing w:after="0"/>
              <w:rPr>
                <w:sz w:val="20"/>
                <w:szCs w:val="20"/>
                <w:color w:val="auto"/>
              </w:rPr>
            </w:pPr>
            <w:r>
              <w:rPr>
                <w:rFonts w:ascii="Arial" w:cs="Arial" w:eastAsia="Arial" w:hAnsi="Arial"/>
                <w:sz w:val="18"/>
                <w:szCs w:val="18"/>
                <w:color w:val="auto"/>
              </w:rPr>
              <w:t>Balance, end of period</w:t>
            </w:r>
          </w:p>
        </w:tc>
        <w:tc>
          <w:tcPr>
            <w:tcW w:w="160" w:type="dxa"/>
            <w:vAlign w:val="bottom"/>
          </w:tcPr>
          <w:p>
            <w:pPr>
              <w:spacing w:after="0"/>
              <w:rPr>
                <w:sz w:val="2"/>
                <w:szCs w:val="2"/>
                <w:color w:val="auto"/>
              </w:rPr>
            </w:pPr>
          </w:p>
        </w:tc>
        <w:tc>
          <w:tcPr>
            <w:tcW w:w="64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72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5040" w:type="dxa"/>
            <w:vAlign w:val="bottom"/>
            <w:gridSpan w:val="2"/>
            <w:vMerge w:val="continue"/>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14,945</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8"/>
              </w:rPr>
              <w:t>14,036</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40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240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9"/>
        </w:trPr>
        <w:tc>
          <w:tcPr>
            <w:tcW w:w="2400" w:type="dxa"/>
            <w:vAlign w:val="bottom"/>
            <w:tcBorders>
              <w:bottom w:val="single" w:sz="8" w:color="auto"/>
            </w:tcBorders>
          </w:tcPr>
          <w:p>
            <w:pPr>
              <w:spacing w:after="0"/>
              <w:rPr>
                <w:sz w:val="7"/>
                <w:szCs w:val="7"/>
                <w:color w:val="auto"/>
              </w:rPr>
            </w:pPr>
          </w:p>
        </w:tc>
        <w:tc>
          <w:tcPr>
            <w:tcW w:w="2640" w:type="dxa"/>
            <w:vAlign w:val="bottom"/>
          </w:tcPr>
          <w:p>
            <w:pPr>
              <w:spacing w:after="0"/>
              <w:rPr>
                <w:sz w:val="7"/>
                <w:szCs w:val="7"/>
                <w:color w:val="auto"/>
              </w:rPr>
            </w:pPr>
          </w:p>
        </w:tc>
        <w:tc>
          <w:tcPr>
            <w:tcW w:w="160" w:type="dxa"/>
            <w:vAlign w:val="bottom"/>
          </w:tcPr>
          <w:p>
            <w:pPr>
              <w:spacing w:after="0"/>
              <w:rPr>
                <w:sz w:val="7"/>
                <w:szCs w:val="7"/>
                <w:color w:val="auto"/>
              </w:rPr>
            </w:pPr>
          </w:p>
        </w:tc>
        <w:tc>
          <w:tcPr>
            <w:tcW w:w="620" w:type="dxa"/>
            <w:vAlign w:val="bottom"/>
          </w:tcPr>
          <w:p>
            <w:pPr>
              <w:spacing w:after="0"/>
              <w:rPr>
                <w:sz w:val="7"/>
                <w:szCs w:val="7"/>
                <w:color w:val="auto"/>
              </w:rPr>
            </w:pPr>
          </w:p>
        </w:tc>
        <w:tc>
          <w:tcPr>
            <w:tcW w:w="20" w:type="dxa"/>
            <w:vAlign w:val="bottom"/>
          </w:tcPr>
          <w:p>
            <w:pPr>
              <w:spacing w:after="0"/>
              <w:rPr>
                <w:sz w:val="7"/>
                <w:szCs w:val="7"/>
                <w:color w:val="auto"/>
              </w:rPr>
            </w:pPr>
          </w:p>
        </w:tc>
        <w:tc>
          <w:tcPr>
            <w:tcW w:w="140" w:type="dxa"/>
            <w:vAlign w:val="bottom"/>
          </w:tcPr>
          <w:p>
            <w:pPr>
              <w:spacing w:after="0"/>
              <w:rPr>
                <w:sz w:val="7"/>
                <w:szCs w:val="7"/>
                <w:color w:val="auto"/>
              </w:rPr>
            </w:pPr>
          </w:p>
        </w:tc>
        <w:tc>
          <w:tcPr>
            <w:tcW w:w="140" w:type="dxa"/>
            <w:vAlign w:val="bottom"/>
          </w:tcPr>
          <w:p>
            <w:pPr>
              <w:spacing w:after="0"/>
              <w:rPr>
                <w:sz w:val="7"/>
                <w:szCs w:val="7"/>
                <w:color w:val="auto"/>
              </w:rPr>
            </w:pPr>
          </w:p>
        </w:tc>
        <w:tc>
          <w:tcPr>
            <w:tcW w:w="560" w:type="dxa"/>
            <w:vAlign w:val="bottom"/>
          </w:tcPr>
          <w:p>
            <w:pPr>
              <w:spacing w:after="0"/>
              <w:rPr>
                <w:sz w:val="7"/>
                <w:szCs w:val="7"/>
                <w:color w:val="auto"/>
              </w:rPr>
            </w:pPr>
          </w:p>
        </w:tc>
        <w:tc>
          <w:tcPr>
            <w:tcW w:w="16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221" w:lineRule="exact"/>
        <w:rPr>
          <w:sz w:val="20"/>
          <w:szCs w:val="20"/>
          <w:color w:val="auto"/>
        </w:rPr>
      </w:pPr>
    </w:p>
    <w:p>
      <w:pPr>
        <w:ind w:left="2840" w:right="20" w:hanging="550"/>
        <w:spacing w:after="0" w:line="256" w:lineRule="auto"/>
        <w:tabs>
          <w:tab w:leader="none" w:pos="284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nine months ended September 30, 2010 includes a charge off for the amount of the $4.5 million loan loss settlement discussed above plus an estimated portion of the $0.3 million additional amount based on loans sold to this buyer in 2010. The remaining settlement payments due of $1.4 million are tracked as a liability separate from the loan loss reserve (see table below).</w:t>
      </w:r>
    </w:p>
    <w:p>
      <w:pPr>
        <w:spacing w:after="0" w:line="197" w:lineRule="exact"/>
        <w:rPr>
          <w:sz w:val="20"/>
          <w:szCs w:val="20"/>
          <w:color w:val="auto"/>
        </w:rPr>
      </w:pPr>
    </w:p>
    <w:p>
      <w:pPr>
        <w:ind w:right="20" w:firstLine="351"/>
        <w:spacing w:after="0" w:line="255" w:lineRule="auto"/>
        <w:rPr>
          <w:sz w:val="20"/>
          <w:szCs w:val="20"/>
          <w:color w:val="auto"/>
        </w:rPr>
      </w:pPr>
      <w:r>
        <w:rPr>
          <w:rFonts w:ascii="Arial" w:cs="Arial" w:eastAsia="Arial" w:hAnsi="Arial"/>
          <w:sz w:val="18"/>
          <w:szCs w:val="18"/>
          <w:color w:val="auto"/>
        </w:rPr>
        <w:t>Based on an analysis of the Company's historical loan loss experience, it has been determined that a portion of the loan losses expected to be made by investors will be made more than twelve months after the current reporting date. Accordingly, the Company has estimated the portion of its loans sold reserve that it anticipates it will be liable for after twelve months and has classified that portion of the reserve as a long-term liability. The liability for losses on previously sold loans, including the remaining portion of the settlement discussed above, is presented in the accompanying consolidated balance sheet as of September 30, 2010 and December 31, 2009 as follows (in thousands):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300" w:type="dxa"/>
            <w:vAlign w:val="bottom"/>
          </w:tcPr>
          <w:p>
            <w:pPr>
              <w:spacing w:after="0"/>
              <w:rPr>
                <w:sz w:val="14"/>
                <w:szCs w:val="14"/>
                <w:color w:val="auto"/>
              </w:rPr>
            </w:pPr>
          </w:p>
        </w:tc>
        <w:tc>
          <w:tcPr>
            <w:tcW w:w="3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2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84"/>
              </w:rPr>
              <w:t>As of September 30,</w:t>
            </w:r>
          </w:p>
        </w:tc>
        <w:tc>
          <w:tcPr>
            <w:tcW w:w="100" w:type="dxa"/>
            <w:vAlign w:val="bottom"/>
          </w:tcPr>
          <w:p>
            <w:pPr>
              <w:spacing w:after="0"/>
              <w:rPr>
                <w:sz w:val="14"/>
                <w:szCs w:val="14"/>
                <w:color w:val="auto"/>
              </w:rPr>
            </w:pPr>
          </w:p>
        </w:tc>
        <w:tc>
          <w:tcPr>
            <w:tcW w:w="3660" w:type="dxa"/>
            <w:vAlign w:val="bottom"/>
            <w:gridSpan w:val="3"/>
          </w:tcPr>
          <w:p>
            <w:pPr>
              <w:spacing w:after="0"/>
              <w:rPr>
                <w:sz w:val="20"/>
                <w:szCs w:val="20"/>
                <w:color w:val="auto"/>
              </w:rPr>
            </w:pPr>
            <w:r>
              <w:rPr>
                <w:rFonts w:ascii="Arial" w:cs="Arial" w:eastAsia="Arial" w:hAnsi="Arial"/>
                <w:sz w:val="14"/>
                <w:szCs w:val="14"/>
                <w:b w:val="1"/>
                <w:bCs w:val="1"/>
                <w:color w:val="auto"/>
              </w:rPr>
              <w:t>As of December 31,</w:t>
            </w:r>
          </w:p>
        </w:tc>
        <w:tc>
          <w:tcPr>
            <w:tcW w:w="0" w:type="dxa"/>
            <w:vAlign w:val="bottom"/>
          </w:tcPr>
          <w:p>
            <w:pPr>
              <w:spacing w:after="0"/>
              <w:rPr>
                <w:sz w:val="1"/>
                <w:szCs w:val="1"/>
                <w:color w:val="auto"/>
              </w:rPr>
            </w:pPr>
          </w:p>
        </w:tc>
      </w:tr>
      <w:tr>
        <w:trPr>
          <w:trHeight w:val="161"/>
        </w:trPr>
        <w:tc>
          <w:tcPr>
            <w:tcW w:w="2300" w:type="dxa"/>
            <w:vAlign w:val="bottom"/>
          </w:tcPr>
          <w:p>
            <w:pPr>
              <w:spacing w:after="0"/>
              <w:rPr>
                <w:sz w:val="14"/>
                <w:szCs w:val="14"/>
                <w:color w:val="auto"/>
              </w:rPr>
            </w:pPr>
          </w:p>
        </w:tc>
        <w:tc>
          <w:tcPr>
            <w:tcW w:w="38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jc w:val="right"/>
              <w:ind w:right="459"/>
              <w:spacing w:after="0"/>
              <w:rPr>
                <w:sz w:val="20"/>
                <w:szCs w:val="20"/>
                <w:color w:val="auto"/>
              </w:rPr>
            </w:pPr>
            <w:r>
              <w:rPr>
                <w:rFonts w:ascii="Arial" w:cs="Arial" w:eastAsia="Arial" w:hAnsi="Arial"/>
                <w:sz w:val="14"/>
                <w:szCs w:val="14"/>
                <w:b w:val="1"/>
                <w:bCs w:val="1"/>
                <w:color w:val="auto"/>
              </w:rPr>
              <w:t>2010</w:t>
            </w:r>
          </w:p>
        </w:tc>
        <w:tc>
          <w:tcPr>
            <w:tcW w:w="1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ind w:right="459"/>
              <w:spacing w:after="0"/>
              <w:rPr>
                <w:sz w:val="20"/>
                <w:szCs w:val="20"/>
                <w:color w:val="auto"/>
              </w:rPr>
            </w:pPr>
            <w:r>
              <w:rPr>
                <w:rFonts w:ascii="Arial" w:cs="Arial" w:eastAsia="Arial" w:hAnsi="Arial"/>
                <w:sz w:val="14"/>
                <w:szCs w:val="14"/>
                <w:b w:val="1"/>
                <w:bCs w:val="1"/>
                <w:color w:val="auto"/>
              </w:rPr>
              <w:t>2009</w:t>
            </w:r>
          </w:p>
        </w:tc>
        <w:tc>
          <w:tcPr>
            <w:tcW w:w="16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1"/>
        </w:trPr>
        <w:tc>
          <w:tcPr>
            <w:tcW w:w="2300" w:type="dxa"/>
            <w:vAlign w:val="bottom"/>
          </w:tcPr>
          <w:p>
            <w:pPr>
              <w:spacing w:after="0"/>
              <w:rPr>
                <w:sz w:val="17"/>
                <w:szCs w:val="17"/>
                <w:color w:val="auto"/>
              </w:rPr>
            </w:pPr>
          </w:p>
        </w:tc>
        <w:tc>
          <w:tcPr>
            <w:tcW w:w="38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Current portion related to settlement above,</w:t>
            </w:r>
          </w:p>
        </w:tc>
        <w:tc>
          <w:tcPr>
            <w:tcW w:w="10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300" w:type="dxa"/>
            <w:vAlign w:val="bottom"/>
          </w:tcPr>
          <w:p>
            <w:pPr>
              <w:spacing w:after="0"/>
              <w:rPr>
                <w:sz w:val="18"/>
                <w:szCs w:val="18"/>
                <w:color w:val="auto"/>
              </w:rPr>
            </w:pPr>
          </w:p>
        </w:tc>
        <w:tc>
          <w:tcPr>
            <w:tcW w:w="384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5"/>
              </w:rPr>
              <w:t>included in accrued expenses and other current</w:t>
            </w:r>
          </w:p>
        </w:tc>
        <w:tc>
          <w:tcPr>
            <w:tcW w:w="1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300" w:type="dxa"/>
            <w:vAlign w:val="bottom"/>
          </w:tcPr>
          <w:p>
            <w:pPr>
              <w:spacing w:after="0"/>
              <w:rPr>
                <w:sz w:val="19"/>
                <w:szCs w:val="19"/>
                <w:color w:val="auto"/>
              </w:rPr>
            </w:pPr>
          </w:p>
        </w:tc>
        <w:tc>
          <w:tcPr>
            <w:tcW w:w="38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liabilities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1,350</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4,500</w:t>
            </w:r>
          </w:p>
        </w:tc>
        <w:tc>
          <w:tcPr>
            <w:tcW w:w="2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2300" w:type="dxa"/>
            <w:vAlign w:val="bottom"/>
          </w:tcPr>
          <w:p>
            <w:pPr>
              <w:spacing w:after="0"/>
              <w:rPr>
                <w:sz w:val="18"/>
                <w:szCs w:val="18"/>
                <w:color w:val="auto"/>
              </w:rPr>
            </w:pPr>
          </w:p>
        </w:tc>
        <w:tc>
          <w:tcPr>
            <w:tcW w:w="3840" w:type="dxa"/>
            <w:vAlign w:val="bottom"/>
          </w:tcPr>
          <w:p>
            <w:pPr>
              <w:spacing w:after="0"/>
              <w:rPr>
                <w:sz w:val="20"/>
                <w:szCs w:val="20"/>
                <w:color w:val="auto"/>
              </w:rPr>
            </w:pPr>
            <w:r>
              <w:rPr>
                <w:rFonts w:ascii="Arial" w:cs="Arial" w:eastAsia="Arial" w:hAnsi="Arial"/>
                <w:sz w:val="18"/>
                <w:szCs w:val="18"/>
                <w:color w:val="auto"/>
                <w:w w:val="92"/>
              </w:rPr>
              <w:t>Other current portion, included in accrued expenses</w:t>
            </w: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300" w:type="dxa"/>
            <w:vAlign w:val="bottom"/>
          </w:tcPr>
          <w:p>
            <w:pPr>
              <w:spacing w:after="0"/>
              <w:rPr>
                <w:sz w:val="19"/>
                <w:szCs w:val="19"/>
                <w:color w:val="auto"/>
              </w:rPr>
            </w:pPr>
          </w:p>
        </w:tc>
        <w:tc>
          <w:tcPr>
            <w:tcW w:w="3840" w:type="dxa"/>
            <w:vAlign w:val="bottom"/>
          </w:tcPr>
          <w:p>
            <w:pPr>
              <w:ind w:left="180"/>
              <w:spacing w:after="0"/>
              <w:rPr>
                <w:sz w:val="20"/>
                <w:szCs w:val="20"/>
                <w:color w:val="auto"/>
              </w:rPr>
            </w:pPr>
            <w:r>
              <w:rPr>
                <w:rFonts w:ascii="Arial" w:cs="Arial" w:eastAsia="Arial" w:hAnsi="Arial"/>
                <w:sz w:val="18"/>
                <w:szCs w:val="18"/>
                <w:color w:val="auto"/>
              </w:rPr>
              <w:t>and other current liabilities</w:t>
            </w:r>
          </w:p>
        </w:tc>
        <w:tc>
          <w:tcPr>
            <w:tcW w:w="100" w:type="dxa"/>
            <w:vAlign w:val="bottom"/>
          </w:tcPr>
          <w:p>
            <w:pPr>
              <w:spacing w:after="0"/>
              <w:rPr>
                <w:sz w:val="19"/>
                <w:szCs w:val="19"/>
                <w:color w:val="auto"/>
              </w:rPr>
            </w:pPr>
          </w:p>
        </w:tc>
        <w:tc>
          <w:tcPr>
            <w:tcW w:w="1420" w:type="dxa"/>
            <w:vAlign w:val="bottom"/>
            <w:gridSpan w:val="2"/>
          </w:tcPr>
          <w:p>
            <w:pPr>
              <w:jc w:val="right"/>
              <w:ind w:right="160"/>
              <w:spacing w:after="0"/>
              <w:rPr>
                <w:sz w:val="20"/>
                <w:szCs w:val="20"/>
                <w:color w:val="auto"/>
              </w:rPr>
            </w:pPr>
            <w:r>
              <w:rPr>
                <w:rFonts w:ascii="Arial" w:cs="Arial" w:eastAsia="Arial" w:hAnsi="Arial"/>
                <w:sz w:val="18"/>
                <w:szCs w:val="18"/>
                <w:color w:val="auto"/>
              </w:rPr>
              <w:t>6,609</w:t>
            </w:r>
          </w:p>
        </w:tc>
        <w:tc>
          <w:tcPr>
            <w:tcW w:w="100" w:type="dxa"/>
            <w:vAlign w:val="bottom"/>
          </w:tcPr>
          <w:p>
            <w:pPr>
              <w:spacing w:after="0"/>
              <w:rPr>
                <w:sz w:val="19"/>
                <w:szCs w:val="19"/>
                <w:color w:val="auto"/>
              </w:rPr>
            </w:pPr>
          </w:p>
        </w:tc>
        <w:tc>
          <w:tcPr>
            <w:tcW w:w="1380" w:type="dxa"/>
            <w:vAlign w:val="bottom"/>
            <w:gridSpan w:val="2"/>
          </w:tcPr>
          <w:p>
            <w:pPr>
              <w:jc w:val="right"/>
              <w:ind w:right="160"/>
              <w:spacing w:after="0"/>
              <w:rPr>
                <w:sz w:val="20"/>
                <w:szCs w:val="20"/>
                <w:color w:val="auto"/>
              </w:rPr>
            </w:pPr>
            <w:r>
              <w:rPr>
                <w:rFonts w:ascii="Arial" w:cs="Arial" w:eastAsia="Arial" w:hAnsi="Arial"/>
                <w:sz w:val="18"/>
                <w:szCs w:val="18"/>
                <w:color w:val="auto"/>
              </w:rPr>
              <w:t>6,115</w:t>
            </w:r>
          </w:p>
        </w:tc>
        <w:tc>
          <w:tcPr>
            <w:tcW w:w="2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300" w:type="dxa"/>
            <w:vAlign w:val="bottom"/>
          </w:tcPr>
          <w:p>
            <w:pPr>
              <w:spacing w:after="0"/>
              <w:rPr>
                <w:sz w:val="18"/>
                <w:szCs w:val="18"/>
                <w:color w:val="auto"/>
              </w:rPr>
            </w:pPr>
          </w:p>
        </w:tc>
        <w:tc>
          <w:tcPr>
            <w:tcW w:w="3840" w:type="dxa"/>
            <w:vAlign w:val="bottom"/>
            <w:shd w:val="clear" w:color="auto" w:fill="CCEEFF"/>
          </w:tcPr>
          <w:p>
            <w:pPr>
              <w:spacing w:after="0"/>
              <w:rPr>
                <w:sz w:val="20"/>
                <w:szCs w:val="20"/>
                <w:color w:val="auto"/>
              </w:rPr>
            </w:pPr>
            <w:r>
              <w:rPr>
                <w:rFonts w:ascii="Arial" w:cs="Arial" w:eastAsia="Arial" w:hAnsi="Arial"/>
                <w:sz w:val="18"/>
                <w:szCs w:val="18"/>
                <w:color w:val="auto"/>
              </w:rPr>
              <w:t>Long term portion, included in other long-term</w:t>
            </w:r>
          </w:p>
        </w:tc>
        <w:tc>
          <w:tcPr>
            <w:tcW w:w="1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300" w:type="dxa"/>
            <w:vAlign w:val="bottom"/>
          </w:tcPr>
          <w:p>
            <w:pPr>
              <w:spacing w:after="0"/>
              <w:rPr>
                <w:sz w:val="19"/>
                <w:szCs w:val="19"/>
                <w:color w:val="auto"/>
              </w:rPr>
            </w:pPr>
          </w:p>
        </w:tc>
        <w:tc>
          <w:tcPr>
            <w:tcW w:w="38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liabilities</w:t>
            </w:r>
          </w:p>
        </w:tc>
        <w:tc>
          <w:tcPr>
            <w:tcW w:w="10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8,336</w:t>
            </w:r>
          </w:p>
        </w:tc>
        <w:tc>
          <w:tcPr>
            <w:tcW w:w="10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6,370</w:t>
            </w:r>
          </w:p>
        </w:tc>
        <w:tc>
          <w:tcPr>
            <w:tcW w:w="2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6140" w:type="dxa"/>
            <w:vAlign w:val="bottom"/>
            <w:gridSpan w:val="2"/>
            <w:vMerge w:val="restart"/>
          </w:tcPr>
          <w:p>
            <w:pPr>
              <w:ind w:left="2300"/>
              <w:spacing w:after="0"/>
              <w:rPr>
                <w:sz w:val="20"/>
                <w:szCs w:val="20"/>
                <w:color w:val="auto"/>
              </w:rPr>
            </w:pPr>
            <w:r>
              <w:rPr>
                <w:rFonts w:ascii="Arial" w:cs="Arial" w:eastAsia="Arial" w:hAnsi="Arial"/>
                <w:sz w:val="18"/>
                <w:szCs w:val="18"/>
                <w:color w:val="auto"/>
              </w:rPr>
              <w:t>Total</w:t>
            </w:r>
          </w:p>
        </w:tc>
        <w:tc>
          <w:tcPr>
            <w:tcW w:w="100" w:type="dxa"/>
            <w:vAlign w:val="bottom"/>
          </w:tcPr>
          <w:p>
            <w:pPr>
              <w:spacing w:after="0"/>
              <w:rPr>
                <w:sz w:val="2"/>
                <w:szCs w:val="2"/>
                <w:color w:val="auto"/>
              </w:rPr>
            </w:pPr>
          </w:p>
        </w:tc>
        <w:tc>
          <w:tcPr>
            <w:tcW w:w="142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1380" w:type="dxa"/>
            <w:vAlign w:val="bottom"/>
            <w:gridSpan w:val="2"/>
          </w:tcPr>
          <w:p>
            <w:pPr>
              <w:spacing w:after="0"/>
              <w:rPr>
                <w:sz w:val="2"/>
                <w:szCs w:val="2"/>
                <w:color w:val="auto"/>
              </w:rPr>
            </w:pPr>
          </w:p>
        </w:tc>
        <w:tc>
          <w:tcPr>
            <w:tcW w:w="22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6140" w:type="dxa"/>
            <w:vAlign w:val="bottom"/>
            <w:gridSpan w:val="2"/>
            <w:vMerge w:val="continue"/>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16,295</w:t>
            </w:r>
          </w:p>
        </w:tc>
        <w:tc>
          <w:tcPr>
            <w:tcW w:w="18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16,985</w:t>
            </w:r>
          </w:p>
        </w:tc>
        <w:tc>
          <w:tcPr>
            <w:tcW w:w="16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6140" w:type="dxa"/>
            <w:vAlign w:val="bottom"/>
            <w:gridSpan w:val="2"/>
            <w:vMerge w:val="restart"/>
          </w:tcPr>
          <w:p>
            <w:pPr>
              <w:jc w:val="right"/>
              <w:ind w:right="252"/>
              <w:spacing w:after="0"/>
              <w:rPr>
                <w:sz w:val="20"/>
                <w:szCs w:val="20"/>
                <w:color w:val="auto"/>
              </w:rPr>
            </w:pPr>
            <w:r>
              <w:rPr>
                <w:rFonts w:ascii="Arial" w:cs="Arial" w:eastAsia="Arial" w:hAnsi="Arial"/>
                <w:sz w:val="18"/>
                <w:szCs w:val="18"/>
                <w:color w:val="auto"/>
              </w:rPr>
              <w:t>33</w:t>
            </w:r>
          </w:p>
        </w:tc>
        <w:tc>
          <w:tcPr>
            <w:tcW w:w="1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6140" w:type="dxa"/>
            <w:vAlign w:val="bottom"/>
            <w:gridSpan w:val="2"/>
            <w:vMerge w:val="continue"/>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1"/>
        </w:trPr>
        <w:tc>
          <w:tcPr>
            <w:tcW w:w="6140" w:type="dxa"/>
            <w:vAlign w:val="bottom"/>
            <w:gridSpan w:val="2"/>
            <w:vMerge w:val="continue"/>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2300" w:type="dxa"/>
            <w:vAlign w:val="bottom"/>
            <w:tcBorders>
              <w:bottom w:val="single" w:sz="8" w:color="808080"/>
            </w:tcBorders>
          </w:tcPr>
          <w:p>
            <w:pPr>
              <w:spacing w:after="0"/>
              <w:rPr>
                <w:sz w:val="19"/>
                <w:szCs w:val="19"/>
                <w:color w:val="auto"/>
              </w:rPr>
            </w:pPr>
          </w:p>
        </w:tc>
        <w:tc>
          <w:tcPr>
            <w:tcW w:w="384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124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122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228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4" w:name="page35"/>
    <w:bookmarkEnd w:id="3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TREE.COM, INC. AND SUBSIDIARIES</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11—INCOME TAXES</w:t>
      </w:r>
    </w:p>
    <w:p>
      <w:pPr>
        <w:spacing w:after="0" w:line="231" w:lineRule="exact"/>
        <w:rPr>
          <w:sz w:val="20"/>
          <w:szCs w:val="20"/>
          <w:color w:val="auto"/>
        </w:rPr>
      </w:pPr>
    </w:p>
    <w:p>
      <w:pPr>
        <w:ind w:right="160" w:firstLine="351"/>
        <w:spacing w:after="0" w:line="306" w:lineRule="auto"/>
        <w:rPr>
          <w:sz w:val="20"/>
          <w:szCs w:val="20"/>
          <w:color w:val="auto"/>
        </w:rPr>
      </w:pPr>
      <w:r>
        <w:rPr>
          <w:rFonts w:ascii="Arial" w:cs="Arial" w:eastAsia="Arial" w:hAnsi="Arial"/>
          <w:sz w:val="16"/>
          <w:szCs w:val="16"/>
          <w:color w:val="auto"/>
        </w:rPr>
        <w:t>For the three months ended September 30, 2010 and 2009, Tree.com recorded a tax (provision) benefit of $(0.05) million and $0.2 million, respectively, which represents effective tax rates of 2.2% and (2.4)%, respectively. For both periods, the tax rate is lower than the federal statutory rate of 35% mainly due to the change in the valuation allowance on deferred tax assets and a partial release of reserves for uncertain tax positions.</w:t>
      </w:r>
    </w:p>
    <w:p>
      <w:pPr>
        <w:spacing w:after="0" w:line="161" w:lineRule="exact"/>
        <w:rPr>
          <w:sz w:val="20"/>
          <w:szCs w:val="20"/>
          <w:color w:val="auto"/>
        </w:rPr>
      </w:pPr>
    </w:p>
    <w:p>
      <w:pPr>
        <w:ind w:firstLine="351"/>
        <w:spacing w:after="0" w:line="298" w:lineRule="auto"/>
        <w:rPr>
          <w:sz w:val="20"/>
          <w:szCs w:val="20"/>
          <w:color w:val="auto"/>
        </w:rPr>
      </w:pPr>
      <w:r>
        <w:rPr>
          <w:rFonts w:ascii="Arial" w:cs="Arial" w:eastAsia="Arial" w:hAnsi="Arial"/>
          <w:sz w:val="16"/>
          <w:szCs w:val="16"/>
          <w:color w:val="auto"/>
        </w:rPr>
        <w:t>For the nine months ended September 30, 2010 and 2009, Tree.com recorded a tax provision of $0.9 million and $0.1 million, respectively, which represents effective tax rates of 19.9% and 3.6%, respectively. For the nine months ended September 30, 2010, the tax rate is lower than the federal statutory rate of 35% mainly due to an increase in the valuation allowance on deferred tax assets. For the nine months ended September 30, 2009, there was an increase in the valuation allowance and non-deductible impairment charges that caused the tax rate to be lower than the federal statutory rate.</w:t>
      </w:r>
    </w:p>
    <w:p>
      <w:pPr>
        <w:spacing w:after="0" w:line="167" w:lineRule="exact"/>
        <w:rPr>
          <w:sz w:val="20"/>
          <w:szCs w:val="20"/>
          <w:color w:val="auto"/>
        </w:rPr>
      </w:pPr>
    </w:p>
    <w:p>
      <w:pPr>
        <w:ind w:right="40" w:firstLine="348"/>
        <w:spacing w:after="0" w:line="256" w:lineRule="auto"/>
        <w:rPr>
          <w:sz w:val="20"/>
          <w:szCs w:val="20"/>
          <w:color w:val="auto"/>
        </w:rPr>
      </w:pPr>
      <w:r>
        <w:rPr>
          <w:rFonts w:ascii="Arial" w:cs="Arial" w:eastAsia="Arial" w:hAnsi="Arial"/>
          <w:sz w:val="18"/>
          <w:szCs w:val="18"/>
          <w:color w:val="auto"/>
        </w:rPr>
        <w:t>Tree.com's unrecognized tax benefits decreased by approximately $0.5 million in the third quarter of 2010. The decrease was due to a partial release of the reserves for uncertain tax positions. Tree.com believes that it is reasonably possible that its remaining unrecognized tax benefits could decrease by approximately $0.1 million within twelve months of the current reporting date due to the expiration of state statute of limitations. An estimate of other changes in unrecognized tax benefits cannot be made, but are not expected to be significant.</w:t>
      </w:r>
    </w:p>
    <w:p>
      <w:pPr>
        <w:spacing w:after="0" w:line="197" w:lineRule="exact"/>
        <w:rPr>
          <w:sz w:val="20"/>
          <w:szCs w:val="20"/>
          <w:color w:val="auto"/>
        </w:rPr>
      </w:pPr>
    </w:p>
    <w:p>
      <w:pPr>
        <w:ind w:right="80" w:firstLine="351"/>
        <w:spacing w:after="0" w:line="259" w:lineRule="auto"/>
        <w:rPr>
          <w:sz w:val="20"/>
          <w:szCs w:val="20"/>
          <w:color w:val="auto"/>
        </w:rPr>
      </w:pPr>
      <w:r>
        <w:rPr>
          <w:rFonts w:ascii="Arial" w:cs="Arial" w:eastAsia="Arial" w:hAnsi="Arial"/>
          <w:sz w:val="18"/>
          <w:szCs w:val="18"/>
          <w:color w:val="auto"/>
        </w:rPr>
        <w:t>For the nine months ended September 30, 2010, Tree.com determined that its valuation allowance yielded an unusual effective tax rate; therefore, Tree.com utilized the actual year to date effective tax rate for purposes of determining year to date tax expense. This approach is consistent with the nine months ended September 30, 2009.</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12—CONTINGENCIES</w:t>
      </w:r>
    </w:p>
    <w:p>
      <w:pPr>
        <w:spacing w:after="0" w:line="231" w:lineRule="exact"/>
        <w:rPr>
          <w:sz w:val="20"/>
          <w:szCs w:val="20"/>
          <w:color w:val="auto"/>
        </w:rPr>
      </w:pPr>
    </w:p>
    <w:p>
      <w:pPr>
        <w:ind w:right="520" w:firstLine="351"/>
        <w:spacing w:after="0" w:line="286" w:lineRule="auto"/>
        <w:rPr>
          <w:sz w:val="20"/>
          <w:szCs w:val="20"/>
          <w:color w:val="auto"/>
        </w:rPr>
      </w:pPr>
      <w:r>
        <w:rPr>
          <w:rFonts w:ascii="Arial" w:cs="Arial" w:eastAsia="Arial" w:hAnsi="Arial"/>
          <w:sz w:val="16"/>
          <w:szCs w:val="16"/>
          <w:color w:val="auto"/>
        </w:rPr>
        <w:t>During the nine months ended September 30, 2010 and 2009, provisions for litigation settlements of $1.6 million and $0.4 million, respectively, were recorded in litigation settlements and contingencies in the accompanying consolidated statements of operations. The balance of the related liability was</w:t>
      </w:r>
    </w:p>
    <w:p>
      <w:pPr>
        <w:spacing w:after="0"/>
        <w:rPr>
          <w:sz w:val="20"/>
          <w:szCs w:val="20"/>
          <w:color w:val="auto"/>
        </w:rPr>
      </w:pPr>
      <w:r>
        <w:rPr>
          <w:rFonts w:ascii="Arial" w:cs="Arial" w:eastAsia="Arial" w:hAnsi="Arial"/>
          <w:sz w:val="16"/>
          <w:szCs w:val="16"/>
          <w:color w:val="auto"/>
        </w:rPr>
        <w:t>$1.5 million and $12.8 million at September 30, 2010 and December 31, 2009, respectively. The $12.8 million liability at December 31, 2009 was paid in 2010.</w:t>
      </w:r>
    </w:p>
    <w:p>
      <w:pPr>
        <w:spacing w:after="0" w:line="242" w:lineRule="exact"/>
        <w:rPr>
          <w:sz w:val="20"/>
          <w:szCs w:val="20"/>
          <w:color w:val="auto"/>
        </w:rPr>
      </w:pPr>
    </w:p>
    <w:p>
      <w:pPr>
        <w:ind w:right="20" w:firstLine="351"/>
        <w:spacing w:after="0" w:line="253" w:lineRule="auto"/>
        <w:rPr>
          <w:sz w:val="20"/>
          <w:szCs w:val="20"/>
          <w:color w:val="auto"/>
        </w:rPr>
      </w:pPr>
      <w:r>
        <w:rPr>
          <w:rFonts w:ascii="Arial" w:cs="Arial" w:eastAsia="Arial" w:hAnsi="Arial"/>
          <w:sz w:val="18"/>
          <w:szCs w:val="18"/>
          <w:color w:val="auto"/>
        </w:rPr>
        <w:t>In the ordinary course of business, Tree.com is a party to various lawsuits. Tree.com establishes reserves for specific legal matters when it determines that the likelihood of an unfavorable outcome is probable and the loss is reasonably estimable. Management has also identified certain other legal matters where it believes an unfavorable outcome is not probable and, therefore, no reserve is established. Although management currently believes that an unfavorable resolution of claims against Tree.com, including claims where an unfavorable outcome is reasonably possible, will not have a material impact on the liquidity, results of operations, or financial condition of Tree.com, these matters are subject to inherent uncertainties and management's view of these matters may change in the future. It is possible that an unfavorable outcome of one or more of these lawsuits could have a material impact on the liquidity, results of operations, or financial condition of Tree.com. Tree.com also evaluates other contingent matters, including tax contingencies, to assess the probability and estimated extent of potential loss.</w:t>
      </w:r>
    </w:p>
    <w:p>
      <w:pPr>
        <w:spacing w:after="0" w:line="19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35" w:name="page36"/>
    <w:bookmarkEnd w:id="3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TREE.COM, INC. AND SUBSIDIARIES</w:t>
      </w:r>
    </w:p>
    <w:p>
      <w:pPr>
        <w:spacing w:after="0" w:line="225" w:lineRule="exact"/>
        <w:rPr>
          <w:sz w:val="20"/>
          <w:szCs w:val="20"/>
          <w:color w:val="auto"/>
        </w:rPr>
      </w:pPr>
    </w:p>
    <w:p>
      <w:pPr>
        <w:ind w:left="294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13—RESTRUCTURING CHARGES</w:t>
      </w:r>
    </w:p>
    <w:p>
      <w:pPr>
        <w:spacing w:after="0" w:line="231" w:lineRule="exact"/>
        <w:rPr>
          <w:sz w:val="20"/>
          <w:szCs w:val="20"/>
          <w:color w:val="auto"/>
        </w:rPr>
      </w:pPr>
    </w:p>
    <w:p>
      <w:pPr>
        <w:ind w:right="140" w:firstLine="348"/>
        <w:spacing w:after="0" w:line="298" w:lineRule="auto"/>
        <w:rPr>
          <w:sz w:val="20"/>
          <w:szCs w:val="20"/>
          <w:color w:val="auto"/>
        </w:rPr>
      </w:pPr>
      <w:r>
        <w:rPr>
          <w:rFonts w:ascii="Arial" w:cs="Arial" w:eastAsia="Arial" w:hAnsi="Arial"/>
          <w:sz w:val="16"/>
          <w:szCs w:val="16"/>
          <w:color w:val="auto"/>
        </w:rPr>
        <w:t>The restructuring charges in 2010 primarily relate to continuing lease obligations on facilities previously used for call center operations, for which management had a plan to exit at December 31, 2009, but the cease-use date did not occur until January 2010. The restructuring charges in 2009 primarily relate to Tree.com's segment reorganizations and aligning the cost structure with future revenue opportunities. Costs that relate to ongoing operations are not part of restructuring charges. Restructuring charges by segment and type are as follows (in thousands):</w:t>
      </w:r>
    </w:p>
    <w:p>
      <w:pPr>
        <w:spacing w:after="0" w:line="216"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56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3100" w:type="dxa"/>
            <w:vAlign w:val="bottom"/>
            <w:tcBorders>
              <w:bottom w:val="single" w:sz="8" w:color="auto"/>
            </w:tcBorders>
            <w:gridSpan w:val="16"/>
          </w:tcPr>
          <w:p>
            <w:pPr>
              <w:ind w:left="180"/>
              <w:spacing w:after="0"/>
              <w:rPr>
                <w:sz w:val="20"/>
                <w:szCs w:val="20"/>
                <w:color w:val="auto"/>
              </w:rPr>
            </w:pPr>
            <w:r>
              <w:rPr>
                <w:rFonts w:ascii="Arial" w:cs="Arial" w:eastAsia="Arial" w:hAnsi="Arial"/>
                <w:sz w:val="14"/>
                <w:szCs w:val="14"/>
                <w:b w:val="1"/>
                <w:bCs w:val="1"/>
                <w:color w:val="auto"/>
                <w:w w:val="88"/>
              </w:rPr>
              <w:t>For The Three Months Ended September 30, 2010</w:t>
            </w:r>
          </w:p>
        </w:tc>
        <w:tc>
          <w:tcPr>
            <w:tcW w:w="28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r>
      <w:tr>
        <w:trPr>
          <w:trHeight w:val="129"/>
        </w:trPr>
        <w:tc>
          <w:tcPr>
            <w:tcW w:w="20" w:type="dxa"/>
            <w:vAlign w:val="bottom"/>
          </w:tcPr>
          <w:p>
            <w:pPr>
              <w:spacing w:after="0"/>
              <w:rPr>
                <w:sz w:val="11"/>
                <w:szCs w:val="11"/>
                <w:color w:val="auto"/>
              </w:rPr>
            </w:pPr>
          </w:p>
        </w:tc>
        <w:tc>
          <w:tcPr>
            <w:tcW w:w="3560" w:type="dxa"/>
            <w:vAlign w:val="bottom"/>
          </w:tcPr>
          <w:p>
            <w:pPr>
              <w:spacing w:after="0"/>
              <w:rPr>
                <w:sz w:val="11"/>
                <w:szCs w:val="11"/>
                <w:color w:val="auto"/>
              </w:rPr>
            </w:pPr>
          </w:p>
        </w:tc>
        <w:tc>
          <w:tcPr>
            <w:tcW w:w="19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gridSpan w:val="2"/>
          </w:tcPr>
          <w:p>
            <w:pPr>
              <w:jc w:val="center"/>
              <w:ind w:right="200"/>
              <w:spacing w:after="0" w:line="129" w:lineRule="exact"/>
              <w:rPr>
                <w:sz w:val="20"/>
                <w:szCs w:val="20"/>
                <w:color w:val="auto"/>
              </w:rPr>
            </w:pPr>
            <w:r>
              <w:rPr>
                <w:rFonts w:ascii="Arial" w:cs="Arial" w:eastAsia="Arial" w:hAnsi="Arial"/>
                <w:sz w:val="14"/>
                <w:szCs w:val="14"/>
                <w:b w:val="1"/>
                <w:bCs w:val="1"/>
                <w:color w:val="auto"/>
                <w:w w:val="84"/>
              </w:rPr>
              <w:t>Employee</w:t>
            </w: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940" w:type="dxa"/>
            <w:vAlign w:val="bottom"/>
            <w:gridSpan w:val="4"/>
          </w:tcPr>
          <w:p>
            <w:pPr>
              <w:jc w:val="center"/>
              <w:ind w:right="200"/>
              <w:spacing w:after="0" w:line="129" w:lineRule="exact"/>
              <w:rPr>
                <w:sz w:val="20"/>
                <w:szCs w:val="20"/>
                <w:color w:val="auto"/>
              </w:rPr>
            </w:pPr>
            <w:r>
              <w:rPr>
                <w:rFonts w:ascii="Arial" w:cs="Arial" w:eastAsia="Arial" w:hAnsi="Arial"/>
                <w:sz w:val="14"/>
                <w:szCs w:val="14"/>
                <w:b w:val="1"/>
                <w:bCs w:val="1"/>
                <w:color w:val="auto"/>
                <w:w w:val="89"/>
              </w:rPr>
              <w:t>Continuing</w:t>
            </w: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r>
      <w:tr>
        <w:trPr>
          <w:trHeight w:val="149"/>
        </w:trPr>
        <w:tc>
          <w:tcPr>
            <w:tcW w:w="20" w:type="dxa"/>
            <w:vAlign w:val="bottom"/>
          </w:tcPr>
          <w:p>
            <w:pPr>
              <w:spacing w:after="0"/>
              <w:rPr>
                <w:sz w:val="12"/>
                <w:szCs w:val="12"/>
                <w:color w:val="auto"/>
              </w:rPr>
            </w:pPr>
          </w:p>
        </w:tc>
        <w:tc>
          <w:tcPr>
            <w:tcW w:w="356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8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89"/>
              </w:rPr>
              <w:t>Termination</w:t>
            </w: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gridSpan w:val="3"/>
          </w:tcPr>
          <w:p>
            <w:pPr>
              <w:jc w:val="center"/>
              <w:ind w:right="340"/>
              <w:spacing w:after="0" w:line="149" w:lineRule="exact"/>
              <w:rPr>
                <w:sz w:val="20"/>
                <w:szCs w:val="20"/>
                <w:color w:val="auto"/>
              </w:rPr>
            </w:pPr>
            <w:r>
              <w:rPr>
                <w:rFonts w:ascii="Arial" w:cs="Arial" w:eastAsia="Arial" w:hAnsi="Arial"/>
                <w:sz w:val="14"/>
                <w:szCs w:val="14"/>
                <w:b w:val="1"/>
                <w:bCs w:val="1"/>
                <w:color w:val="auto"/>
                <w:w w:val="85"/>
              </w:rPr>
              <w:t>Lease</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Asset</w:t>
            </w: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161"/>
        </w:trPr>
        <w:tc>
          <w:tcPr>
            <w:tcW w:w="20" w:type="dxa"/>
            <w:vAlign w:val="bottom"/>
          </w:tcPr>
          <w:p>
            <w:pPr>
              <w:spacing w:after="0"/>
              <w:rPr>
                <w:sz w:val="14"/>
                <w:szCs w:val="14"/>
                <w:color w:val="auto"/>
              </w:rPr>
            </w:pPr>
          </w:p>
        </w:tc>
        <w:tc>
          <w:tcPr>
            <w:tcW w:w="356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center"/>
              <w:ind w:right="60"/>
              <w:spacing w:after="0"/>
              <w:rPr>
                <w:sz w:val="20"/>
                <w:szCs w:val="20"/>
                <w:color w:val="auto"/>
              </w:rPr>
            </w:pPr>
            <w:r>
              <w:rPr>
                <w:rFonts w:ascii="Arial" w:cs="Arial" w:eastAsia="Arial" w:hAnsi="Arial"/>
                <w:sz w:val="14"/>
                <w:szCs w:val="14"/>
                <w:b w:val="1"/>
                <w:bCs w:val="1"/>
                <w:color w:val="auto"/>
                <w:w w:val="82"/>
              </w:rPr>
              <w:t>Costs</w:t>
            </w: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5"/>
              </w:rPr>
              <w:t>Obligations</w:t>
            </w:r>
          </w:p>
        </w:tc>
        <w:tc>
          <w:tcPr>
            <w:tcW w:w="140" w:type="dxa"/>
            <w:vAlign w:val="bottom"/>
            <w:gridSpan w:val="2"/>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1"/>
              </w:rPr>
              <w:t>Write-offs</w:t>
            </w:r>
          </w:p>
        </w:tc>
        <w:tc>
          <w:tcPr>
            <w:tcW w:w="180" w:type="dxa"/>
            <w:vAlign w:val="bottom"/>
            <w:gridSpan w:val="2"/>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gridSpan w:val="2"/>
          </w:tcPr>
          <w:p>
            <w:pPr>
              <w:jc w:val="right"/>
              <w:ind w:right="12"/>
              <w:spacing w:after="0"/>
              <w:rPr>
                <w:sz w:val="20"/>
                <w:szCs w:val="20"/>
                <w:color w:val="auto"/>
              </w:rPr>
            </w:pPr>
            <w:r>
              <w:rPr>
                <w:rFonts w:ascii="Arial" w:cs="Arial" w:eastAsia="Arial" w:hAnsi="Arial"/>
                <w:sz w:val="14"/>
                <w:szCs w:val="14"/>
                <w:b w:val="1"/>
                <w:bCs w:val="1"/>
                <w:color w:val="auto"/>
              </w:rPr>
              <w:t>Total</w:t>
            </w:r>
          </w:p>
        </w:tc>
        <w:tc>
          <w:tcPr>
            <w:tcW w:w="160" w:type="dxa"/>
            <w:vAlign w:val="bottom"/>
          </w:tcPr>
          <w:p>
            <w:pPr>
              <w:spacing w:after="0"/>
              <w:rPr>
                <w:sz w:val="14"/>
                <w:szCs w:val="14"/>
                <w:color w:val="auto"/>
              </w:rPr>
            </w:pPr>
          </w:p>
        </w:tc>
      </w:tr>
      <w:tr>
        <w:trPr>
          <w:trHeight w:val="210"/>
        </w:trPr>
        <w:tc>
          <w:tcPr>
            <w:tcW w:w="20" w:type="dxa"/>
            <w:vAlign w:val="bottom"/>
          </w:tcPr>
          <w:p>
            <w:pPr>
              <w:spacing w:after="0"/>
              <w:rPr>
                <w:sz w:val="18"/>
                <w:szCs w:val="18"/>
                <w:color w:val="auto"/>
              </w:rPr>
            </w:pPr>
          </w:p>
        </w:tc>
        <w:tc>
          <w:tcPr>
            <w:tcW w:w="3560" w:type="dxa"/>
            <w:vAlign w:val="bottom"/>
            <w:shd w:val="clear" w:color="auto" w:fill="CCEEFF"/>
          </w:tcPr>
          <w:p>
            <w:pPr>
              <w:spacing w:after="0"/>
              <w:rPr>
                <w:sz w:val="20"/>
                <w:szCs w:val="20"/>
                <w:color w:val="auto"/>
              </w:rPr>
            </w:pPr>
            <w:r>
              <w:rPr>
                <w:rFonts w:ascii="Arial" w:cs="Arial" w:eastAsia="Arial" w:hAnsi="Arial"/>
                <w:sz w:val="18"/>
                <w:szCs w:val="18"/>
                <w:color w:val="auto"/>
              </w:rPr>
              <w:t>LendingTree Loans</w:t>
            </w:r>
          </w:p>
        </w:tc>
        <w:tc>
          <w:tcPr>
            <w:tcW w:w="20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320" w:type="dxa"/>
            <w:vAlign w:val="bottom"/>
            <w:gridSpan w:val="3"/>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8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(14)</w:t>
            </w:r>
          </w:p>
        </w:tc>
        <w:tc>
          <w:tcPr>
            <w:tcW w:w="220" w:type="dxa"/>
            <w:vAlign w:val="bottom"/>
            <w:gridSpan w:val="3"/>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74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gridSpan w:val="2"/>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(14)</w:t>
            </w:r>
          </w:p>
        </w:tc>
      </w:tr>
      <w:tr>
        <w:trPr>
          <w:trHeight w:val="216"/>
        </w:trPr>
        <w:tc>
          <w:tcPr>
            <w:tcW w:w="20" w:type="dxa"/>
            <w:vAlign w:val="bottom"/>
          </w:tcPr>
          <w:p>
            <w:pPr>
              <w:spacing w:after="0"/>
              <w:rPr>
                <w:sz w:val="18"/>
                <w:szCs w:val="18"/>
                <w:color w:val="auto"/>
              </w:rPr>
            </w:pPr>
          </w:p>
        </w:tc>
        <w:tc>
          <w:tcPr>
            <w:tcW w:w="3560" w:type="dxa"/>
            <w:vAlign w:val="bottom"/>
          </w:tcPr>
          <w:p>
            <w:pPr>
              <w:spacing w:after="0"/>
              <w:rPr>
                <w:sz w:val="20"/>
                <w:szCs w:val="20"/>
                <w:color w:val="auto"/>
              </w:rPr>
            </w:pPr>
            <w:r>
              <w:rPr>
                <w:rFonts w:ascii="Arial" w:cs="Arial" w:eastAsia="Arial" w:hAnsi="Arial"/>
                <w:sz w:val="18"/>
                <w:szCs w:val="18"/>
                <w:color w:val="auto"/>
              </w:rPr>
              <w:t>Exchanges</w:t>
            </w:r>
          </w:p>
        </w:tc>
        <w:tc>
          <w:tcPr>
            <w:tcW w:w="19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44</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44</w:t>
            </w: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560" w:type="dxa"/>
            <w:vAlign w:val="bottom"/>
            <w:shd w:val="clear" w:color="auto" w:fill="CCEEFF"/>
          </w:tcPr>
          <w:p>
            <w:pPr>
              <w:spacing w:after="0"/>
              <w:rPr>
                <w:sz w:val="20"/>
                <w:szCs w:val="20"/>
                <w:color w:val="auto"/>
              </w:rPr>
            </w:pPr>
            <w:r>
              <w:rPr>
                <w:rFonts w:ascii="Arial" w:cs="Arial" w:eastAsia="Arial" w:hAnsi="Arial"/>
                <w:sz w:val="18"/>
                <w:szCs w:val="18"/>
                <w:color w:val="auto"/>
              </w:rPr>
              <w:t>Real Estate</w:t>
            </w:r>
          </w:p>
        </w:tc>
        <w:tc>
          <w:tcPr>
            <w:tcW w:w="19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288</w:t>
            </w:r>
          </w:p>
        </w:tc>
        <w:tc>
          <w:tcPr>
            <w:tcW w:w="160" w:type="dxa"/>
            <w:vAlign w:val="bottom"/>
            <w:shd w:val="clear" w:color="auto" w:fill="CCEEFF"/>
          </w:tcPr>
          <w:p>
            <w:pPr>
              <w:spacing w:after="0"/>
              <w:rPr>
                <w:sz w:val="18"/>
                <w:szCs w:val="18"/>
                <w:color w:val="auto"/>
              </w:rPr>
            </w:pPr>
          </w:p>
        </w:tc>
      </w:tr>
      <w:tr>
        <w:trPr>
          <w:trHeight w:val="222"/>
        </w:trPr>
        <w:tc>
          <w:tcPr>
            <w:tcW w:w="20" w:type="dxa"/>
            <w:vAlign w:val="bottom"/>
          </w:tcPr>
          <w:p>
            <w:pPr>
              <w:spacing w:after="0"/>
              <w:rPr>
                <w:sz w:val="19"/>
                <w:szCs w:val="19"/>
                <w:color w:val="auto"/>
              </w:rPr>
            </w:pPr>
          </w:p>
        </w:tc>
        <w:tc>
          <w:tcPr>
            <w:tcW w:w="3560" w:type="dxa"/>
            <w:vAlign w:val="bottom"/>
          </w:tcPr>
          <w:p>
            <w:pPr>
              <w:spacing w:after="0"/>
              <w:rPr>
                <w:sz w:val="20"/>
                <w:szCs w:val="20"/>
                <w:color w:val="auto"/>
              </w:rPr>
            </w:pPr>
            <w:r>
              <w:rPr>
                <w:rFonts w:ascii="Arial" w:cs="Arial" w:eastAsia="Arial" w:hAnsi="Arial"/>
                <w:sz w:val="18"/>
                <w:szCs w:val="18"/>
                <w:color w:val="auto"/>
              </w:rPr>
              <w:t>Unallocated—corporate</w:t>
            </w:r>
          </w:p>
        </w:tc>
        <w:tc>
          <w:tcPr>
            <w:tcW w:w="19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3</w:t>
            </w:r>
          </w:p>
        </w:tc>
        <w:tc>
          <w:tcPr>
            <w:tcW w:w="160" w:type="dxa"/>
            <w:vAlign w:val="bottom"/>
          </w:tcPr>
          <w:p>
            <w:pPr>
              <w:spacing w:after="0"/>
              <w:rPr>
                <w:sz w:val="19"/>
                <w:szCs w:val="19"/>
                <w:color w:val="auto"/>
              </w:rPr>
            </w:pPr>
          </w:p>
        </w:tc>
      </w:tr>
      <w:tr>
        <w:trPr>
          <w:trHeight w:val="21"/>
        </w:trPr>
        <w:tc>
          <w:tcPr>
            <w:tcW w:w="20" w:type="dxa"/>
            <w:vAlign w:val="bottom"/>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356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20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60" w:type="dxa"/>
            <w:vAlign w:val="bottom"/>
            <w:shd w:val="clear" w:color="auto" w:fill="CCEEFF"/>
          </w:tcPr>
          <w:p>
            <w:pPr>
              <w:spacing w:after="0"/>
              <w:rPr>
                <w:sz w:val="18"/>
                <w:szCs w:val="18"/>
                <w:color w:val="auto"/>
              </w:rPr>
            </w:pPr>
          </w:p>
        </w:tc>
        <w:tc>
          <w:tcPr>
            <w:tcW w:w="320" w:type="dxa"/>
            <w:vAlign w:val="bottom"/>
            <w:gridSpan w:val="3"/>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gridSpan w:val="3"/>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321</w:t>
            </w:r>
          </w:p>
        </w:tc>
        <w:tc>
          <w:tcPr>
            <w:tcW w:w="160" w:type="dxa"/>
            <w:vAlign w:val="bottom"/>
            <w:shd w:val="clear" w:color="auto" w:fill="CCEEFF"/>
          </w:tcPr>
          <w:p>
            <w:pPr>
              <w:spacing w:after="0"/>
              <w:rPr>
                <w:sz w:val="18"/>
                <w:szCs w:val="18"/>
                <w:color w:val="auto"/>
              </w:rPr>
            </w:pPr>
          </w:p>
        </w:tc>
      </w:tr>
      <w:tr>
        <w:trPr>
          <w:trHeight w:val="27"/>
        </w:trPr>
        <w:tc>
          <w:tcPr>
            <w:tcW w:w="20" w:type="dxa"/>
            <w:vAlign w:val="bottom"/>
          </w:tcPr>
          <w:p>
            <w:pPr>
              <w:spacing w:after="0"/>
              <w:rPr>
                <w:sz w:val="2"/>
                <w:szCs w:val="2"/>
                <w:color w:val="auto"/>
              </w:rPr>
            </w:pPr>
          </w:p>
        </w:tc>
        <w:tc>
          <w:tcPr>
            <w:tcW w:w="3560" w:type="dxa"/>
            <w:vAlign w:val="bottom"/>
          </w:tcPr>
          <w:p>
            <w:pPr>
              <w:spacing w:after="0"/>
              <w:rPr>
                <w:sz w:val="2"/>
                <w:szCs w:val="2"/>
                <w:color w:val="auto"/>
              </w:rPr>
            </w:pPr>
          </w:p>
        </w:tc>
        <w:tc>
          <w:tcPr>
            <w:tcW w:w="1900" w:type="dxa"/>
            <w:vAlign w:val="bottom"/>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00" w:type="dxa"/>
            <w:vAlign w:val="bottom"/>
            <w:gridSpan w:val="2"/>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gridSpan w:val="2"/>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gridSpan w:val="2"/>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gridSpan w:val="2"/>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r>
      <w:tr>
        <w:trPr>
          <w:trHeight w:val="20"/>
        </w:trPr>
        <w:tc>
          <w:tcPr>
            <w:tcW w:w="20" w:type="dxa"/>
            <w:vAlign w:val="bottom"/>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831"/>
        </w:trPr>
        <w:tc>
          <w:tcPr>
            <w:tcW w:w="20" w:type="dxa"/>
            <w:vAlign w:val="bottom"/>
          </w:tcPr>
          <w:p>
            <w:pPr>
              <w:spacing w:after="0"/>
              <w:rPr>
                <w:sz w:val="24"/>
                <w:szCs w:val="24"/>
                <w:color w:val="auto"/>
              </w:rPr>
            </w:pPr>
          </w:p>
        </w:tc>
        <w:tc>
          <w:tcPr>
            <w:tcW w:w="356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100" w:type="dxa"/>
            <w:vAlign w:val="bottom"/>
            <w:tcBorders>
              <w:bottom w:val="single" w:sz="8" w:color="auto"/>
            </w:tcBorders>
            <w:gridSpan w:val="16"/>
          </w:tcPr>
          <w:p>
            <w:pPr>
              <w:ind w:left="200"/>
              <w:spacing w:after="0"/>
              <w:rPr>
                <w:sz w:val="20"/>
                <w:szCs w:val="20"/>
                <w:color w:val="auto"/>
              </w:rPr>
            </w:pPr>
            <w:r>
              <w:rPr>
                <w:rFonts w:ascii="Arial" w:cs="Arial" w:eastAsia="Arial" w:hAnsi="Arial"/>
                <w:sz w:val="14"/>
                <w:szCs w:val="14"/>
                <w:b w:val="1"/>
                <w:bCs w:val="1"/>
                <w:color w:val="auto"/>
                <w:w w:val="87"/>
              </w:rPr>
              <w:t>For The Three Months Ended September 30, 2009</w:t>
            </w:r>
          </w:p>
        </w:tc>
        <w:tc>
          <w:tcPr>
            <w:tcW w:w="280" w:type="dxa"/>
            <w:vAlign w:val="bottom"/>
            <w:tcBorders>
              <w:bottom w:val="single" w:sz="8" w:color="auto"/>
            </w:tcBorders>
          </w:tcPr>
          <w:p>
            <w:pPr>
              <w:spacing w:after="0"/>
              <w:rPr>
                <w:sz w:val="24"/>
                <w:szCs w:val="24"/>
                <w:color w:val="auto"/>
              </w:rPr>
            </w:pPr>
          </w:p>
        </w:tc>
        <w:tc>
          <w:tcPr>
            <w:tcW w:w="160" w:type="dxa"/>
            <w:vAlign w:val="bottom"/>
          </w:tcPr>
          <w:p>
            <w:pPr>
              <w:spacing w:after="0"/>
              <w:rPr>
                <w:sz w:val="24"/>
                <w:szCs w:val="24"/>
                <w:color w:val="auto"/>
              </w:rPr>
            </w:pPr>
          </w:p>
        </w:tc>
      </w:tr>
      <w:tr>
        <w:trPr>
          <w:trHeight w:val="129"/>
        </w:trPr>
        <w:tc>
          <w:tcPr>
            <w:tcW w:w="20" w:type="dxa"/>
            <w:vAlign w:val="bottom"/>
          </w:tcPr>
          <w:p>
            <w:pPr>
              <w:spacing w:after="0"/>
              <w:rPr>
                <w:sz w:val="11"/>
                <w:szCs w:val="11"/>
                <w:color w:val="auto"/>
              </w:rPr>
            </w:pPr>
          </w:p>
        </w:tc>
        <w:tc>
          <w:tcPr>
            <w:tcW w:w="3560" w:type="dxa"/>
            <w:vAlign w:val="bottom"/>
          </w:tcPr>
          <w:p>
            <w:pPr>
              <w:spacing w:after="0"/>
              <w:rPr>
                <w:sz w:val="11"/>
                <w:szCs w:val="11"/>
                <w:color w:val="auto"/>
              </w:rPr>
            </w:pPr>
          </w:p>
        </w:tc>
        <w:tc>
          <w:tcPr>
            <w:tcW w:w="19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gridSpan w:val="2"/>
          </w:tcPr>
          <w:p>
            <w:pPr>
              <w:jc w:val="right"/>
              <w:ind w:right="180"/>
              <w:spacing w:after="0" w:line="129" w:lineRule="exact"/>
              <w:rPr>
                <w:sz w:val="20"/>
                <w:szCs w:val="20"/>
                <w:color w:val="auto"/>
              </w:rPr>
            </w:pPr>
            <w:r>
              <w:rPr>
                <w:rFonts w:ascii="Arial" w:cs="Arial" w:eastAsia="Arial" w:hAnsi="Arial"/>
                <w:sz w:val="14"/>
                <w:szCs w:val="14"/>
                <w:b w:val="1"/>
                <w:bCs w:val="1"/>
                <w:color w:val="auto"/>
                <w:w w:val="90"/>
              </w:rPr>
              <w:t>Employee</w:t>
            </w: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940" w:type="dxa"/>
            <w:vAlign w:val="bottom"/>
            <w:gridSpan w:val="4"/>
          </w:tcPr>
          <w:p>
            <w:pPr>
              <w:jc w:val="center"/>
              <w:ind w:right="120"/>
              <w:spacing w:after="0" w:line="129" w:lineRule="exact"/>
              <w:rPr>
                <w:sz w:val="20"/>
                <w:szCs w:val="20"/>
                <w:color w:val="auto"/>
              </w:rPr>
            </w:pPr>
            <w:r>
              <w:rPr>
                <w:rFonts w:ascii="Arial" w:cs="Arial" w:eastAsia="Arial" w:hAnsi="Arial"/>
                <w:sz w:val="14"/>
                <w:szCs w:val="14"/>
                <w:b w:val="1"/>
                <w:bCs w:val="1"/>
                <w:color w:val="auto"/>
                <w:w w:val="89"/>
              </w:rPr>
              <w:t>Continuing</w:t>
            </w: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r>
      <w:tr>
        <w:trPr>
          <w:trHeight w:val="149"/>
        </w:trPr>
        <w:tc>
          <w:tcPr>
            <w:tcW w:w="20" w:type="dxa"/>
            <w:vAlign w:val="bottom"/>
          </w:tcPr>
          <w:p>
            <w:pPr>
              <w:spacing w:after="0"/>
              <w:rPr>
                <w:sz w:val="12"/>
                <w:szCs w:val="12"/>
                <w:color w:val="auto"/>
              </w:rPr>
            </w:pPr>
          </w:p>
        </w:tc>
        <w:tc>
          <w:tcPr>
            <w:tcW w:w="356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80" w:type="dxa"/>
            <w:vAlign w:val="bottom"/>
            <w:gridSpan w:val="3"/>
          </w:tcPr>
          <w:p>
            <w:pPr>
              <w:jc w:val="right"/>
              <w:ind w:right="100"/>
              <w:spacing w:after="0" w:line="149" w:lineRule="exact"/>
              <w:rPr>
                <w:sz w:val="20"/>
                <w:szCs w:val="20"/>
                <w:color w:val="auto"/>
              </w:rPr>
            </w:pPr>
            <w:r>
              <w:rPr>
                <w:rFonts w:ascii="Arial" w:cs="Arial" w:eastAsia="Arial" w:hAnsi="Arial"/>
                <w:sz w:val="14"/>
                <w:szCs w:val="14"/>
                <w:b w:val="1"/>
                <w:bCs w:val="1"/>
                <w:color w:val="auto"/>
                <w:w w:val="94"/>
              </w:rPr>
              <w:t>Termination</w:t>
            </w: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gridSpan w:val="3"/>
          </w:tcPr>
          <w:p>
            <w:pPr>
              <w:jc w:val="center"/>
              <w:ind w:right="260"/>
              <w:spacing w:after="0" w:line="149" w:lineRule="exact"/>
              <w:rPr>
                <w:sz w:val="20"/>
                <w:szCs w:val="20"/>
                <w:color w:val="auto"/>
              </w:rPr>
            </w:pPr>
            <w:r>
              <w:rPr>
                <w:rFonts w:ascii="Arial" w:cs="Arial" w:eastAsia="Arial" w:hAnsi="Arial"/>
                <w:sz w:val="14"/>
                <w:szCs w:val="14"/>
                <w:b w:val="1"/>
                <w:bCs w:val="1"/>
                <w:color w:val="auto"/>
                <w:w w:val="85"/>
              </w:rPr>
              <w:t>Lease</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gridSpan w:val="3"/>
          </w:tcPr>
          <w:p>
            <w:pPr>
              <w:ind w:left="80"/>
              <w:spacing w:after="0" w:line="149" w:lineRule="exact"/>
              <w:rPr>
                <w:sz w:val="20"/>
                <w:szCs w:val="20"/>
                <w:color w:val="auto"/>
              </w:rPr>
            </w:pPr>
            <w:r>
              <w:rPr>
                <w:rFonts w:ascii="Arial" w:cs="Arial" w:eastAsia="Arial" w:hAnsi="Arial"/>
                <w:sz w:val="14"/>
                <w:szCs w:val="14"/>
                <w:b w:val="1"/>
                <w:bCs w:val="1"/>
                <w:color w:val="auto"/>
              </w:rPr>
              <w:t>Asset</w:t>
            </w: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161"/>
        </w:trPr>
        <w:tc>
          <w:tcPr>
            <w:tcW w:w="20" w:type="dxa"/>
            <w:vAlign w:val="bottom"/>
          </w:tcPr>
          <w:p>
            <w:pPr>
              <w:spacing w:after="0"/>
              <w:rPr>
                <w:sz w:val="14"/>
                <w:szCs w:val="14"/>
                <w:color w:val="auto"/>
              </w:rPr>
            </w:pPr>
          </w:p>
        </w:tc>
        <w:tc>
          <w:tcPr>
            <w:tcW w:w="356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gridSpan w:val="2"/>
          </w:tcPr>
          <w:p>
            <w:pPr>
              <w:ind w:left="180"/>
              <w:spacing w:after="0"/>
              <w:rPr>
                <w:sz w:val="20"/>
                <w:szCs w:val="20"/>
                <w:color w:val="auto"/>
              </w:rPr>
            </w:pPr>
            <w:r>
              <w:rPr>
                <w:rFonts w:ascii="Arial" w:cs="Arial" w:eastAsia="Arial" w:hAnsi="Arial"/>
                <w:sz w:val="14"/>
                <w:szCs w:val="14"/>
                <w:b w:val="1"/>
                <w:bCs w:val="1"/>
                <w:color w:val="auto"/>
              </w:rPr>
              <w:t>Costs</w:t>
            </w: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40" w:type="dxa"/>
            <w:vAlign w:val="bottom"/>
            <w:tcBorders>
              <w:bottom w:val="single" w:sz="8" w:color="auto"/>
            </w:tcBorders>
            <w:gridSpan w:val="3"/>
          </w:tcPr>
          <w:p>
            <w:pPr>
              <w:jc w:val="center"/>
              <w:ind w:right="20"/>
              <w:spacing w:after="0"/>
              <w:rPr>
                <w:sz w:val="20"/>
                <w:szCs w:val="20"/>
                <w:color w:val="auto"/>
              </w:rPr>
            </w:pPr>
            <w:r>
              <w:rPr>
                <w:rFonts w:ascii="Arial" w:cs="Arial" w:eastAsia="Arial" w:hAnsi="Arial"/>
                <w:sz w:val="14"/>
                <w:szCs w:val="14"/>
                <w:b w:val="1"/>
                <w:bCs w:val="1"/>
                <w:color w:val="auto"/>
                <w:w w:val="85"/>
              </w:rPr>
              <w:t>Obligations</w:t>
            </w: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tcBorders>
              <w:bottom w:val="single" w:sz="8" w:color="auto"/>
            </w:tcBorders>
            <w:gridSpan w:val="3"/>
          </w:tcPr>
          <w:p>
            <w:pPr>
              <w:ind w:left="60"/>
              <w:spacing w:after="0"/>
              <w:rPr>
                <w:sz w:val="20"/>
                <w:szCs w:val="20"/>
                <w:color w:val="auto"/>
              </w:rPr>
            </w:pPr>
            <w:r>
              <w:rPr>
                <w:rFonts w:ascii="Arial" w:cs="Arial" w:eastAsia="Arial" w:hAnsi="Arial"/>
                <w:sz w:val="14"/>
                <w:szCs w:val="14"/>
                <w:b w:val="1"/>
                <w:bCs w:val="1"/>
                <w:color w:val="auto"/>
              </w:rPr>
              <w:t>Write-offs</w:t>
            </w: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Total</w:t>
            </w:r>
          </w:p>
        </w:tc>
        <w:tc>
          <w:tcPr>
            <w:tcW w:w="160" w:type="dxa"/>
            <w:vAlign w:val="bottom"/>
          </w:tcPr>
          <w:p>
            <w:pPr>
              <w:spacing w:after="0"/>
              <w:rPr>
                <w:sz w:val="14"/>
                <w:szCs w:val="14"/>
                <w:color w:val="auto"/>
              </w:rPr>
            </w:pPr>
          </w:p>
        </w:tc>
      </w:tr>
      <w:tr>
        <w:trPr>
          <w:trHeight w:val="210"/>
        </w:trPr>
        <w:tc>
          <w:tcPr>
            <w:tcW w:w="20" w:type="dxa"/>
            <w:vAlign w:val="bottom"/>
          </w:tcPr>
          <w:p>
            <w:pPr>
              <w:spacing w:after="0"/>
              <w:rPr>
                <w:sz w:val="18"/>
                <w:szCs w:val="18"/>
                <w:color w:val="auto"/>
              </w:rPr>
            </w:pPr>
          </w:p>
        </w:tc>
        <w:tc>
          <w:tcPr>
            <w:tcW w:w="3560" w:type="dxa"/>
            <w:vAlign w:val="bottom"/>
            <w:shd w:val="clear" w:color="auto" w:fill="CCEEFF"/>
          </w:tcPr>
          <w:p>
            <w:pPr>
              <w:spacing w:after="0"/>
              <w:rPr>
                <w:sz w:val="20"/>
                <w:szCs w:val="20"/>
                <w:color w:val="auto"/>
              </w:rPr>
            </w:pPr>
            <w:r>
              <w:rPr>
                <w:rFonts w:ascii="Arial" w:cs="Arial" w:eastAsia="Arial" w:hAnsi="Arial"/>
                <w:sz w:val="18"/>
                <w:szCs w:val="18"/>
                <w:color w:val="auto"/>
              </w:rPr>
              <w:t>LendingTree Loans</w:t>
            </w:r>
          </w:p>
        </w:tc>
        <w:tc>
          <w:tcPr>
            <w:tcW w:w="20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3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(54)</w:t>
            </w:r>
          </w:p>
        </w:tc>
        <w:tc>
          <w:tcPr>
            <w:tcW w:w="2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3"/>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220" w:type="dxa"/>
            <w:vAlign w:val="bottom"/>
            <w:gridSpan w:val="2"/>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(54)</w:t>
            </w:r>
          </w:p>
        </w:tc>
      </w:tr>
      <w:tr>
        <w:trPr>
          <w:trHeight w:val="216"/>
        </w:trPr>
        <w:tc>
          <w:tcPr>
            <w:tcW w:w="20" w:type="dxa"/>
            <w:vAlign w:val="bottom"/>
          </w:tcPr>
          <w:p>
            <w:pPr>
              <w:spacing w:after="0"/>
              <w:rPr>
                <w:sz w:val="18"/>
                <w:szCs w:val="18"/>
                <w:color w:val="auto"/>
              </w:rPr>
            </w:pPr>
          </w:p>
        </w:tc>
        <w:tc>
          <w:tcPr>
            <w:tcW w:w="3560" w:type="dxa"/>
            <w:vAlign w:val="bottom"/>
          </w:tcPr>
          <w:p>
            <w:pPr>
              <w:spacing w:after="0"/>
              <w:rPr>
                <w:sz w:val="20"/>
                <w:szCs w:val="20"/>
                <w:color w:val="auto"/>
              </w:rPr>
            </w:pPr>
            <w:r>
              <w:rPr>
                <w:rFonts w:ascii="Arial" w:cs="Arial" w:eastAsia="Arial" w:hAnsi="Arial"/>
                <w:sz w:val="18"/>
                <w:szCs w:val="18"/>
                <w:color w:val="auto"/>
              </w:rPr>
              <w:t>Exchanges</w:t>
            </w:r>
          </w:p>
        </w:tc>
        <w:tc>
          <w:tcPr>
            <w:tcW w:w="19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50</w:t>
            </w: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gridSpan w:val="3"/>
          </w:tcPr>
          <w:p>
            <w:pPr>
              <w:ind w:left="42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50</w:t>
            </w: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560" w:type="dxa"/>
            <w:vAlign w:val="bottom"/>
            <w:shd w:val="clear" w:color="auto" w:fill="CCEEFF"/>
          </w:tcPr>
          <w:p>
            <w:pPr>
              <w:spacing w:after="0"/>
              <w:rPr>
                <w:sz w:val="20"/>
                <w:szCs w:val="20"/>
                <w:color w:val="auto"/>
              </w:rPr>
            </w:pPr>
            <w:r>
              <w:rPr>
                <w:rFonts w:ascii="Arial" w:cs="Arial" w:eastAsia="Arial" w:hAnsi="Arial"/>
                <w:sz w:val="18"/>
                <w:szCs w:val="18"/>
                <w:color w:val="auto"/>
              </w:rPr>
              <w:t>Real Estate</w:t>
            </w:r>
          </w:p>
        </w:tc>
        <w:tc>
          <w:tcPr>
            <w:tcW w:w="19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53</w:t>
            </w: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gridSpan w:val="3"/>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160" w:type="dxa"/>
            <w:vAlign w:val="bottom"/>
            <w:shd w:val="clear" w:color="auto" w:fill="CCEEFF"/>
          </w:tcPr>
          <w:p>
            <w:pPr>
              <w:spacing w:after="0"/>
              <w:rPr>
                <w:sz w:val="18"/>
                <w:szCs w:val="18"/>
                <w:color w:val="auto"/>
              </w:rPr>
            </w:pPr>
          </w:p>
        </w:tc>
      </w:tr>
      <w:tr>
        <w:trPr>
          <w:trHeight w:val="222"/>
        </w:trPr>
        <w:tc>
          <w:tcPr>
            <w:tcW w:w="20" w:type="dxa"/>
            <w:vAlign w:val="bottom"/>
          </w:tcPr>
          <w:p>
            <w:pPr>
              <w:spacing w:after="0"/>
              <w:rPr>
                <w:sz w:val="19"/>
                <w:szCs w:val="19"/>
                <w:color w:val="auto"/>
              </w:rPr>
            </w:pPr>
          </w:p>
        </w:tc>
        <w:tc>
          <w:tcPr>
            <w:tcW w:w="3560" w:type="dxa"/>
            <w:vAlign w:val="bottom"/>
          </w:tcPr>
          <w:p>
            <w:pPr>
              <w:spacing w:after="0"/>
              <w:rPr>
                <w:sz w:val="20"/>
                <w:szCs w:val="20"/>
                <w:color w:val="auto"/>
              </w:rPr>
            </w:pPr>
            <w:r>
              <w:rPr>
                <w:rFonts w:ascii="Arial" w:cs="Arial" w:eastAsia="Arial" w:hAnsi="Arial"/>
                <w:sz w:val="18"/>
                <w:szCs w:val="18"/>
                <w:color w:val="auto"/>
              </w:rPr>
              <w:t>Unallocated—corporate</w:t>
            </w:r>
          </w:p>
        </w:tc>
        <w:tc>
          <w:tcPr>
            <w:tcW w:w="19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29</w:t>
            </w:r>
          </w:p>
        </w:tc>
        <w:tc>
          <w:tcPr>
            <w:tcW w:w="1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gridSpan w:val="3"/>
          </w:tcPr>
          <w:p>
            <w:pPr>
              <w:ind w:left="42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29</w:t>
            </w:r>
          </w:p>
        </w:tc>
        <w:tc>
          <w:tcPr>
            <w:tcW w:w="160" w:type="dxa"/>
            <w:vAlign w:val="bottom"/>
          </w:tcPr>
          <w:p>
            <w:pPr>
              <w:spacing w:after="0"/>
              <w:rPr>
                <w:sz w:val="19"/>
                <w:szCs w:val="19"/>
                <w:color w:val="auto"/>
              </w:rPr>
            </w:pPr>
          </w:p>
        </w:tc>
      </w:tr>
      <w:tr>
        <w:trPr>
          <w:trHeight w:val="21"/>
        </w:trPr>
        <w:tc>
          <w:tcPr>
            <w:tcW w:w="20" w:type="dxa"/>
            <w:vAlign w:val="bottom"/>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c>
          <w:tcPr>
            <w:tcW w:w="1940" w:type="dxa"/>
            <w:vAlign w:val="bottom"/>
            <w:gridSpan w:val="2"/>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356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20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132</w:t>
            </w:r>
          </w:p>
        </w:tc>
        <w:tc>
          <w:tcPr>
            <w:tcW w:w="3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(54)</w:t>
            </w:r>
          </w:p>
        </w:tc>
        <w:tc>
          <w:tcPr>
            <w:tcW w:w="2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3"/>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220" w:type="dxa"/>
            <w:vAlign w:val="bottom"/>
            <w:gridSpan w:val="2"/>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w:t>
            </w:r>
          </w:p>
        </w:tc>
        <w:tc>
          <w:tcPr>
            <w:tcW w:w="160" w:type="dxa"/>
            <w:vAlign w:val="bottom"/>
            <w:shd w:val="clear" w:color="auto" w:fill="CCEEFF"/>
          </w:tcPr>
          <w:p>
            <w:pPr>
              <w:spacing w:after="0"/>
              <w:rPr>
                <w:sz w:val="18"/>
                <w:szCs w:val="18"/>
                <w:color w:val="auto"/>
              </w:rPr>
            </w:pPr>
          </w:p>
        </w:tc>
      </w:tr>
      <w:tr>
        <w:trPr>
          <w:trHeight w:val="27"/>
        </w:trPr>
        <w:tc>
          <w:tcPr>
            <w:tcW w:w="20" w:type="dxa"/>
            <w:vAlign w:val="bottom"/>
          </w:tcPr>
          <w:p>
            <w:pPr>
              <w:spacing w:after="0"/>
              <w:rPr>
                <w:sz w:val="2"/>
                <w:szCs w:val="2"/>
                <w:color w:val="auto"/>
              </w:rPr>
            </w:pPr>
          </w:p>
        </w:tc>
        <w:tc>
          <w:tcPr>
            <w:tcW w:w="3560" w:type="dxa"/>
            <w:vAlign w:val="bottom"/>
          </w:tcPr>
          <w:p>
            <w:pPr>
              <w:spacing w:after="0"/>
              <w:rPr>
                <w:sz w:val="2"/>
                <w:szCs w:val="2"/>
                <w:color w:val="auto"/>
              </w:rPr>
            </w:pPr>
          </w:p>
        </w:tc>
        <w:tc>
          <w:tcPr>
            <w:tcW w:w="190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r>
      <w:tr>
        <w:trPr>
          <w:trHeight w:val="20"/>
        </w:trPr>
        <w:tc>
          <w:tcPr>
            <w:tcW w:w="20" w:type="dxa"/>
            <w:vAlign w:val="bottom"/>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308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740" w:type="dxa"/>
            <w:vAlign w:val="bottom"/>
            <w:gridSpan w:val="14"/>
          </w:tcPr>
          <w:p>
            <w:pPr>
              <w:ind w:left="260"/>
              <w:spacing w:after="0"/>
              <w:rPr>
                <w:sz w:val="20"/>
                <w:szCs w:val="20"/>
                <w:color w:val="auto"/>
              </w:rPr>
            </w:pPr>
            <w:r>
              <w:rPr>
                <w:rFonts w:ascii="Arial" w:cs="Arial" w:eastAsia="Arial" w:hAnsi="Arial"/>
                <w:sz w:val="14"/>
                <w:szCs w:val="14"/>
                <w:b w:val="1"/>
                <w:bCs w:val="1"/>
                <w:color w:val="auto"/>
              </w:rPr>
              <w:t>For The Nine Months Ended September 30, 2010</w:t>
            </w:r>
          </w:p>
        </w:tc>
        <w:tc>
          <w:tcPr>
            <w:tcW w:w="0" w:type="dxa"/>
            <w:vAlign w:val="bottom"/>
          </w:tcPr>
          <w:p>
            <w:pPr>
              <w:spacing w:after="0"/>
              <w:rPr>
                <w:sz w:val="1"/>
                <w:szCs w:val="1"/>
                <w:color w:val="auto"/>
              </w:rPr>
            </w:pPr>
          </w:p>
        </w:tc>
      </w:tr>
      <w:tr>
        <w:trPr>
          <w:trHeight w:val="129"/>
        </w:trPr>
        <w:tc>
          <w:tcPr>
            <w:tcW w:w="1160" w:type="dxa"/>
            <w:vAlign w:val="bottom"/>
          </w:tcPr>
          <w:p>
            <w:pPr>
              <w:spacing w:after="0"/>
              <w:rPr>
                <w:sz w:val="11"/>
                <w:szCs w:val="11"/>
                <w:color w:val="auto"/>
              </w:rPr>
            </w:pPr>
          </w:p>
        </w:tc>
        <w:tc>
          <w:tcPr>
            <w:tcW w:w="3080" w:type="dxa"/>
            <w:vAlign w:val="bottom"/>
          </w:tcPr>
          <w:p>
            <w:pPr>
              <w:spacing w:after="0"/>
              <w:rPr>
                <w:sz w:val="11"/>
                <w:szCs w:val="11"/>
                <w:color w:val="auto"/>
              </w:rPr>
            </w:pPr>
          </w:p>
        </w:tc>
        <w:tc>
          <w:tcPr>
            <w:tcW w:w="234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760" w:type="dxa"/>
            <w:vAlign w:val="bottom"/>
            <w:tcBorders>
              <w:top w:val="single" w:sz="8" w:color="auto"/>
            </w:tcBorders>
          </w:tcPr>
          <w:p>
            <w:pPr>
              <w:jc w:val="center"/>
              <w:ind w:right="40"/>
              <w:spacing w:after="0" w:line="129" w:lineRule="exact"/>
              <w:rPr>
                <w:sz w:val="20"/>
                <w:szCs w:val="20"/>
                <w:color w:val="auto"/>
              </w:rPr>
            </w:pPr>
            <w:r>
              <w:rPr>
                <w:rFonts w:ascii="Arial" w:cs="Arial" w:eastAsia="Arial" w:hAnsi="Arial"/>
                <w:sz w:val="14"/>
                <w:szCs w:val="14"/>
                <w:b w:val="1"/>
                <w:bCs w:val="1"/>
                <w:color w:val="auto"/>
                <w:w w:val="84"/>
              </w:rPr>
              <w:t>Employee</w:t>
            </w:r>
          </w:p>
        </w:tc>
        <w:tc>
          <w:tcPr>
            <w:tcW w:w="180" w:type="dxa"/>
            <w:vAlign w:val="bottom"/>
            <w:tcBorders>
              <w:top w:val="single" w:sz="8" w:color="auto"/>
            </w:tcBorders>
          </w:tcPr>
          <w:p>
            <w:pPr>
              <w:spacing w:after="0"/>
              <w:rPr>
                <w:sz w:val="11"/>
                <w:szCs w:val="11"/>
                <w:color w:val="auto"/>
              </w:rPr>
            </w:pPr>
          </w:p>
        </w:tc>
        <w:tc>
          <w:tcPr>
            <w:tcW w:w="940" w:type="dxa"/>
            <w:vAlign w:val="bottom"/>
            <w:tcBorders>
              <w:top w:val="single" w:sz="8" w:color="auto"/>
            </w:tcBorders>
            <w:gridSpan w:val="3"/>
          </w:tcPr>
          <w:p>
            <w:pPr>
              <w:jc w:val="center"/>
              <w:ind w:right="120"/>
              <w:spacing w:after="0" w:line="129" w:lineRule="exact"/>
              <w:rPr>
                <w:sz w:val="20"/>
                <w:szCs w:val="20"/>
                <w:color w:val="auto"/>
              </w:rPr>
            </w:pPr>
            <w:r>
              <w:rPr>
                <w:rFonts w:ascii="Arial" w:cs="Arial" w:eastAsia="Arial" w:hAnsi="Arial"/>
                <w:sz w:val="14"/>
                <w:szCs w:val="14"/>
                <w:b w:val="1"/>
                <w:bCs w:val="1"/>
                <w:color w:val="auto"/>
                <w:w w:val="89"/>
              </w:rPr>
              <w:t>Continuing</w:t>
            </w:r>
          </w:p>
        </w:tc>
        <w:tc>
          <w:tcPr>
            <w:tcW w:w="6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50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160" w:type="dxa"/>
            <w:vAlign w:val="bottom"/>
          </w:tcPr>
          <w:p>
            <w:pPr>
              <w:spacing w:after="0"/>
              <w:rPr>
                <w:sz w:val="12"/>
                <w:szCs w:val="12"/>
                <w:color w:val="auto"/>
              </w:rPr>
            </w:pPr>
          </w:p>
        </w:tc>
        <w:tc>
          <w:tcPr>
            <w:tcW w:w="3080" w:type="dxa"/>
            <w:vAlign w:val="bottom"/>
          </w:tcPr>
          <w:p>
            <w:pPr>
              <w:spacing w:after="0"/>
              <w:rPr>
                <w:sz w:val="12"/>
                <w:szCs w:val="12"/>
                <w:color w:val="auto"/>
              </w:rPr>
            </w:pPr>
          </w:p>
        </w:tc>
        <w:tc>
          <w:tcPr>
            <w:tcW w:w="2340" w:type="dxa"/>
            <w:vAlign w:val="bottom"/>
          </w:tcPr>
          <w:p>
            <w:pPr>
              <w:spacing w:after="0"/>
              <w:rPr>
                <w:sz w:val="12"/>
                <w:szCs w:val="12"/>
                <w:color w:val="auto"/>
              </w:rPr>
            </w:pPr>
          </w:p>
        </w:tc>
        <w:tc>
          <w:tcPr>
            <w:tcW w:w="86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9"/>
              </w:rPr>
              <w:t>Termination</w:t>
            </w: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80"/>
              </w:rPr>
              <w:t>Lease</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gridSpan w:val="2"/>
          </w:tcPr>
          <w:p>
            <w:pPr>
              <w:jc w:val="right"/>
              <w:ind w:right="320"/>
              <w:spacing w:after="0" w:line="149" w:lineRule="exact"/>
              <w:rPr>
                <w:sz w:val="20"/>
                <w:szCs w:val="20"/>
                <w:color w:val="auto"/>
              </w:rPr>
            </w:pPr>
            <w:r>
              <w:rPr>
                <w:rFonts w:ascii="Arial" w:cs="Arial" w:eastAsia="Arial" w:hAnsi="Arial"/>
                <w:sz w:val="14"/>
                <w:szCs w:val="14"/>
                <w:b w:val="1"/>
                <w:bCs w:val="1"/>
                <w:color w:val="auto"/>
                <w:w w:val="89"/>
              </w:rPr>
              <w:t>Asset</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1160" w:type="dxa"/>
            <w:vAlign w:val="bottom"/>
          </w:tcPr>
          <w:p>
            <w:pPr>
              <w:spacing w:after="0"/>
              <w:rPr>
                <w:sz w:val="14"/>
                <w:szCs w:val="14"/>
                <w:color w:val="auto"/>
              </w:rPr>
            </w:pPr>
          </w:p>
        </w:tc>
        <w:tc>
          <w:tcPr>
            <w:tcW w:w="308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center"/>
              <w:ind w:right="40"/>
              <w:spacing w:after="0"/>
              <w:rPr>
                <w:sz w:val="20"/>
                <w:szCs w:val="20"/>
                <w:color w:val="auto"/>
              </w:rPr>
            </w:pPr>
            <w:r>
              <w:rPr>
                <w:rFonts w:ascii="Arial" w:cs="Arial" w:eastAsia="Arial" w:hAnsi="Arial"/>
                <w:sz w:val="14"/>
                <w:szCs w:val="14"/>
                <w:b w:val="1"/>
                <w:bCs w:val="1"/>
                <w:color w:val="auto"/>
                <w:w w:val="82"/>
              </w:rPr>
              <w:t>Costs</w:t>
            </w:r>
          </w:p>
        </w:tc>
        <w:tc>
          <w:tcPr>
            <w:tcW w:w="180" w:type="dxa"/>
            <w:vAlign w:val="bottom"/>
          </w:tcPr>
          <w:p>
            <w:pPr>
              <w:spacing w:after="0"/>
              <w:rPr>
                <w:sz w:val="14"/>
                <w:szCs w:val="14"/>
                <w:color w:val="auto"/>
              </w:rPr>
            </w:pPr>
          </w:p>
        </w:tc>
        <w:tc>
          <w:tcPr>
            <w:tcW w:w="82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8"/>
              </w:rPr>
              <w:t>Obligations</w:t>
            </w: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4"/>
              </w:rPr>
              <w:t>Write-offs</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76"/>
              <w:spacing w:after="0"/>
              <w:rPr>
                <w:sz w:val="20"/>
                <w:szCs w:val="20"/>
                <w:color w:val="auto"/>
              </w:rPr>
            </w:pPr>
            <w:r>
              <w:rPr>
                <w:rFonts w:ascii="Arial" w:cs="Arial" w:eastAsia="Arial" w:hAnsi="Arial"/>
                <w:sz w:val="14"/>
                <w:szCs w:val="14"/>
                <w:b w:val="1"/>
                <w:bCs w:val="1"/>
                <w:color w:val="auto"/>
                <w:w w:val="95"/>
              </w:rPr>
              <w:t>Total</w:t>
            </w:r>
          </w:p>
        </w:tc>
        <w:tc>
          <w:tcPr>
            <w:tcW w:w="130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3080" w:type="dxa"/>
            <w:vAlign w:val="bottom"/>
            <w:shd w:val="clear" w:color="auto" w:fill="CCEEFF"/>
          </w:tcPr>
          <w:p>
            <w:pPr>
              <w:spacing w:after="0"/>
              <w:rPr>
                <w:sz w:val="20"/>
                <w:szCs w:val="20"/>
                <w:color w:val="auto"/>
              </w:rPr>
            </w:pPr>
            <w:r>
              <w:rPr>
                <w:rFonts w:ascii="Arial" w:cs="Arial" w:eastAsia="Arial" w:hAnsi="Arial"/>
                <w:sz w:val="18"/>
                <w:szCs w:val="18"/>
                <w:color w:val="auto"/>
              </w:rPr>
              <w:t>LendingTree Loans</w:t>
            </w:r>
          </w:p>
        </w:tc>
        <w:tc>
          <w:tcPr>
            <w:tcW w:w="2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40" w:type="dxa"/>
            <w:vAlign w:val="bottom"/>
            <w:gridSpan w:val="2"/>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w:t>
            </w: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080" w:type="dxa"/>
            <w:vAlign w:val="bottom"/>
          </w:tcPr>
          <w:p>
            <w:pPr>
              <w:spacing w:after="0"/>
              <w:rPr>
                <w:sz w:val="20"/>
                <w:szCs w:val="20"/>
                <w:color w:val="auto"/>
              </w:rPr>
            </w:pPr>
            <w:r>
              <w:rPr>
                <w:rFonts w:ascii="Arial" w:cs="Arial" w:eastAsia="Arial" w:hAnsi="Arial"/>
                <w:sz w:val="18"/>
                <w:szCs w:val="18"/>
                <w:color w:val="auto"/>
              </w:rPr>
              <w:t>Exchanges</w:t>
            </w:r>
          </w:p>
        </w:tc>
        <w:tc>
          <w:tcPr>
            <w:tcW w:w="2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34</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92</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126</w:t>
            </w: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080" w:type="dxa"/>
            <w:vAlign w:val="bottom"/>
            <w:shd w:val="clear" w:color="auto" w:fill="CCEEFF"/>
          </w:tcPr>
          <w:p>
            <w:pPr>
              <w:spacing w:after="0"/>
              <w:rPr>
                <w:sz w:val="20"/>
                <w:szCs w:val="20"/>
                <w:color w:val="auto"/>
              </w:rPr>
            </w:pPr>
            <w:r>
              <w:rPr>
                <w:rFonts w:ascii="Arial" w:cs="Arial" w:eastAsia="Arial" w:hAnsi="Arial"/>
                <w:sz w:val="18"/>
                <w:szCs w:val="18"/>
                <w:color w:val="auto"/>
              </w:rPr>
              <w:t>Real Estate</w:t>
            </w:r>
          </w:p>
        </w:tc>
        <w:tc>
          <w:tcPr>
            <w:tcW w:w="2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438</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652</w:t>
            </w:r>
          </w:p>
        </w:tc>
        <w:tc>
          <w:tcPr>
            <w:tcW w:w="1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1160" w:type="dxa"/>
            <w:vAlign w:val="bottom"/>
          </w:tcPr>
          <w:p>
            <w:pPr>
              <w:spacing w:after="0"/>
              <w:rPr>
                <w:sz w:val="19"/>
                <w:szCs w:val="19"/>
                <w:color w:val="auto"/>
              </w:rPr>
            </w:pPr>
          </w:p>
        </w:tc>
        <w:tc>
          <w:tcPr>
            <w:tcW w:w="3080" w:type="dxa"/>
            <w:vAlign w:val="bottom"/>
          </w:tcPr>
          <w:p>
            <w:pPr>
              <w:spacing w:after="0"/>
              <w:rPr>
                <w:sz w:val="20"/>
                <w:szCs w:val="20"/>
                <w:color w:val="auto"/>
              </w:rPr>
            </w:pPr>
            <w:r>
              <w:rPr>
                <w:rFonts w:ascii="Arial" w:cs="Arial" w:eastAsia="Arial" w:hAnsi="Arial"/>
                <w:sz w:val="18"/>
                <w:szCs w:val="18"/>
                <w:color w:val="auto"/>
              </w:rPr>
              <w:t>Unallocated—corporate</w:t>
            </w:r>
          </w:p>
        </w:tc>
        <w:tc>
          <w:tcPr>
            <w:tcW w:w="2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129</w:t>
            </w: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2,463</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2,592</w:t>
            </w:r>
          </w:p>
        </w:tc>
        <w:tc>
          <w:tcPr>
            <w:tcW w:w="1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116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308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2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w:t>
            </w:r>
          </w:p>
        </w:tc>
        <w:tc>
          <w:tcPr>
            <w:tcW w:w="340" w:type="dxa"/>
            <w:vAlign w:val="bottom"/>
            <w:gridSpan w:val="2"/>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2,896</w:t>
            </w:r>
          </w:p>
        </w:tc>
        <w:tc>
          <w:tcPr>
            <w:tcW w:w="12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298</w:t>
            </w:r>
          </w:p>
        </w:tc>
        <w:tc>
          <w:tcPr>
            <w:tcW w:w="10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3,363</w:t>
            </w:r>
          </w:p>
        </w:tc>
        <w:tc>
          <w:tcPr>
            <w:tcW w:w="1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1160" w:type="dxa"/>
            <w:vAlign w:val="bottom"/>
          </w:tcPr>
          <w:p>
            <w:pPr>
              <w:spacing w:after="0"/>
              <w:rPr>
                <w:sz w:val="2"/>
                <w:szCs w:val="2"/>
                <w:color w:val="auto"/>
              </w:rPr>
            </w:pPr>
          </w:p>
        </w:tc>
        <w:tc>
          <w:tcPr>
            <w:tcW w:w="3080" w:type="dxa"/>
            <w:vAlign w:val="bottom"/>
          </w:tcPr>
          <w:p>
            <w:pPr>
              <w:spacing w:after="0"/>
              <w:rPr>
                <w:sz w:val="2"/>
                <w:szCs w:val="2"/>
                <w:color w:val="auto"/>
              </w:rPr>
            </w:pPr>
          </w:p>
        </w:tc>
        <w:tc>
          <w:tcPr>
            <w:tcW w:w="2340" w:type="dxa"/>
            <w:vAlign w:val="bottom"/>
            <w:vMerge w:val="restart"/>
          </w:tcPr>
          <w:p>
            <w:pPr>
              <w:jc w:val="right"/>
              <w:ind w:right="692"/>
              <w:spacing w:after="0"/>
              <w:rPr>
                <w:sz w:val="20"/>
                <w:szCs w:val="20"/>
                <w:color w:val="auto"/>
              </w:rPr>
            </w:pPr>
            <w:r>
              <w:rPr>
                <w:rFonts w:ascii="Arial" w:cs="Arial" w:eastAsia="Arial" w:hAnsi="Arial"/>
                <w:sz w:val="18"/>
                <w:szCs w:val="18"/>
                <w:color w:val="auto"/>
              </w:rPr>
              <w:t>35</w:t>
            </w:r>
          </w:p>
        </w:tc>
        <w:tc>
          <w:tcPr>
            <w:tcW w:w="1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2340" w:type="dxa"/>
            <w:vAlign w:val="bottom"/>
            <w:vMerge w:val="continue"/>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1"/>
        </w:trPr>
        <w:tc>
          <w:tcPr>
            <w:tcW w:w="1160" w:type="dxa"/>
            <w:vAlign w:val="bottom"/>
          </w:tcPr>
          <w:p>
            <w:pPr>
              <w:spacing w:after="0"/>
              <w:rPr>
                <w:sz w:val="24"/>
                <w:szCs w:val="24"/>
                <w:color w:val="auto"/>
              </w:rPr>
            </w:pPr>
          </w:p>
        </w:tc>
        <w:tc>
          <w:tcPr>
            <w:tcW w:w="3080" w:type="dxa"/>
            <w:vAlign w:val="bottom"/>
          </w:tcPr>
          <w:p>
            <w:pPr>
              <w:spacing w:after="0"/>
              <w:rPr>
                <w:sz w:val="24"/>
                <w:szCs w:val="24"/>
                <w:color w:val="auto"/>
              </w:rPr>
            </w:pPr>
          </w:p>
        </w:tc>
        <w:tc>
          <w:tcPr>
            <w:tcW w:w="234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1160" w:type="dxa"/>
            <w:vAlign w:val="bottom"/>
            <w:tcBorders>
              <w:bottom w:val="single" w:sz="8" w:color="808080"/>
            </w:tcBorders>
          </w:tcPr>
          <w:p>
            <w:pPr>
              <w:spacing w:after="0"/>
              <w:rPr>
                <w:sz w:val="19"/>
                <w:szCs w:val="19"/>
                <w:color w:val="auto"/>
              </w:rPr>
            </w:pPr>
          </w:p>
        </w:tc>
        <w:tc>
          <w:tcPr>
            <w:tcW w:w="3080" w:type="dxa"/>
            <w:vAlign w:val="bottom"/>
            <w:tcBorders>
              <w:bottom w:val="single" w:sz="8" w:color="808080"/>
            </w:tcBorders>
          </w:tcPr>
          <w:p>
            <w:pPr>
              <w:spacing w:after="0"/>
              <w:rPr>
                <w:sz w:val="19"/>
                <w:szCs w:val="19"/>
                <w:color w:val="auto"/>
              </w:rPr>
            </w:pPr>
          </w:p>
        </w:tc>
        <w:tc>
          <w:tcPr>
            <w:tcW w:w="234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76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66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6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58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6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50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14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6" w:name="page37"/>
    <w:bookmarkEnd w:id="3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TREE.COM, INC. AND SUBSIDIARIES</w:t>
      </w:r>
    </w:p>
    <w:p>
      <w:pPr>
        <w:spacing w:after="0" w:line="225" w:lineRule="exact"/>
        <w:rPr>
          <w:sz w:val="20"/>
          <w:szCs w:val="20"/>
          <w:color w:val="auto"/>
        </w:rPr>
      </w:pPr>
    </w:p>
    <w:p>
      <w:pPr>
        <w:ind w:left="294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13—RESTRUCTURING CHARGES (Continued)</w:t>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tbl>
      <w:tblPr>
        <w:tblLayout w:type="fixed"/>
        <w:tblInd w:w="360" w:type="dxa"/>
        <w:tblCellMar>
          <w:top w:w="0" w:type="dxa"/>
          <w:left w:w="0" w:type="dxa"/>
          <w:bottom w:w="0" w:type="dxa"/>
          <w:right w:w="0" w:type="dxa"/>
        </w:tblCellMar>
      </w:tblPr>
      <w:tr>
        <w:trPr>
          <w:trHeight w:val="161"/>
        </w:trPr>
        <w:tc>
          <w:tcPr>
            <w:tcW w:w="800" w:type="dxa"/>
            <w:vAlign w:val="bottom"/>
          </w:tcPr>
          <w:p>
            <w:pPr>
              <w:spacing w:after="0"/>
              <w:rPr>
                <w:sz w:val="14"/>
                <w:szCs w:val="14"/>
                <w:color w:val="auto"/>
              </w:rPr>
            </w:pPr>
          </w:p>
        </w:tc>
        <w:tc>
          <w:tcPr>
            <w:tcW w:w="336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0" w:type="dxa"/>
            <w:vAlign w:val="bottom"/>
            <w:gridSpan w:val="20"/>
          </w:tcPr>
          <w:p>
            <w:pPr>
              <w:jc w:val="right"/>
              <w:ind w:right="560"/>
              <w:spacing w:after="0"/>
              <w:rPr>
                <w:sz w:val="20"/>
                <w:szCs w:val="20"/>
                <w:color w:val="auto"/>
              </w:rPr>
            </w:pPr>
            <w:r>
              <w:rPr>
                <w:rFonts w:ascii="Arial" w:cs="Arial" w:eastAsia="Arial" w:hAnsi="Arial"/>
                <w:sz w:val="14"/>
                <w:szCs w:val="14"/>
                <w:b w:val="1"/>
                <w:bCs w:val="1"/>
                <w:color w:val="auto"/>
                <w:w w:val="87"/>
              </w:rPr>
              <w:t>For The Nine Months Ended September 30, 2009</w:t>
            </w:r>
          </w:p>
        </w:tc>
      </w:tr>
      <w:tr>
        <w:trPr>
          <w:trHeight w:val="129"/>
        </w:trPr>
        <w:tc>
          <w:tcPr>
            <w:tcW w:w="800" w:type="dxa"/>
            <w:vAlign w:val="bottom"/>
          </w:tcPr>
          <w:p>
            <w:pPr>
              <w:spacing w:after="0"/>
              <w:rPr>
                <w:sz w:val="11"/>
                <w:szCs w:val="11"/>
                <w:color w:val="auto"/>
              </w:rPr>
            </w:pPr>
          </w:p>
        </w:tc>
        <w:tc>
          <w:tcPr>
            <w:tcW w:w="336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80" w:type="dxa"/>
            <w:vAlign w:val="bottom"/>
            <w:tcBorders>
              <w:top w:val="single" w:sz="8" w:color="auto"/>
            </w:tcBorders>
            <w:gridSpan w:val="5"/>
          </w:tcPr>
          <w:p>
            <w:pPr>
              <w:jc w:val="center"/>
              <w:spacing w:after="0" w:line="129" w:lineRule="exact"/>
              <w:rPr>
                <w:sz w:val="20"/>
                <w:szCs w:val="20"/>
                <w:color w:val="auto"/>
              </w:rPr>
            </w:pPr>
            <w:r>
              <w:rPr>
                <w:rFonts w:ascii="Arial" w:cs="Arial" w:eastAsia="Arial" w:hAnsi="Arial"/>
                <w:sz w:val="14"/>
                <w:szCs w:val="14"/>
                <w:b w:val="1"/>
                <w:bCs w:val="1"/>
                <w:color w:val="auto"/>
                <w:w w:val="84"/>
              </w:rPr>
              <w:t>Employee</w:t>
            </w:r>
          </w:p>
        </w:tc>
        <w:tc>
          <w:tcPr>
            <w:tcW w:w="160" w:type="dxa"/>
            <w:vAlign w:val="bottom"/>
            <w:tcBorders>
              <w:top w:val="single" w:sz="8" w:color="auto"/>
            </w:tcBorders>
          </w:tcPr>
          <w:p>
            <w:pPr>
              <w:spacing w:after="0"/>
              <w:rPr>
                <w:sz w:val="11"/>
                <w:szCs w:val="11"/>
                <w:color w:val="auto"/>
              </w:rPr>
            </w:pPr>
          </w:p>
        </w:tc>
        <w:tc>
          <w:tcPr>
            <w:tcW w:w="940" w:type="dxa"/>
            <w:vAlign w:val="bottom"/>
            <w:tcBorders>
              <w:top w:val="single" w:sz="8" w:color="auto"/>
            </w:tcBorders>
            <w:gridSpan w:val="6"/>
          </w:tcPr>
          <w:p>
            <w:pPr>
              <w:jc w:val="center"/>
              <w:ind w:right="32"/>
              <w:spacing w:after="0" w:line="129" w:lineRule="exact"/>
              <w:rPr>
                <w:sz w:val="20"/>
                <w:szCs w:val="20"/>
                <w:color w:val="auto"/>
              </w:rPr>
            </w:pPr>
            <w:r>
              <w:rPr>
                <w:rFonts w:ascii="Arial" w:cs="Arial" w:eastAsia="Arial" w:hAnsi="Arial"/>
                <w:sz w:val="14"/>
                <w:szCs w:val="14"/>
                <w:b w:val="1"/>
                <w:bCs w:val="1"/>
                <w:color w:val="auto"/>
                <w:w w:val="89"/>
              </w:rPr>
              <w:t>Continuing</w:t>
            </w:r>
          </w:p>
        </w:tc>
        <w:tc>
          <w:tcPr>
            <w:tcW w:w="6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34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54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r>
      <w:tr>
        <w:trPr>
          <w:trHeight w:val="149"/>
        </w:trPr>
        <w:tc>
          <w:tcPr>
            <w:tcW w:w="800" w:type="dxa"/>
            <w:vAlign w:val="bottom"/>
          </w:tcPr>
          <w:p>
            <w:pPr>
              <w:spacing w:after="0"/>
              <w:rPr>
                <w:sz w:val="12"/>
                <w:szCs w:val="12"/>
                <w:color w:val="auto"/>
              </w:rPr>
            </w:pPr>
          </w:p>
        </w:tc>
        <w:tc>
          <w:tcPr>
            <w:tcW w:w="336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80" w:type="dxa"/>
            <w:vAlign w:val="bottom"/>
            <w:gridSpan w:val="5"/>
          </w:tcPr>
          <w:p>
            <w:pPr>
              <w:jc w:val="center"/>
              <w:spacing w:after="0" w:line="149" w:lineRule="exact"/>
              <w:rPr>
                <w:sz w:val="20"/>
                <w:szCs w:val="20"/>
                <w:color w:val="auto"/>
              </w:rPr>
            </w:pPr>
            <w:r>
              <w:rPr>
                <w:rFonts w:ascii="Arial" w:cs="Arial" w:eastAsia="Arial" w:hAnsi="Arial"/>
                <w:sz w:val="14"/>
                <w:szCs w:val="14"/>
                <w:b w:val="1"/>
                <w:bCs w:val="1"/>
                <w:color w:val="auto"/>
                <w:w w:val="89"/>
              </w:rPr>
              <w:t>Termination</w:t>
            </w: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gridSpan w:val="4"/>
          </w:tcPr>
          <w:p>
            <w:pPr>
              <w:jc w:val="center"/>
              <w:ind w:right="252"/>
              <w:spacing w:after="0" w:line="149" w:lineRule="exact"/>
              <w:rPr>
                <w:sz w:val="20"/>
                <w:szCs w:val="20"/>
                <w:color w:val="auto"/>
              </w:rPr>
            </w:pPr>
            <w:r>
              <w:rPr>
                <w:rFonts w:ascii="Arial" w:cs="Arial" w:eastAsia="Arial" w:hAnsi="Arial"/>
                <w:sz w:val="14"/>
                <w:szCs w:val="14"/>
                <w:b w:val="1"/>
                <w:bCs w:val="1"/>
                <w:color w:val="auto"/>
                <w:w w:val="80"/>
              </w:rPr>
              <w:t>Lease</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4"/>
          </w:tcPr>
          <w:p>
            <w:pPr>
              <w:jc w:val="right"/>
              <w:ind w:right="360"/>
              <w:spacing w:after="0" w:line="149" w:lineRule="exact"/>
              <w:rPr>
                <w:sz w:val="20"/>
                <w:szCs w:val="20"/>
                <w:color w:val="auto"/>
              </w:rPr>
            </w:pPr>
            <w:r>
              <w:rPr>
                <w:rFonts w:ascii="Arial" w:cs="Arial" w:eastAsia="Arial" w:hAnsi="Arial"/>
                <w:sz w:val="14"/>
                <w:szCs w:val="14"/>
                <w:b w:val="1"/>
                <w:bCs w:val="1"/>
                <w:color w:val="auto"/>
                <w:w w:val="89"/>
              </w:rPr>
              <w:t>Asset</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161"/>
        </w:trPr>
        <w:tc>
          <w:tcPr>
            <w:tcW w:w="800" w:type="dxa"/>
            <w:vAlign w:val="bottom"/>
          </w:tcPr>
          <w:p>
            <w:pPr>
              <w:spacing w:after="0"/>
              <w:rPr>
                <w:sz w:val="14"/>
                <w:szCs w:val="14"/>
                <w:color w:val="auto"/>
              </w:rPr>
            </w:pPr>
          </w:p>
        </w:tc>
        <w:tc>
          <w:tcPr>
            <w:tcW w:w="336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2"/>
              </w:rPr>
              <w:t>Costs</w:t>
            </w:r>
          </w:p>
        </w:tc>
        <w:tc>
          <w:tcPr>
            <w:tcW w:w="28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Borders>
              <w:bottom w:val="single" w:sz="8" w:color="auto"/>
            </w:tcBorders>
            <w:gridSpan w:val="5"/>
          </w:tcPr>
          <w:p>
            <w:pPr>
              <w:jc w:val="center"/>
              <w:spacing w:after="0"/>
              <w:rPr>
                <w:sz w:val="20"/>
                <w:szCs w:val="20"/>
                <w:color w:val="auto"/>
              </w:rPr>
            </w:pPr>
            <w:r>
              <w:rPr>
                <w:rFonts w:ascii="Arial" w:cs="Arial" w:eastAsia="Arial" w:hAnsi="Arial"/>
                <w:sz w:val="14"/>
                <w:szCs w:val="14"/>
                <w:b w:val="1"/>
                <w:bCs w:val="1"/>
                <w:color w:val="auto"/>
                <w:w w:val="85"/>
              </w:rPr>
              <w:t>Obligations</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tcBorders>
              <w:bottom w:val="single" w:sz="8" w:color="auto"/>
            </w:tcBorders>
            <w:gridSpan w:val="5"/>
          </w:tcPr>
          <w:p>
            <w:pPr>
              <w:jc w:val="right"/>
              <w:spacing w:after="0"/>
              <w:rPr>
                <w:sz w:val="20"/>
                <w:szCs w:val="20"/>
                <w:color w:val="auto"/>
              </w:rPr>
            </w:pPr>
            <w:r>
              <w:rPr>
                <w:rFonts w:ascii="Arial" w:cs="Arial" w:eastAsia="Arial" w:hAnsi="Arial"/>
                <w:sz w:val="14"/>
                <w:szCs w:val="14"/>
                <w:b w:val="1"/>
                <w:bCs w:val="1"/>
                <w:color w:val="auto"/>
                <w:w w:val="97"/>
              </w:rPr>
              <w:t>Write-offs</w:t>
            </w: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116"/>
              <w:spacing w:after="0"/>
              <w:rPr>
                <w:sz w:val="20"/>
                <w:szCs w:val="20"/>
                <w:color w:val="auto"/>
              </w:rPr>
            </w:pPr>
            <w:r>
              <w:rPr>
                <w:rFonts w:ascii="Arial" w:cs="Arial" w:eastAsia="Arial" w:hAnsi="Arial"/>
                <w:sz w:val="14"/>
                <w:szCs w:val="14"/>
                <w:b w:val="1"/>
                <w:bCs w:val="1"/>
                <w:color w:val="auto"/>
                <w:w w:val="95"/>
              </w:rPr>
              <w:t>Total</w:t>
            </w:r>
          </w:p>
        </w:tc>
        <w:tc>
          <w:tcPr>
            <w:tcW w:w="160" w:type="dxa"/>
            <w:vAlign w:val="bottom"/>
          </w:tcPr>
          <w:p>
            <w:pPr>
              <w:spacing w:after="0"/>
              <w:rPr>
                <w:sz w:val="14"/>
                <w:szCs w:val="14"/>
                <w:color w:val="auto"/>
              </w:rPr>
            </w:pPr>
          </w:p>
        </w:tc>
      </w:tr>
      <w:tr>
        <w:trPr>
          <w:trHeight w:val="210"/>
        </w:trPr>
        <w:tc>
          <w:tcPr>
            <w:tcW w:w="800" w:type="dxa"/>
            <w:vAlign w:val="bottom"/>
          </w:tcPr>
          <w:p>
            <w:pPr>
              <w:spacing w:after="0"/>
              <w:rPr>
                <w:sz w:val="18"/>
                <w:szCs w:val="18"/>
                <w:color w:val="auto"/>
              </w:rPr>
            </w:pPr>
          </w:p>
        </w:tc>
        <w:tc>
          <w:tcPr>
            <w:tcW w:w="3360" w:type="dxa"/>
            <w:vAlign w:val="bottom"/>
            <w:shd w:val="clear" w:color="auto" w:fill="CCEEFF"/>
          </w:tcPr>
          <w:p>
            <w:pPr>
              <w:spacing w:after="0"/>
              <w:rPr>
                <w:sz w:val="20"/>
                <w:szCs w:val="20"/>
                <w:color w:val="auto"/>
              </w:rPr>
            </w:pPr>
            <w:r>
              <w:rPr>
                <w:rFonts w:ascii="Arial" w:cs="Arial" w:eastAsia="Arial" w:hAnsi="Arial"/>
                <w:sz w:val="18"/>
                <w:szCs w:val="18"/>
                <w:color w:val="auto"/>
              </w:rPr>
              <w:t>LendingTree Loans</w:t>
            </w:r>
          </w:p>
        </w:tc>
        <w:tc>
          <w:tcPr>
            <w:tcW w:w="1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7"/>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40" w:type="dxa"/>
            <w:vAlign w:val="bottom"/>
            <w:gridSpan w:val="2"/>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70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(1,246)</w:t>
            </w:r>
          </w:p>
        </w:tc>
        <w:tc>
          <w:tcPr>
            <w:tcW w:w="2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(1,246)</w:t>
            </w:r>
          </w:p>
        </w:tc>
      </w:tr>
      <w:tr>
        <w:trPr>
          <w:trHeight w:val="216"/>
        </w:trPr>
        <w:tc>
          <w:tcPr>
            <w:tcW w:w="800" w:type="dxa"/>
            <w:vAlign w:val="bottom"/>
          </w:tcPr>
          <w:p>
            <w:pPr>
              <w:spacing w:after="0"/>
              <w:rPr>
                <w:sz w:val="18"/>
                <w:szCs w:val="18"/>
                <w:color w:val="auto"/>
              </w:rPr>
            </w:pPr>
          </w:p>
        </w:tc>
        <w:tc>
          <w:tcPr>
            <w:tcW w:w="3360" w:type="dxa"/>
            <w:vAlign w:val="bottom"/>
          </w:tcPr>
          <w:p>
            <w:pPr>
              <w:spacing w:after="0"/>
              <w:rPr>
                <w:sz w:val="20"/>
                <w:szCs w:val="20"/>
                <w:color w:val="auto"/>
              </w:rPr>
            </w:pPr>
            <w:r>
              <w:rPr>
                <w:rFonts w:ascii="Arial" w:cs="Arial" w:eastAsia="Arial" w:hAnsi="Arial"/>
                <w:sz w:val="18"/>
                <w:szCs w:val="18"/>
                <w:color w:val="auto"/>
              </w:rPr>
              <w:t>Exchanges</w:t>
            </w: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w w:val="86"/>
              </w:rPr>
              <w:t>108</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gridSpan w:val="2"/>
          </w:tcPr>
          <w:p>
            <w:pPr>
              <w:jc w:val="right"/>
              <w:ind w:right="12"/>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108</w:t>
            </w:r>
          </w:p>
        </w:tc>
        <w:tc>
          <w:tcPr>
            <w:tcW w:w="160" w:type="dxa"/>
            <w:vAlign w:val="bottom"/>
          </w:tcPr>
          <w:p>
            <w:pPr>
              <w:spacing w:after="0"/>
              <w:rPr>
                <w:sz w:val="18"/>
                <w:szCs w:val="18"/>
                <w:color w:val="auto"/>
              </w:rPr>
            </w:pPr>
          </w:p>
        </w:tc>
      </w:tr>
      <w:tr>
        <w:trPr>
          <w:trHeight w:val="216"/>
        </w:trPr>
        <w:tc>
          <w:tcPr>
            <w:tcW w:w="800" w:type="dxa"/>
            <w:vAlign w:val="bottom"/>
          </w:tcPr>
          <w:p>
            <w:pPr>
              <w:spacing w:after="0"/>
              <w:rPr>
                <w:sz w:val="18"/>
                <w:szCs w:val="18"/>
                <w:color w:val="auto"/>
              </w:rPr>
            </w:pPr>
          </w:p>
        </w:tc>
        <w:tc>
          <w:tcPr>
            <w:tcW w:w="3360" w:type="dxa"/>
            <w:vAlign w:val="bottom"/>
            <w:shd w:val="clear" w:color="auto" w:fill="CCEEFF"/>
          </w:tcPr>
          <w:p>
            <w:pPr>
              <w:spacing w:after="0"/>
              <w:rPr>
                <w:sz w:val="20"/>
                <w:szCs w:val="20"/>
                <w:color w:val="auto"/>
              </w:rPr>
            </w:pPr>
            <w:r>
              <w:rPr>
                <w:rFonts w:ascii="Arial" w:cs="Arial" w:eastAsia="Arial" w:hAnsi="Arial"/>
                <w:sz w:val="18"/>
                <w:szCs w:val="18"/>
                <w:color w:val="auto"/>
              </w:rPr>
              <w:t>Real Estate</w:t>
            </w:r>
          </w:p>
        </w:tc>
        <w:tc>
          <w:tcPr>
            <w:tcW w:w="1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595</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124</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792</w:t>
            </w:r>
          </w:p>
        </w:tc>
        <w:tc>
          <w:tcPr>
            <w:tcW w:w="160" w:type="dxa"/>
            <w:vAlign w:val="bottom"/>
            <w:shd w:val="clear" w:color="auto" w:fill="CCEEFF"/>
          </w:tcPr>
          <w:p>
            <w:pPr>
              <w:spacing w:after="0"/>
              <w:rPr>
                <w:sz w:val="18"/>
                <w:szCs w:val="18"/>
                <w:color w:val="auto"/>
              </w:rPr>
            </w:pPr>
          </w:p>
        </w:tc>
      </w:tr>
      <w:tr>
        <w:trPr>
          <w:trHeight w:val="222"/>
        </w:trPr>
        <w:tc>
          <w:tcPr>
            <w:tcW w:w="800" w:type="dxa"/>
            <w:vAlign w:val="bottom"/>
          </w:tcPr>
          <w:p>
            <w:pPr>
              <w:spacing w:after="0"/>
              <w:rPr>
                <w:sz w:val="19"/>
                <w:szCs w:val="19"/>
                <w:color w:val="auto"/>
              </w:rPr>
            </w:pPr>
          </w:p>
        </w:tc>
        <w:tc>
          <w:tcPr>
            <w:tcW w:w="3360" w:type="dxa"/>
            <w:vAlign w:val="bottom"/>
          </w:tcPr>
          <w:p>
            <w:pPr>
              <w:spacing w:after="0"/>
              <w:rPr>
                <w:sz w:val="20"/>
                <w:szCs w:val="20"/>
                <w:color w:val="auto"/>
              </w:rPr>
            </w:pPr>
            <w:r>
              <w:rPr>
                <w:rFonts w:ascii="Arial" w:cs="Arial" w:eastAsia="Arial" w:hAnsi="Arial"/>
                <w:sz w:val="18"/>
                <w:szCs w:val="18"/>
                <w:color w:val="auto"/>
              </w:rPr>
              <w:t>Unallocated—corporate</w:t>
            </w:r>
          </w:p>
        </w:tc>
        <w:tc>
          <w:tcPr>
            <w:tcW w:w="1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w w:val="86"/>
              </w:rPr>
              <w:t>237</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(49)</w:t>
            </w: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188</w:t>
            </w:r>
          </w:p>
        </w:tc>
        <w:tc>
          <w:tcPr>
            <w:tcW w:w="160" w:type="dxa"/>
            <w:vAlign w:val="bottom"/>
          </w:tcPr>
          <w:p>
            <w:pPr>
              <w:spacing w:after="0"/>
              <w:rPr>
                <w:sz w:val="19"/>
                <w:szCs w:val="19"/>
                <w:color w:val="auto"/>
              </w:rPr>
            </w:pPr>
          </w:p>
        </w:tc>
      </w:tr>
      <w:tr>
        <w:trPr>
          <w:trHeight w:val="21"/>
        </w:trPr>
        <w:tc>
          <w:tcPr>
            <w:tcW w:w="800" w:type="dxa"/>
            <w:vAlign w:val="bottom"/>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0"/>
        </w:trPr>
        <w:tc>
          <w:tcPr>
            <w:tcW w:w="800" w:type="dxa"/>
            <w:vAlign w:val="bottom"/>
          </w:tcPr>
          <w:p>
            <w:pPr>
              <w:spacing w:after="0"/>
              <w:rPr>
                <w:sz w:val="18"/>
                <w:szCs w:val="18"/>
                <w:color w:val="auto"/>
              </w:rPr>
            </w:pPr>
          </w:p>
        </w:tc>
        <w:tc>
          <w:tcPr>
            <w:tcW w:w="336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1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7"/>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940</w:t>
            </w:r>
          </w:p>
        </w:tc>
        <w:tc>
          <w:tcPr>
            <w:tcW w:w="340" w:type="dxa"/>
            <w:vAlign w:val="bottom"/>
            <w:gridSpan w:val="2"/>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70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(1,222)</w:t>
            </w:r>
          </w:p>
        </w:tc>
        <w:tc>
          <w:tcPr>
            <w:tcW w:w="2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124</w:t>
            </w:r>
          </w:p>
        </w:tc>
        <w:tc>
          <w:tcPr>
            <w:tcW w:w="14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(158)</w:t>
            </w:r>
          </w:p>
        </w:tc>
      </w:tr>
      <w:tr>
        <w:trPr>
          <w:trHeight w:val="27"/>
        </w:trPr>
        <w:tc>
          <w:tcPr>
            <w:tcW w:w="5480" w:type="dxa"/>
            <w:vAlign w:val="bottom"/>
            <w:gridSpan w:val="3"/>
          </w:tcPr>
          <w:p>
            <w:pPr>
              <w:spacing w:after="0"/>
              <w:rPr>
                <w:sz w:val="2"/>
                <w:szCs w:val="2"/>
                <w:color w:val="auto"/>
              </w:rPr>
            </w:pPr>
          </w:p>
        </w:tc>
        <w:tc>
          <w:tcPr>
            <w:tcW w:w="660" w:type="dxa"/>
            <w:vAlign w:val="bottom"/>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r>
      <w:tr>
        <w:trPr>
          <w:trHeight w:val="20"/>
        </w:trPr>
        <w:tc>
          <w:tcPr>
            <w:tcW w:w="5480" w:type="dxa"/>
            <w:vAlign w:val="bottom"/>
            <w:gridSpan w:val="3"/>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411"/>
        </w:trPr>
        <w:tc>
          <w:tcPr>
            <w:tcW w:w="6420" w:type="dxa"/>
            <w:vAlign w:val="bottom"/>
            <w:gridSpan w:val="7"/>
          </w:tcPr>
          <w:p>
            <w:pPr>
              <w:jc w:val="right"/>
              <w:ind w:right="560"/>
              <w:spacing w:after="0"/>
              <w:rPr>
                <w:sz w:val="20"/>
                <w:szCs w:val="20"/>
                <w:color w:val="auto"/>
              </w:rPr>
            </w:pPr>
            <w:r>
              <w:rPr>
                <w:rFonts w:ascii="Arial" w:cs="Arial" w:eastAsia="Arial" w:hAnsi="Arial"/>
                <w:sz w:val="18"/>
                <w:szCs w:val="18"/>
                <w:color w:val="auto"/>
                <w:w w:val="87"/>
              </w:rPr>
              <w:t>Restructuring charges and spending against liabilities are as follows (in thousands):</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421"/>
        </w:trPr>
        <w:tc>
          <w:tcPr>
            <w:tcW w:w="800" w:type="dxa"/>
            <w:vAlign w:val="bottom"/>
          </w:tcPr>
          <w:p>
            <w:pPr>
              <w:spacing w:after="0"/>
              <w:rPr>
                <w:sz w:val="24"/>
                <w:szCs w:val="24"/>
                <w:color w:val="auto"/>
              </w:rPr>
            </w:pPr>
          </w:p>
        </w:tc>
        <w:tc>
          <w:tcPr>
            <w:tcW w:w="33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2920" w:type="dxa"/>
            <w:vAlign w:val="bottom"/>
            <w:tcBorders>
              <w:bottom w:val="single" w:sz="8" w:color="auto"/>
            </w:tcBorders>
            <w:gridSpan w:val="19"/>
          </w:tcPr>
          <w:p>
            <w:pPr>
              <w:jc w:val="center"/>
              <w:spacing w:after="0"/>
              <w:rPr>
                <w:sz w:val="20"/>
                <w:szCs w:val="20"/>
                <w:color w:val="auto"/>
              </w:rPr>
            </w:pPr>
            <w:r>
              <w:rPr>
                <w:rFonts w:ascii="Arial" w:cs="Arial" w:eastAsia="Arial" w:hAnsi="Arial"/>
                <w:sz w:val="14"/>
                <w:szCs w:val="14"/>
                <w:b w:val="1"/>
                <w:bCs w:val="1"/>
                <w:color w:val="auto"/>
                <w:w w:val="87"/>
              </w:rPr>
              <w:t>For The Nine Months Ended September 30, 2010</w:t>
            </w:r>
          </w:p>
        </w:tc>
        <w:tc>
          <w:tcPr>
            <w:tcW w:w="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160" w:type="dxa"/>
            <w:vAlign w:val="bottom"/>
          </w:tcPr>
          <w:p>
            <w:pPr>
              <w:spacing w:after="0"/>
              <w:rPr>
                <w:sz w:val="24"/>
                <w:szCs w:val="24"/>
                <w:color w:val="auto"/>
              </w:rPr>
            </w:pPr>
          </w:p>
        </w:tc>
      </w:tr>
      <w:tr>
        <w:trPr>
          <w:trHeight w:val="129"/>
        </w:trPr>
        <w:tc>
          <w:tcPr>
            <w:tcW w:w="800" w:type="dxa"/>
            <w:vAlign w:val="bottom"/>
          </w:tcPr>
          <w:p>
            <w:pPr>
              <w:spacing w:after="0"/>
              <w:rPr>
                <w:sz w:val="11"/>
                <w:szCs w:val="11"/>
                <w:color w:val="auto"/>
              </w:rPr>
            </w:pPr>
          </w:p>
        </w:tc>
        <w:tc>
          <w:tcPr>
            <w:tcW w:w="336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gridSpan w:val="3"/>
          </w:tcPr>
          <w:p>
            <w:pPr>
              <w:jc w:val="center"/>
              <w:ind w:right="200"/>
              <w:spacing w:after="0" w:line="129" w:lineRule="exact"/>
              <w:rPr>
                <w:sz w:val="20"/>
                <w:szCs w:val="20"/>
                <w:color w:val="auto"/>
              </w:rPr>
            </w:pPr>
            <w:r>
              <w:rPr>
                <w:rFonts w:ascii="Arial" w:cs="Arial" w:eastAsia="Arial" w:hAnsi="Arial"/>
                <w:sz w:val="14"/>
                <w:szCs w:val="14"/>
                <w:b w:val="1"/>
                <w:bCs w:val="1"/>
                <w:color w:val="auto"/>
                <w:w w:val="87"/>
              </w:rPr>
              <w:t>Employee</w:t>
            </w:r>
          </w:p>
        </w:tc>
        <w:tc>
          <w:tcPr>
            <w:tcW w:w="100" w:type="dxa"/>
            <w:vAlign w:val="bottom"/>
          </w:tcPr>
          <w:p>
            <w:pPr>
              <w:spacing w:after="0"/>
              <w:rPr>
                <w:sz w:val="11"/>
                <w:szCs w:val="11"/>
                <w:color w:val="auto"/>
              </w:rPr>
            </w:pPr>
          </w:p>
        </w:tc>
        <w:tc>
          <w:tcPr>
            <w:tcW w:w="900" w:type="dxa"/>
            <w:vAlign w:val="bottom"/>
            <w:gridSpan w:val="5"/>
          </w:tcPr>
          <w:p>
            <w:pPr>
              <w:jc w:val="right"/>
              <w:ind w:right="160"/>
              <w:spacing w:after="0" w:line="129" w:lineRule="exact"/>
              <w:rPr>
                <w:sz w:val="20"/>
                <w:szCs w:val="20"/>
                <w:color w:val="auto"/>
              </w:rPr>
            </w:pPr>
            <w:r>
              <w:rPr>
                <w:rFonts w:ascii="Arial" w:cs="Arial" w:eastAsia="Arial" w:hAnsi="Arial"/>
                <w:sz w:val="14"/>
                <w:szCs w:val="14"/>
                <w:b w:val="1"/>
                <w:bCs w:val="1"/>
                <w:color w:val="auto"/>
                <w:w w:val="97"/>
              </w:rPr>
              <w:t>Continuing</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r>
      <w:tr>
        <w:trPr>
          <w:trHeight w:val="149"/>
        </w:trPr>
        <w:tc>
          <w:tcPr>
            <w:tcW w:w="800" w:type="dxa"/>
            <w:vAlign w:val="bottom"/>
          </w:tcPr>
          <w:p>
            <w:pPr>
              <w:spacing w:after="0"/>
              <w:rPr>
                <w:sz w:val="12"/>
                <w:szCs w:val="12"/>
                <w:color w:val="auto"/>
              </w:rPr>
            </w:pPr>
          </w:p>
        </w:tc>
        <w:tc>
          <w:tcPr>
            <w:tcW w:w="336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940" w:type="dxa"/>
            <w:vAlign w:val="bottom"/>
            <w:gridSpan w:val="4"/>
          </w:tcPr>
          <w:p>
            <w:pPr>
              <w:jc w:val="center"/>
              <w:ind w:right="60"/>
              <w:spacing w:after="0" w:line="149" w:lineRule="exact"/>
              <w:rPr>
                <w:sz w:val="20"/>
                <w:szCs w:val="20"/>
                <w:color w:val="auto"/>
              </w:rPr>
            </w:pPr>
            <w:r>
              <w:rPr>
                <w:rFonts w:ascii="Arial" w:cs="Arial" w:eastAsia="Arial" w:hAnsi="Arial"/>
                <w:sz w:val="14"/>
                <w:szCs w:val="14"/>
                <w:b w:val="1"/>
                <w:bCs w:val="1"/>
                <w:color w:val="auto"/>
                <w:w w:val="89"/>
              </w:rPr>
              <w:t>Termination</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gridSpan w:val="4"/>
          </w:tcPr>
          <w:p>
            <w:pPr>
              <w:jc w:val="right"/>
              <w:ind w:right="320"/>
              <w:spacing w:after="0" w:line="149" w:lineRule="exact"/>
              <w:rPr>
                <w:sz w:val="20"/>
                <w:szCs w:val="20"/>
                <w:color w:val="auto"/>
              </w:rPr>
            </w:pPr>
            <w:r>
              <w:rPr>
                <w:rFonts w:ascii="Arial" w:cs="Arial" w:eastAsia="Arial" w:hAnsi="Arial"/>
                <w:sz w:val="14"/>
                <w:szCs w:val="14"/>
                <w:b w:val="1"/>
                <w:bCs w:val="1"/>
                <w:color w:val="auto"/>
                <w:w w:val="85"/>
              </w:rPr>
              <w:t>Lease</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6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w w:val="94"/>
              </w:rPr>
              <w:t>Asset</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161"/>
        </w:trPr>
        <w:tc>
          <w:tcPr>
            <w:tcW w:w="800" w:type="dxa"/>
            <w:vAlign w:val="bottom"/>
          </w:tcPr>
          <w:p>
            <w:pPr>
              <w:spacing w:after="0"/>
              <w:rPr>
                <w:sz w:val="14"/>
                <w:szCs w:val="14"/>
                <w:color w:val="auto"/>
              </w:rPr>
            </w:pPr>
          </w:p>
        </w:tc>
        <w:tc>
          <w:tcPr>
            <w:tcW w:w="336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gridSpan w:val="2"/>
          </w:tcPr>
          <w:p>
            <w:pPr>
              <w:jc w:val="center"/>
              <w:ind w:right="47"/>
              <w:spacing w:after="0"/>
              <w:rPr>
                <w:sz w:val="20"/>
                <w:szCs w:val="20"/>
                <w:color w:val="auto"/>
              </w:rPr>
            </w:pPr>
            <w:r>
              <w:rPr>
                <w:rFonts w:ascii="Arial" w:cs="Arial" w:eastAsia="Arial" w:hAnsi="Arial"/>
                <w:sz w:val="14"/>
                <w:szCs w:val="14"/>
                <w:b w:val="1"/>
                <w:bCs w:val="1"/>
                <w:color w:val="auto"/>
                <w:w w:val="82"/>
              </w:rPr>
              <w:t>Costs</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Borders>
              <w:bottom w:val="single" w:sz="8" w:color="auto"/>
            </w:tcBorders>
            <w:gridSpan w:val="4"/>
          </w:tcPr>
          <w:p>
            <w:pPr>
              <w:jc w:val="right"/>
              <w:ind w:right="32"/>
              <w:spacing w:after="0"/>
              <w:rPr>
                <w:sz w:val="20"/>
                <w:szCs w:val="20"/>
                <w:color w:val="auto"/>
              </w:rPr>
            </w:pPr>
            <w:r>
              <w:rPr>
                <w:rFonts w:ascii="Arial" w:cs="Arial" w:eastAsia="Arial" w:hAnsi="Arial"/>
                <w:sz w:val="14"/>
                <w:szCs w:val="14"/>
                <w:b w:val="1"/>
                <w:bCs w:val="1"/>
                <w:color w:val="auto"/>
                <w:w w:val="93"/>
              </w:rPr>
              <w:t>Obligations</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Borders>
              <w:bottom w:val="single" w:sz="8" w:color="auto"/>
            </w:tcBorders>
            <w:gridSpan w:val="5"/>
          </w:tcPr>
          <w:p>
            <w:pPr>
              <w:jc w:val="right"/>
              <w:ind w:right="12"/>
              <w:spacing w:after="0"/>
              <w:rPr>
                <w:sz w:val="20"/>
                <w:szCs w:val="20"/>
                <w:color w:val="auto"/>
              </w:rPr>
            </w:pPr>
            <w:r>
              <w:rPr>
                <w:rFonts w:ascii="Arial" w:cs="Arial" w:eastAsia="Arial" w:hAnsi="Arial"/>
                <w:sz w:val="14"/>
                <w:szCs w:val="14"/>
                <w:b w:val="1"/>
                <w:bCs w:val="1"/>
                <w:color w:val="auto"/>
                <w:w w:val="97"/>
              </w:rPr>
              <w:t>Write-offs</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Borders>
              <w:bottom w:val="single" w:sz="8" w:color="auto"/>
            </w:tcBorders>
            <w:gridSpan w:val="2"/>
          </w:tcPr>
          <w:p>
            <w:pPr>
              <w:jc w:val="right"/>
              <w:ind w:right="12"/>
              <w:spacing w:after="0"/>
              <w:rPr>
                <w:sz w:val="20"/>
                <w:szCs w:val="20"/>
                <w:color w:val="auto"/>
              </w:rPr>
            </w:pPr>
            <w:r>
              <w:rPr>
                <w:rFonts w:ascii="Arial" w:cs="Arial" w:eastAsia="Arial" w:hAnsi="Arial"/>
                <w:sz w:val="14"/>
                <w:szCs w:val="14"/>
                <w:b w:val="1"/>
                <w:bCs w:val="1"/>
                <w:color w:val="auto"/>
              </w:rPr>
              <w:t>Other</w:t>
            </w: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116"/>
              <w:spacing w:after="0"/>
              <w:rPr>
                <w:sz w:val="20"/>
                <w:szCs w:val="20"/>
                <w:color w:val="auto"/>
              </w:rPr>
            </w:pPr>
            <w:r>
              <w:rPr>
                <w:rFonts w:ascii="Arial" w:cs="Arial" w:eastAsia="Arial" w:hAnsi="Arial"/>
                <w:sz w:val="14"/>
                <w:szCs w:val="14"/>
                <w:b w:val="1"/>
                <w:bCs w:val="1"/>
                <w:color w:val="auto"/>
                <w:w w:val="95"/>
              </w:rPr>
              <w:t>Total</w:t>
            </w:r>
          </w:p>
        </w:tc>
        <w:tc>
          <w:tcPr>
            <w:tcW w:w="160" w:type="dxa"/>
            <w:vAlign w:val="bottom"/>
          </w:tcPr>
          <w:p>
            <w:pPr>
              <w:spacing w:after="0"/>
              <w:rPr>
                <w:sz w:val="14"/>
                <w:szCs w:val="14"/>
                <w:color w:val="auto"/>
              </w:rPr>
            </w:pPr>
          </w:p>
        </w:tc>
      </w:tr>
      <w:tr>
        <w:trPr>
          <w:trHeight w:val="210"/>
        </w:trPr>
        <w:tc>
          <w:tcPr>
            <w:tcW w:w="800" w:type="dxa"/>
            <w:vAlign w:val="bottom"/>
          </w:tcPr>
          <w:p>
            <w:pPr>
              <w:spacing w:after="0"/>
              <w:rPr>
                <w:sz w:val="18"/>
                <w:szCs w:val="18"/>
                <w:color w:val="auto"/>
              </w:rPr>
            </w:pPr>
          </w:p>
        </w:tc>
        <w:tc>
          <w:tcPr>
            <w:tcW w:w="3360" w:type="dxa"/>
            <w:vAlign w:val="bottom"/>
            <w:shd w:val="clear" w:color="auto" w:fill="CCEEFF"/>
          </w:tcPr>
          <w:p>
            <w:pPr>
              <w:spacing w:after="0"/>
              <w:rPr>
                <w:sz w:val="20"/>
                <w:szCs w:val="20"/>
                <w:color w:val="auto"/>
              </w:rPr>
            </w:pPr>
            <w:r>
              <w:rPr>
                <w:rFonts w:ascii="Arial" w:cs="Arial" w:eastAsia="Arial" w:hAnsi="Arial"/>
                <w:sz w:val="18"/>
                <w:szCs w:val="18"/>
                <w:color w:val="auto"/>
              </w:rPr>
              <w:t>Balance, beginning of period</w:t>
            </w: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1,505</w:t>
            </w:r>
          </w:p>
        </w:tc>
        <w:tc>
          <w:tcPr>
            <w:tcW w:w="6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6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1,043</w:t>
            </w:r>
          </w:p>
        </w:tc>
        <w:tc>
          <w:tcPr>
            <w:tcW w:w="6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32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40" w:type="dxa"/>
            <w:vAlign w:val="bottom"/>
            <w:gridSpan w:val="2"/>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4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7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2,560</w:t>
            </w:r>
          </w:p>
        </w:tc>
        <w:tc>
          <w:tcPr>
            <w:tcW w:w="160" w:type="dxa"/>
            <w:vAlign w:val="bottom"/>
            <w:shd w:val="clear" w:color="auto" w:fill="CCEEFF"/>
          </w:tcPr>
          <w:p>
            <w:pPr>
              <w:spacing w:after="0"/>
              <w:rPr>
                <w:sz w:val="18"/>
                <w:szCs w:val="18"/>
                <w:color w:val="auto"/>
              </w:rPr>
            </w:pPr>
          </w:p>
        </w:tc>
      </w:tr>
      <w:tr>
        <w:trPr>
          <w:trHeight w:val="216"/>
        </w:trPr>
        <w:tc>
          <w:tcPr>
            <w:tcW w:w="800" w:type="dxa"/>
            <w:vAlign w:val="bottom"/>
          </w:tcPr>
          <w:p>
            <w:pPr>
              <w:spacing w:after="0"/>
              <w:rPr>
                <w:sz w:val="18"/>
                <w:szCs w:val="18"/>
                <w:color w:val="auto"/>
              </w:rPr>
            </w:pPr>
          </w:p>
        </w:tc>
        <w:tc>
          <w:tcPr>
            <w:tcW w:w="3360" w:type="dxa"/>
            <w:vAlign w:val="bottom"/>
          </w:tcPr>
          <w:p>
            <w:pPr>
              <w:ind w:left="120"/>
              <w:spacing w:after="0"/>
              <w:rPr>
                <w:sz w:val="20"/>
                <w:szCs w:val="20"/>
                <w:color w:val="auto"/>
              </w:rPr>
            </w:pPr>
            <w:r>
              <w:rPr>
                <w:rFonts w:ascii="Arial" w:cs="Arial" w:eastAsia="Arial" w:hAnsi="Arial"/>
                <w:sz w:val="18"/>
                <w:szCs w:val="18"/>
                <w:color w:val="auto"/>
              </w:rPr>
              <w:t>Restructuring charges</w:t>
            </w: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169</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gridSpan w:val="3"/>
          </w:tcPr>
          <w:p>
            <w:pPr>
              <w:jc w:val="right"/>
              <w:spacing w:after="0"/>
              <w:rPr>
                <w:sz w:val="20"/>
                <w:szCs w:val="20"/>
                <w:color w:val="auto"/>
              </w:rPr>
            </w:pPr>
            <w:r>
              <w:rPr>
                <w:rFonts w:ascii="Arial" w:cs="Arial" w:eastAsia="Arial" w:hAnsi="Arial"/>
                <w:sz w:val="18"/>
                <w:szCs w:val="18"/>
                <w:color w:val="auto"/>
              </w:rPr>
              <w:t>2,896</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gridSpan w:val="4"/>
          </w:tcPr>
          <w:p>
            <w:pPr>
              <w:jc w:val="right"/>
              <w:spacing w:after="0"/>
              <w:rPr>
                <w:sz w:val="20"/>
                <w:szCs w:val="20"/>
                <w:color w:val="auto"/>
              </w:rPr>
            </w:pPr>
            <w:r>
              <w:rPr>
                <w:rFonts w:ascii="Arial" w:cs="Arial" w:eastAsia="Arial" w:hAnsi="Arial"/>
                <w:sz w:val="18"/>
                <w:szCs w:val="18"/>
                <w:color w:val="auto"/>
              </w:rPr>
              <w:t>298</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3,363</w:t>
            </w:r>
          </w:p>
        </w:tc>
        <w:tc>
          <w:tcPr>
            <w:tcW w:w="160" w:type="dxa"/>
            <w:vAlign w:val="bottom"/>
          </w:tcPr>
          <w:p>
            <w:pPr>
              <w:spacing w:after="0"/>
              <w:rPr>
                <w:sz w:val="18"/>
                <w:szCs w:val="18"/>
                <w:color w:val="auto"/>
              </w:rPr>
            </w:pPr>
          </w:p>
        </w:tc>
      </w:tr>
      <w:tr>
        <w:trPr>
          <w:trHeight w:val="216"/>
        </w:trPr>
        <w:tc>
          <w:tcPr>
            <w:tcW w:w="800" w:type="dxa"/>
            <w:vAlign w:val="bottom"/>
          </w:tcPr>
          <w:p>
            <w:pPr>
              <w:spacing w:after="0"/>
              <w:rPr>
                <w:sz w:val="18"/>
                <w:szCs w:val="18"/>
                <w:color w:val="auto"/>
              </w:rPr>
            </w:pPr>
          </w:p>
        </w:tc>
        <w:tc>
          <w:tcPr>
            <w:tcW w:w="33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Payments</w:t>
            </w:r>
          </w:p>
        </w:tc>
        <w:tc>
          <w:tcPr>
            <w:tcW w:w="1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(1,608)</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8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(1,100)</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9</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(2,711)</w:t>
            </w:r>
          </w:p>
        </w:tc>
      </w:tr>
      <w:tr>
        <w:trPr>
          <w:trHeight w:val="222"/>
        </w:trPr>
        <w:tc>
          <w:tcPr>
            <w:tcW w:w="800" w:type="dxa"/>
            <w:vAlign w:val="bottom"/>
          </w:tcPr>
          <w:p>
            <w:pPr>
              <w:spacing w:after="0"/>
              <w:rPr>
                <w:sz w:val="19"/>
                <w:szCs w:val="19"/>
                <w:color w:val="auto"/>
              </w:rPr>
            </w:pPr>
          </w:p>
        </w:tc>
        <w:tc>
          <w:tcPr>
            <w:tcW w:w="3360" w:type="dxa"/>
            <w:vAlign w:val="bottom"/>
          </w:tcPr>
          <w:p>
            <w:pPr>
              <w:ind w:left="120"/>
              <w:spacing w:after="0"/>
              <w:rPr>
                <w:sz w:val="20"/>
                <w:szCs w:val="20"/>
                <w:color w:val="auto"/>
              </w:rPr>
            </w:pPr>
            <w:r>
              <w:rPr>
                <w:rFonts w:ascii="Arial" w:cs="Arial" w:eastAsia="Arial" w:hAnsi="Arial"/>
                <w:sz w:val="18"/>
                <w:szCs w:val="18"/>
                <w:color w:val="auto"/>
              </w:rPr>
              <w:t>Write-offs</w:t>
            </w:r>
          </w:p>
        </w:tc>
        <w:tc>
          <w:tcPr>
            <w:tcW w:w="1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283</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gridSpan w:val="5"/>
          </w:tcPr>
          <w:p>
            <w:pPr>
              <w:jc w:val="right"/>
              <w:ind w:right="40"/>
              <w:spacing w:after="0"/>
              <w:rPr>
                <w:sz w:val="20"/>
                <w:szCs w:val="20"/>
                <w:color w:val="auto"/>
              </w:rPr>
            </w:pPr>
            <w:r>
              <w:rPr>
                <w:rFonts w:ascii="Arial" w:cs="Arial" w:eastAsia="Arial" w:hAnsi="Arial"/>
                <w:sz w:val="18"/>
                <w:szCs w:val="18"/>
                <w:color w:val="auto"/>
              </w:rPr>
              <w:t>(307)</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(24)</w:t>
            </w:r>
          </w:p>
        </w:tc>
      </w:tr>
      <w:tr>
        <w:trPr>
          <w:trHeight w:val="21"/>
        </w:trPr>
        <w:tc>
          <w:tcPr>
            <w:tcW w:w="800" w:type="dxa"/>
            <w:vAlign w:val="bottom"/>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0"/>
        </w:trPr>
        <w:tc>
          <w:tcPr>
            <w:tcW w:w="800" w:type="dxa"/>
            <w:vAlign w:val="bottom"/>
          </w:tcPr>
          <w:p>
            <w:pPr>
              <w:spacing w:after="0"/>
              <w:rPr>
                <w:sz w:val="18"/>
                <w:szCs w:val="18"/>
                <w:color w:val="auto"/>
              </w:rPr>
            </w:pPr>
          </w:p>
        </w:tc>
        <w:tc>
          <w:tcPr>
            <w:tcW w:w="3360" w:type="dxa"/>
            <w:vAlign w:val="bottom"/>
            <w:shd w:val="clear" w:color="auto" w:fill="CCEEFF"/>
          </w:tcPr>
          <w:p>
            <w:pPr>
              <w:spacing w:after="0"/>
              <w:rPr>
                <w:sz w:val="20"/>
                <w:szCs w:val="20"/>
                <w:color w:val="auto"/>
              </w:rPr>
            </w:pPr>
            <w:r>
              <w:rPr>
                <w:rFonts w:ascii="Arial" w:cs="Arial" w:eastAsia="Arial" w:hAnsi="Arial"/>
                <w:sz w:val="18"/>
                <w:szCs w:val="18"/>
                <w:color w:val="auto"/>
              </w:rPr>
              <w:t>Balance, end of period</w:t>
            </w: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6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6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3,122</w:t>
            </w:r>
          </w:p>
        </w:tc>
        <w:tc>
          <w:tcPr>
            <w:tcW w:w="6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32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40" w:type="dxa"/>
            <w:vAlign w:val="bottom"/>
            <w:gridSpan w:val="2"/>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4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7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3,188</w:t>
            </w:r>
          </w:p>
        </w:tc>
        <w:tc>
          <w:tcPr>
            <w:tcW w:w="160" w:type="dxa"/>
            <w:vAlign w:val="bottom"/>
            <w:shd w:val="clear" w:color="auto" w:fill="CCEEFF"/>
          </w:tcPr>
          <w:p>
            <w:pPr>
              <w:spacing w:after="0"/>
              <w:rPr>
                <w:sz w:val="18"/>
                <w:szCs w:val="18"/>
                <w:color w:val="auto"/>
              </w:rPr>
            </w:pPr>
          </w:p>
        </w:tc>
      </w:tr>
      <w:tr>
        <w:trPr>
          <w:trHeight w:val="27"/>
        </w:trPr>
        <w:tc>
          <w:tcPr>
            <w:tcW w:w="800" w:type="dxa"/>
            <w:vAlign w:val="bottom"/>
          </w:tcPr>
          <w:p>
            <w:pPr>
              <w:spacing w:after="0"/>
              <w:rPr>
                <w:sz w:val="2"/>
                <w:szCs w:val="2"/>
                <w:color w:val="auto"/>
              </w:rPr>
            </w:pPr>
          </w:p>
        </w:tc>
        <w:tc>
          <w:tcPr>
            <w:tcW w:w="33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r>
      <w:tr>
        <w:trPr>
          <w:trHeight w:val="20"/>
        </w:trPr>
        <w:tc>
          <w:tcPr>
            <w:tcW w:w="800" w:type="dxa"/>
            <w:vAlign w:val="bottom"/>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8" w:lineRule="exact"/>
        <w:rPr>
          <w:sz w:val="20"/>
          <w:szCs w:val="20"/>
          <w:color w:val="auto"/>
        </w:rPr>
      </w:pPr>
    </w:p>
    <w:p>
      <w:pPr>
        <w:ind w:right="20" w:firstLine="341"/>
        <w:spacing w:after="0" w:line="298" w:lineRule="auto"/>
        <w:rPr>
          <w:sz w:val="20"/>
          <w:szCs w:val="20"/>
          <w:color w:val="auto"/>
        </w:rPr>
      </w:pPr>
      <w:r>
        <w:rPr>
          <w:rFonts w:ascii="Arial" w:cs="Arial" w:eastAsia="Arial" w:hAnsi="Arial"/>
          <w:sz w:val="16"/>
          <w:szCs w:val="16"/>
          <w:color w:val="auto"/>
        </w:rPr>
        <w:t>At September 30, 2010, restructuring liabilities of $0.9 million are included in accrued expenses and other current liabilities and $2.3 million are included in other long-term liabilities in the accompanying consolidated balance sheet. At December 31, 2009, restructuring liabilities of $1.8 million are included in accrued expenses and other current liabilities and $0.7 million are included in other long-term liabilities in the accompanying consolidated balance sheet. Tree.com does not expect to incur significant additional costs related to the prior restructurings noted above.</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14—RELATED PARTY TRANSACTIONS</w:t>
      </w:r>
    </w:p>
    <w:p>
      <w:pPr>
        <w:spacing w:after="0" w:line="231" w:lineRule="exact"/>
        <w:rPr>
          <w:sz w:val="20"/>
          <w:szCs w:val="20"/>
          <w:color w:val="auto"/>
        </w:rPr>
      </w:pPr>
    </w:p>
    <w:p>
      <w:pPr>
        <w:ind w:firstLine="351"/>
        <w:spacing w:after="0" w:line="289" w:lineRule="auto"/>
        <w:rPr>
          <w:sz w:val="20"/>
          <w:szCs w:val="20"/>
          <w:color w:val="auto"/>
        </w:rPr>
      </w:pPr>
      <w:r>
        <w:rPr>
          <w:rFonts w:ascii="Arial" w:cs="Arial" w:eastAsia="Arial" w:hAnsi="Arial"/>
          <w:sz w:val="16"/>
          <w:szCs w:val="16"/>
          <w:color w:val="auto"/>
        </w:rPr>
        <w:t>On August 30, 2010, the Company entered into and consummated a Share Exchange Agreement (the "Share Exchange Agreement") with Douglas R. Lebda, the Company's Chairman and Chief Executive Officer. Pursuant to the Share Exchange Agreement, Mr. Lebda exchanged 2,902.33 currently outstanding shares of Series A Redeemable Preferred Stock, par value $0.01 per share (the "Preferred Stock"), of LendingTree Holdings Corp., a Delaware corporation and wholly-owned subsidiary of the Company (the "Subsidiary"), owned by him, together with $1.1 million in accrued and unpaid dividends in respect of such shares, for a total of 534,900 newly-issued shares of Tree.com common stock. The Preferred Stock has a liquidation preference of $1,000 per share and cumulative cash dividends accrue on the Preferred Stock at the rate of 12% of the liquidation preference per share per year and unpaid dividends compound at a rate per annum equal to the dividend rate. The value of the Common Stock issued to Mr. Lebda pursuant to the Share Exchange Agreement was approximately $4.0 million and was determined based on the closing price on the Nasdaq Global Market on the trading day preceding the closing of the exchange.</w:t>
      </w:r>
    </w:p>
    <w:p>
      <w:pPr>
        <w:spacing w:after="0" w:line="17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37" w:name="page38"/>
    <w:bookmarkEnd w:id="3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i w:val="1"/>
          <w:iCs w:val="1"/>
          <w:color w:val="auto"/>
        </w:rPr>
        <w:t>Management's Discussion and Analysis of Financial Condition and Results of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 Overview</w:t>
      </w:r>
    </w:p>
    <w:p>
      <w:pPr>
        <w:spacing w:after="0" w:line="231" w:lineRule="exact"/>
        <w:rPr>
          <w:sz w:val="20"/>
          <w:szCs w:val="20"/>
          <w:color w:val="auto"/>
        </w:rPr>
      </w:pPr>
    </w:p>
    <w:p>
      <w:pPr>
        <w:ind w:right="140" w:firstLine="351"/>
        <w:spacing w:after="0" w:line="259" w:lineRule="auto"/>
        <w:rPr>
          <w:sz w:val="20"/>
          <w:szCs w:val="20"/>
          <w:color w:val="auto"/>
        </w:rPr>
      </w:pPr>
      <w:r>
        <w:rPr>
          <w:rFonts w:ascii="Arial" w:cs="Arial" w:eastAsia="Arial" w:hAnsi="Arial"/>
          <w:sz w:val="18"/>
          <w:szCs w:val="18"/>
          <w:color w:val="auto"/>
        </w:rPr>
        <w:t>On August 20, 2008, Tree.com, Inc. ("Tree.com") was spun off from its parent company, IAC/InterActiveCorp ("IAC") into a separate publicly traded company. We refer to the separation transaction as the "spin-off." In connection with the spin-off, Tree.com was incorporated as a Delaware corporation in April 2008.</w:t>
      </w:r>
    </w:p>
    <w:p>
      <w:pPr>
        <w:spacing w:after="0" w:line="194" w:lineRule="exact"/>
        <w:rPr>
          <w:sz w:val="20"/>
          <w:szCs w:val="20"/>
          <w:color w:val="auto"/>
        </w:rPr>
      </w:pPr>
    </w:p>
    <w:p>
      <w:pPr>
        <w:ind w:right="240" w:firstLine="348"/>
        <w:spacing w:after="0" w:line="259" w:lineRule="auto"/>
        <w:rPr>
          <w:sz w:val="20"/>
          <w:szCs w:val="20"/>
          <w:color w:val="auto"/>
        </w:rPr>
      </w:pPr>
      <w:r>
        <w:rPr>
          <w:rFonts w:ascii="Arial" w:cs="Arial" w:eastAsia="Arial" w:hAnsi="Arial"/>
          <w:sz w:val="15"/>
          <w:szCs w:val="15"/>
          <w:color w:val="auto"/>
        </w:rPr>
        <w:t>Tree.com is the parent of LendingTree, LLC and the owner of several brands and businesses that provide information, tools, advice, products and services for critical transactions in our customers' lives. Our family of brands includes: LendingTree.com®, GetSmart.com®, RealEstate.com®, DegreeTree.com</w:t>
      </w:r>
      <w:r>
        <w:rPr>
          <w:rFonts w:ascii="Arial" w:cs="Arial" w:eastAsia="Arial" w:hAnsi="Arial"/>
          <w:sz w:val="24"/>
          <w:szCs w:val="24"/>
          <w:color w:val="auto"/>
          <w:vertAlign w:val="superscript"/>
        </w:rPr>
        <w:t>SM</w:t>
      </w:r>
      <w:r>
        <w:rPr>
          <w:rFonts w:ascii="Arial" w:cs="Arial" w:eastAsia="Arial" w:hAnsi="Arial"/>
          <w:sz w:val="15"/>
          <w:szCs w:val="15"/>
          <w:color w:val="auto"/>
        </w:rPr>
        <w:t>,</w:t>
      </w:r>
    </w:p>
    <w:p>
      <w:pPr>
        <w:spacing w:after="0" w:line="2" w:lineRule="exact"/>
        <w:rPr>
          <w:sz w:val="20"/>
          <w:szCs w:val="20"/>
          <w:color w:val="auto"/>
        </w:rPr>
      </w:pPr>
    </w:p>
    <w:p>
      <w:pPr>
        <w:ind w:right="160"/>
        <w:spacing w:after="0" w:line="231" w:lineRule="auto"/>
        <w:rPr>
          <w:sz w:val="20"/>
          <w:szCs w:val="20"/>
          <w:color w:val="auto"/>
        </w:rPr>
      </w:pPr>
      <w:r>
        <w:rPr>
          <w:rFonts w:ascii="Arial" w:cs="Arial" w:eastAsia="Arial" w:hAnsi="Arial"/>
          <w:sz w:val="16"/>
          <w:szCs w:val="16"/>
          <w:color w:val="auto"/>
        </w:rPr>
        <w:t>HealthTree.com</w:t>
      </w:r>
      <w:r>
        <w:rPr>
          <w:rFonts w:ascii="Arial" w:cs="Arial" w:eastAsia="Arial" w:hAnsi="Arial"/>
          <w:sz w:val="26"/>
          <w:szCs w:val="26"/>
          <w:color w:val="auto"/>
          <w:vertAlign w:val="superscript"/>
        </w:rPr>
        <w:t>SM</w:t>
      </w:r>
      <w:r>
        <w:rPr>
          <w:rFonts w:ascii="Arial" w:cs="Arial" w:eastAsia="Arial" w:hAnsi="Arial"/>
          <w:sz w:val="16"/>
          <w:szCs w:val="16"/>
          <w:color w:val="auto"/>
        </w:rPr>
        <w:t>, LendingTreeAutos.com, DoneRight.com, and InsuranceTree.com</w:t>
      </w:r>
      <w:r>
        <w:rPr>
          <w:rFonts w:ascii="Arial" w:cs="Arial" w:eastAsia="Arial" w:hAnsi="Arial"/>
          <w:sz w:val="26"/>
          <w:szCs w:val="26"/>
          <w:color w:val="auto"/>
          <w:vertAlign w:val="superscript"/>
        </w:rPr>
        <w:t>SM</w:t>
      </w:r>
      <w:r>
        <w:rPr>
          <w:rFonts w:ascii="Arial" w:cs="Arial" w:eastAsia="Arial" w:hAnsi="Arial"/>
          <w:sz w:val="16"/>
          <w:szCs w:val="16"/>
          <w:color w:val="auto"/>
        </w:rPr>
        <w:t>. Together, these brands serve as an ally for consumers who are looking to comparison shop for loans, real estate and other services from multiple businesses and professionals who will compete for their business.</w:t>
      </w:r>
    </w:p>
    <w:p>
      <w:pPr>
        <w:spacing w:after="0" w:line="211" w:lineRule="exact"/>
        <w:rPr>
          <w:sz w:val="20"/>
          <w:szCs w:val="20"/>
          <w:color w:val="auto"/>
        </w:rPr>
      </w:pPr>
    </w:p>
    <w:p>
      <w:pPr>
        <w:ind w:right="340" w:firstLine="348"/>
        <w:spacing w:after="0" w:line="268" w:lineRule="auto"/>
        <w:rPr>
          <w:sz w:val="20"/>
          <w:szCs w:val="20"/>
          <w:color w:val="auto"/>
        </w:rPr>
      </w:pPr>
      <w:r>
        <w:rPr>
          <w:rFonts w:ascii="Arial" w:cs="Arial" w:eastAsia="Arial" w:hAnsi="Arial"/>
          <w:sz w:val="18"/>
          <w:szCs w:val="18"/>
          <w:color w:val="auto"/>
        </w:rPr>
        <w:t>These businesses and brands are operated under the segments known as LendingTree Loans, the Exchanges and Real Estate. Additionally, certain shared indirect costs that are described below are reported as "Unallocated—Corporate."</w:t>
      </w:r>
    </w:p>
    <w:p>
      <w:pPr>
        <w:spacing w:after="0" w:line="186" w:lineRule="exact"/>
        <w:rPr>
          <w:sz w:val="20"/>
          <w:szCs w:val="20"/>
          <w:color w:val="auto"/>
        </w:rPr>
      </w:pPr>
    </w:p>
    <w:p>
      <w:pPr>
        <w:ind w:right="100" w:firstLine="348"/>
        <w:spacing w:after="0" w:line="306" w:lineRule="auto"/>
        <w:rPr>
          <w:sz w:val="20"/>
          <w:szCs w:val="20"/>
          <w:color w:val="auto"/>
        </w:rPr>
      </w:pPr>
      <w:r>
        <w:rPr>
          <w:rFonts w:ascii="Arial" w:cs="Arial" w:eastAsia="Arial" w:hAnsi="Arial"/>
          <w:sz w:val="16"/>
          <w:szCs w:val="16"/>
          <w:color w:val="auto"/>
        </w:rPr>
        <w:t>The expenses presented below for each of the business segments include an allocation of certain corporate expenses that are identifiable and directly benefit those segments. The unallocated expenses are those corporate overhead expenses that are not directly attributable to a segment and include: corporate expenses such as finance, legal, executive, technology support, and human resources, as well as elimination of inter-segment revenue and costs.</w:t>
      </w:r>
    </w:p>
    <w:p>
      <w:pPr>
        <w:spacing w:after="0" w:line="161" w:lineRule="exact"/>
        <w:rPr>
          <w:sz w:val="20"/>
          <w:szCs w:val="20"/>
          <w:color w:val="auto"/>
        </w:rPr>
      </w:pPr>
    </w:p>
    <w:p>
      <w:pPr>
        <w:ind w:right="660" w:firstLine="348"/>
        <w:spacing w:after="0" w:line="259" w:lineRule="auto"/>
        <w:rPr>
          <w:sz w:val="20"/>
          <w:szCs w:val="20"/>
          <w:color w:val="auto"/>
        </w:rPr>
      </w:pPr>
      <w:r>
        <w:rPr>
          <w:rFonts w:ascii="Arial" w:cs="Arial" w:eastAsia="Arial" w:hAnsi="Arial"/>
          <w:sz w:val="18"/>
          <w:szCs w:val="18"/>
          <w:color w:val="auto"/>
        </w:rPr>
        <w:t>The LendingTree Loans segment originates, processes, approves and funds various residential real estate loans through Home Loan Center, Inc. dba LendingTree Loans ("HLC"). The HLC and LendingTree Loans brand names are collectively referred to in these consolidated financial statements as "LendingTree Loans."</w:t>
      </w:r>
    </w:p>
    <w:p>
      <w:pPr>
        <w:spacing w:after="0" w:line="194" w:lineRule="exact"/>
        <w:rPr>
          <w:sz w:val="20"/>
          <w:szCs w:val="20"/>
          <w:color w:val="auto"/>
        </w:rPr>
      </w:pPr>
    </w:p>
    <w:p>
      <w:pPr>
        <w:jc w:val="both"/>
        <w:ind w:right="880" w:firstLine="348"/>
        <w:spacing w:after="0" w:line="259" w:lineRule="auto"/>
        <w:rPr>
          <w:sz w:val="20"/>
          <w:szCs w:val="20"/>
          <w:color w:val="auto"/>
        </w:rPr>
      </w:pPr>
      <w:r>
        <w:rPr>
          <w:rFonts w:ascii="Arial" w:cs="Arial" w:eastAsia="Arial" w:hAnsi="Arial"/>
          <w:sz w:val="18"/>
          <w:szCs w:val="18"/>
          <w:color w:val="auto"/>
        </w:rPr>
        <w:t>The Exchanges segment consists of online lead generation networks and call centers (principally LendingTree.com, Tree.com, DegreeTree.com, LendingTreeAutos.com and GetSmart.com) that connect consumers and service providers principally in the lending, higher education and automobile marketplaces.</w:t>
      </w:r>
    </w:p>
    <w:p>
      <w:pPr>
        <w:spacing w:after="0" w:line="194" w:lineRule="exact"/>
        <w:rPr>
          <w:sz w:val="20"/>
          <w:szCs w:val="20"/>
          <w:color w:val="auto"/>
        </w:rPr>
      </w:pPr>
    </w:p>
    <w:p>
      <w:pPr>
        <w:ind w:firstLine="348"/>
        <w:spacing w:after="0" w:line="332" w:lineRule="auto"/>
        <w:rPr>
          <w:sz w:val="20"/>
          <w:szCs w:val="20"/>
          <w:color w:val="auto"/>
        </w:rPr>
      </w:pPr>
      <w:r>
        <w:rPr>
          <w:rFonts w:ascii="Arial" w:cs="Arial" w:eastAsia="Arial" w:hAnsi="Arial"/>
          <w:sz w:val="16"/>
          <w:szCs w:val="16"/>
          <w:color w:val="auto"/>
        </w:rPr>
        <w:t xml:space="preserve">The Real Estate segment consists of a proprietary full-service real estate brokerage (RealEstate.com, REALTORS®) that operates in 20 U.S. markets, as well as an online lead generation network accessed at </w:t>
      </w:r>
      <w:r>
        <w:rPr>
          <w:rFonts w:ascii="Arial" w:cs="Arial" w:eastAsia="Arial" w:hAnsi="Arial"/>
          <w:sz w:val="16"/>
          <w:szCs w:val="16"/>
          <w:i w:val="1"/>
          <w:iCs w:val="1"/>
          <w:color w:val="auto"/>
        </w:rPr>
        <w:t>www.RealEstate.com</w:t>
      </w:r>
      <w:r>
        <w:rPr>
          <w:rFonts w:ascii="Arial" w:cs="Arial" w:eastAsia="Arial" w:hAnsi="Arial"/>
          <w:sz w:val="16"/>
          <w:szCs w:val="16"/>
          <w:color w:val="auto"/>
        </w:rPr>
        <w:t>, that connects consumers with third party real estate brokerages around the country.</w:t>
      </w:r>
    </w:p>
    <w:p>
      <w:pPr>
        <w:spacing w:after="0" w:line="139" w:lineRule="exact"/>
        <w:rPr>
          <w:sz w:val="20"/>
          <w:szCs w:val="20"/>
          <w:color w:val="auto"/>
        </w:rPr>
      </w:pPr>
    </w:p>
    <w:p>
      <w:pPr>
        <w:ind w:right="160" w:firstLine="351"/>
        <w:spacing w:after="0" w:line="256" w:lineRule="auto"/>
        <w:rPr>
          <w:sz w:val="20"/>
          <w:szCs w:val="20"/>
          <w:color w:val="auto"/>
        </w:rPr>
      </w:pPr>
      <w:r>
        <w:rPr>
          <w:rFonts w:ascii="Arial" w:cs="Arial" w:eastAsia="Arial" w:hAnsi="Arial"/>
          <w:sz w:val="18"/>
          <w:szCs w:val="18"/>
          <w:color w:val="auto"/>
        </w:rPr>
        <w:t>From time to time, we may evaluate the potential acquisition of various assets and other businesses that may complement our current services, enhance our capabilities, improve or sustain our competitive position, or otherwise offer growth opportunities. From time to time, also we may consider the potential disposition of certain of our assets, subsidiaries or lines of businesses. As a general rule, we publicly announce any material acquisitions or dispositions when a definitive agreement has been reached.</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8" w:name="page39"/>
    <w:bookmarkEnd w:id="3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360"/>
        <w:spacing w:after="0"/>
        <w:rPr>
          <w:sz w:val="20"/>
          <w:szCs w:val="20"/>
          <w:color w:val="auto"/>
        </w:rPr>
      </w:pPr>
      <w:r>
        <w:rPr>
          <w:rFonts w:ascii="Arial" w:cs="Arial" w:eastAsia="Arial" w:hAnsi="Arial"/>
          <w:sz w:val="15"/>
          <w:szCs w:val="15"/>
          <w:b w:val="1"/>
          <w:bCs w:val="1"/>
          <w:i w:val="1"/>
          <w:iCs w:val="1"/>
          <w:color w:val="auto"/>
        </w:rPr>
        <w:t>Results of operations for the three and nine months ended September 30, 2010 compared to the three and nine months ended September 30, 2009:</w:t>
      </w:r>
    </w:p>
    <w:p>
      <w:pPr>
        <w:spacing w:after="0" w:line="260"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Revenue</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For the three months ended September 30, 2010 compared to the three months ended September 30, 2009:</w:t>
      </w:r>
    </w:p>
    <w:p>
      <w:pPr>
        <w:spacing w:after="0" w:line="275" w:lineRule="exact"/>
        <w:rPr>
          <w:sz w:val="20"/>
          <w:szCs w:val="20"/>
          <w:color w:val="auto"/>
        </w:rPr>
      </w:pPr>
    </w:p>
    <w:tbl>
      <w:tblPr>
        <w:tblLayout w:type="fixed"/>
        <w:tblInd w:w="2300" w:type="dxa"/>
        <w:tblCellMar>
          <w:top w:w="0" w:type="dxa"/>
          <w:left w:w="0" w:type="dxa"/>
          <w:bottom w:w="0" w:type="dxa"/>
          <w:right w:w="0" w:type="dxa"/>
        </w:tblCellMar>
      </w:tblPr>
      <w:tr>
        <w:trPr>
          <w:trHeight w:val="161"/>
        </w:trPr>
        <w:tc>
          <w:tcPr>
            <w:tcW w:w="31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2120" w:type="dxa"/>
            <w:vAlign w:val="bottom"/>
            <w:tcBorders>
              <w:bottom w:val="single" w:sz="8" w:color="auto"/>
            </w:tcBorders>
            <w:gridSpan w:val="6"/>
          </w:tcPr>
          <w:p>
            <w:pPr>
              <w:jc w:val="right"/>
              <w:ind w:right="20"/>
              <w:spacing w:after="0"/>
              <w:rPr>
                <w:sz w:val="20"/>
                <w:szCs w:val="20"/>
                <w:color w:val="auto"/>
              </w:rPr>
            </w:pPr>
            <w:r>
              <w:rPr>
                <w:rFonts w:ascii="Arial" w:cs="Arial" w:eastAsia="Arial" w:hAnsi="Arial"/>
                <w:sz w:val="14"/>
                <w:szCs w:val="14"/>
                <w:b w:val="1"/>
                <w:bCs w:val="1"/>
                <w:color w:val="auto"/>
                <w:w w:val="87"/>
              </w:rPr>
              <w:t>Three Months Ended September 30,</w:t>
            </w:r>
          </w:p>
        </w:tc>
        <w:tc>
          <w:tcPr>
            <w:tcW w:w="14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jc w:val="right"/>
              <w:ind w:right="114"/>
              <w:spacing w:after="0" w:line="142" w:lineRule="exact"/>
              <w:rPr>
                <w:sz w:val="20"/>
                <w:szCs w:val="20"/>
                <w:color w:val="auto"/>
              </w:rPr>
            </w:pPr>
            <w:r>
              <w:rPr>
                <w:rFonts w:ascii="Arial" w:cs="Arial" w:eastAsia="Arial" w:hAnsi="Arial"/>
                <w:sz w:val="14"/>
                <w:szCs w:val="14"/>
                <w:b w:val="1"/>
                <w:bCs w:val="1"/>
                <w:color w:val="auto"/>
              </w:rPr>
              <w:t>2010</w:t>
            </w:r>
          </w:p>
        </w:tc>
        <w:tc>
          <w:tcPr>
            <w:tcW w:w="160" w:type="dxa"/>
            <w:vAlign w:val="bottom"/>
          </w:tcPr>
          <w:p>
            <w:pPr>
              <w:spacing w:after="0"/>
              <w:rPr>
                <w:sz w:val="12"/>
                <w:szCs w:val="12"/>
                <w:color w:val="auto"/>
              </w:rPr>
            </w:pPr>
          </w:p>
        </w:tc>
        <w:tc>
          <w:tcPr>
            <w:tcW w:w="18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w:t>
            </w:r>
          </w:p>
        </w:tc>
        <w:tc>
          <w:tcPr>
            <w:tcW w:w="700" w:type="dxa"/>
            <w:vAlign w:val="bottom"/>
            <w:gridSpan w:val="2"/>
          </w:tcPr>
          <w:p>
            <w:pPr>
              <w:jc w:val="right"/>
              <w:ind w:right="172"/>
              <w:spacing w:after="0" w:line="142" w:lineRule="exact"/>
              <w:rPr>
                <w:sz w:val="20"/>
                <w:szCs w:val="20"/>
                <w:color w:val="auto"/>
              </w:rPr>
            </w:pPr>
            <w:r>
              <w:rPr>
                <w:rFonts w:ascii="Arial" w:cs="Arial" w:eastAsia="Arial" w:hAnsi="Arial"/>
                <w:sz w:val="14"/>
                <w:szCs w:val="14"/>
                <w:b w:val="1"/>
                <w:bCs w:val="1"/>
                <w:color w:val="auto"/>
                <w:w w:val="85"/>
              </w:rPr>
              <w:t>Change</w:t>
            </w:r>
          </w:p>
        </w:tc>
        <w:tc>
          <w:tcPr>
            <w:tcW w:w="1080" w:type="dxa"/>
            <w:vAlign w:val="bottom"/>
            <w:gridSpan w:val="2"/>
          </w:tcPr>
          <w:p>
            <w:pPr>
              <w:jc w:val="right"/>
              <w:ind w:right="380"/>
              <w:spacing w:after="0" w:line="142" w:lineRule="exact"/>
              <w:rPr>
                <w:sz w:val="20"/>
                <w:szCs w:val="20"/>
                <w:color w:val="auto"/>
              </w:rPr>
            </w:pPr>
            <w:r>
              <w:rPr>
                <w:rFonts w:ascii="Arial" w:cs="Arial" w:eastAsia="Arial" w:hAnsi="Arial"/>
                <w:sz w:val="14"/>
                <w:szCs w:val="14"/>
                <w:b w:val="1"/>
                <w:bCs w:val="1"/>
                <w:color w:val="auto"/>
              </w:rPr>
              <w:t>% Change</w:t>
            </w:r>
          </w:p>
        </w:tc>
        <w:tc>
          <w:tcPr>
            <w:tcW w:w="140" w:type="dxa"/>
            <w:vAlign w:val="bottom"/>
          </w:tcPr>
          <w:p>
            <w:pPr>
              <w:spacing w:after="0"/>
              <w:rPr>
                <w:sz w:val="12"/>
                <w:szCs w:val="12"/>
                <w:color w:val="auto"/>
              </w:rPr>
            </w:pPr>
          </w:p>
        </w:tc>
        <w:tc>
          <w:tcPr>
            <w:tcW w:w="560" w:type="dxa"/>
            <w:vAlign w:val="bottom"/>
          </w:tcPr>
          <w:p>
            <w:pPr>
              <w:jc w:val="right"/>
              <w:ind w:right="134"/>
              <w:spacing w:after="0" w:line="142" w:lineRule="exact"/>
              <w:rPr>
                <w:sz w:val="20"/>
                <w:szCs w:val="20"/>
                <w:color w:val="auto"/>
              </w:rPr>
            </w:pPr>
            <w:r>
              <w:rPr>
                <w:rFonts w:ascii="Arial" w:cs="Arial" w:eastAsia="Arial" w:hAnsi="Arial"/>
                <w:sz w:val="14"/>
                <w:szCs w:val="14"/>
                <w:b w:val="1"/>
                <w:bCs w:val="1"/>
                <w:color w:val="auto"/>
              </w:rPr>
              <w:t>2009</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16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9"/>
              </w:rPr>
              <w:t>(Dollars</w:t>
            </w:r>
          </w:p>
        </w:tc>
        <w:tc>
          <w:tcPr>
            <w:tcW w:w="16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in</w:t>
            </w:r>
          </w:p>
        </w:tc>
        <w:tc>
          <w:tcPr>
            <w:tcW w:w="760" w:type="dxa"/>
            <w:vAlign w:val="bottom"/>
            <w:tcBorders>
              <w:top w:val="single" w:sz="8" w:color="auto"/>
            </w:tcBorders>
          </w:tcPr>
          <w:p>
            <w:pPr>
              <w:jc w:val="right"/>
              <w:ind w:right="15"/>
              <w:spacing w:after="0" w:line="142" w:lineRule="exact"/>
              <w:rPr>
                <w:sz w:val="20"/>
                <w:szCs w:val="20"/>
                <w:color w:val="auto"/>
              </w:rPr>
            </w:pPr>
            <w:r>
              <w:rPr>
                <w:rFonts w:ascii="Arial" w:cs="Arial" w:eastAsia="Arial" w:hAnsi="Arial"/>
                <w:sz w:val="14"/>
                <w:szCs w:val="14"/>
                <w:b w:val="1"/>
                <w:bCs w:val="1"/>
                <w:color w:val="auto"/>
                <w:w w:val="84"/>
              </w:rPr>
              <w:t>thousands)</w:t>
            </w:r>
          </w:p>
        </w:tc>
        <w:tc>
          <w:tcPr>
            <w:tcW w:w="32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3160" w:type="dxa"/>
            <w:vAlign w:val="bottom"/>
            <w:shd w:val="clear" w:color="auto" w:fill="CCEEFF"/>
          </w:tcPr>
          <w:p>
            <w:pPr>
              <w:spacing w:after="0"/>
              <w:rPr>
                <w:sz w:val="20"/>
                <w:szCs w:val="20"/>
                <w:color w:val="auto"/>
              </w:rPr>
            </w:pPr>
            <w:r>
              <w:rPr>
                <w:rFonts w:ascii="Arial" w:cs="Arial" w:eastAsia="Arial" w:hAnsi="Arial"/>
                <w:sz w:val="18"/>
                <w:szCs w:val="18"/>
                <w:color w:val="auto"/>
              </w:rPr>
              <w:t>LendingTree Loans:</w:t>
            </w: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60" w:type="dxa"/>
            <w:vAlign w:val="bottom"/>
          </w:tcPr>
          <w:p>
            <w:pPr>
              <w:ind w:left="120"/>
              <w:spacing w:after="0"/>
              <w:rPr>
                <w:sz w:val="20"/>
                <w:szCs w:val="20"/>
                <w:color w:val="auto"/>
              </w:rPr>
            </w:pPr>
            <w:r>
              <w:rPr>
                <w:rFonts w:ascii="Arial" w:cs="Arial" w:eastAsia="Arial" w:hAnsi="Arial"/>
                <w:sz w:val="18"/>
                <w:szCs w:val="18"/>
                <w:color w:val="auto"/>
              </w:rPr>
              <w:t>Origination and sale of loans</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tcPr>
          <w:p>
            <w:pPr>
              <w:jc w:val="right"/>
              <w:spacing w:after="0"/>
              <w:rPr>
                <w:sz w:val="20"/>
                <w:szCs w:val="20"/>
                <w:color w:val="auto"/>
              </w:rPr>
            </w:pPr>
            <w:r>
              <w:rPr>
                <w:rFonts w:ascii="Arial" w:cs="Arial" w:eastAsia="Arial" w:hAnsi="Arial"/>
                <w:sz w:val="18"/>
                <w:szCs w:val="18"/>
                <w:color w:val="auto"/>
                <w:w w:val="94"/>
              </w:rPr>
              <w:t>31,860</w:t>
            </w:r>
          </w:p>
        </w:tc>
        <w:tc>
          <w:tcPr>
            <w:tcW w:w="16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9,365</w:t>
            </w:r>
          </w:p>
        </w:tc>
        <w:tc>
          <w:tcPr>
            <w:tcW w:w="160" w:type="dxa"/>
            <w:vAlign w:val="bottom"/>
          </w:tcPr>
          <w:p>
            <w:pPr>
              <w:spacing w:after="0"/>
              <w:rPr>
                <w:sz w:val="18"/>
                <w:szCs w:val="18"/>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42%</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w w:val="98"/>
              </w:rPr>
              <w:t>22,495</w:t>
            </w:r>
          </w:p>
        </w:tc>
        <w:tc>
          <w:tcPr>
            <w:tcW w:w="0" w:type="dxa"/>
            <w:vAlign w:val="bottom"/>
          </w:tcPr>
          <w:p>
            <w:pPr>
              <w:spacing w:after="0"/>
              <w:rPr>
                <w:sz w:val="1"/>
                <w:szCs w:val="1"/>
                <w:color w:val="auto"/>
              </w:rPr>
            </w:pPr>
          </w:p>
        </w:tc>
      </w:tr>
      <w:tr>
        <w:trPr>
          <w:trHeight w:val="216"/>
        </w:trPr>
        <w:tc>
          <w:tcPr>
            <w:tcW w:w="31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Other</w:t>
            </w: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2,900</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1,286</w:t>
            </w: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80%</w:t>
            </w: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1,614</w:t>
            </w:r>
          </w:p>
        </w:tc>
        <w:tc>
          <w:tcPr>
            <w:tcW w:w="0" w:type="dxa"/>
            <w:vAlign w:val="bottom"/>
          </w:tcPr>
          <w:p>
            <w:pPr>
              <w:spacing w:after="0"/>
              <w:rPr>
                <w:sz w:val="1"/>
                <w:szCs w:val="1"/>
                <w:color w:val="auto"/>
              </w:rPr>
            </w:pPr>
          </w:p>
        </w:tc>
      </w:tr>
      <w:tr>
        <w:trPr>
          <w:trHeight w:val="27"/>
        </w:trPr>
        <w:tc>
          <w:tcPr>
            <w:tcW w:w="3160" w:type="dxa"/>
            <w:vAlign w:val="bottom"/>
            <w:vMerge w:val="restart"/>
          </w:tcPr>
          <w:p>
            <w:pPr>
              <w:spacing w:after="0"/>
              <w:rPr>
                <w:sz w:val="20"/>
                <w:szCs w:val="20"/>
                <w:color w:val="auto"/>
              </w:rPr>
            </w:pPr>
            <w:r>
              <w:rPr>
                <w:rFonts w:ascii="Arial" w:cs="Arial" w:eastAsia="Arial" w:hAnsi="Arial"/>
                <w:sz w:val="18"/>
                <w:szCs w:val="18"/>
                <w:color w:val="auto"/>
              </w:rPr>
              <w:t>Total LendingTree Loans</w:t>
            </w:r>
          </w:p>
        </w:tc>
        <w:tc>
          <w:tcPr>
            <w:tcW w:w="1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44%</w:t>
            </w:r>
          </w:p>
        </w:tc>
        <w:tc>
          <w:tcPr>
            <w:tcW w:w="140" w:type="dxa"/>
            <w:vAlign w:val="bottom"/>
          </w:tcPr>
          <w:p>
            <w:pPr>
              <w:spacing w:after="0"/>
              <w:rPr>
                <w:sz w:val="2"/>
                <w:szCs w:val="2"/>
                <w:color w:val="auto"/>
              </w:rPr>
            </w:pPr>
          </w:p>
        </w:tc>
        <w:tc>
          <w:tcPr>
            <w:tcW w:w="72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3160" w:type="dxa"/>
            <w:vAlign w:val="bottom"/>
            <w:vMerge w:val="continue"/>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4"/>
              </w:rPr>
              <w:t>34,760</w:t>
            </w:r>
          </w:p>
        </w:tc>
        <w:tc>
          <w:tcPr>
            <w:tcW w:w="16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4"/>
              </w:rPr>
              <w:t>10,651</w:t>
            </w:r>
          </w:p>
        </w:tc>
        <w:tc>
          <w:tcPr>
            <w:tcW w:w="160" w:type="dxa"/>
            <w:vAlign w:val="bottom"/>
          </w:tcPr>
          <w:p>
            <w:pPr>
              <w:spacing w:after="0"/>
              <w:rPr>
                <w:sz w:val="18"/>
                <w:szCs w:val="18"/>
                <w:color w:val="auto"/>
              </w:rPr>
            </w:pPr>
          </w:p>
        </w:tc>
        <w:tc>
          <w:tcPr>
            <w:tcW w:w="1080" w:type="dxa"/>
            <w:vAlign w:val="bottom"/>
            <w:gridSpan w:val="2"/>
            <w:vMerge w:val="continue"/>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8"/>
              </w:rPr>
              <w:t>24,109</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60" w:type="dxa"/>
            <w:vAlign w:val="bottom"/>
            <w:shd w:val="clear" w:color="auto" w:fill="CCEEFF"/>
          </w:tcPr>
          <w:p>
            <w:pPr>
              <w:spacing w:after="0"/>
              <w:rPr>
                <w:sz w:val="20"/>
                <w:szCs w:val="20"/>
                <w:color w:val="auto"/>
              </w:rPr>
            </w:pPr>
            <w:r>
              <w:rPr>
                <w:rFonts w:ascii="Arial" w:cs="Arial" w:eastAsia="Arial" w:hAnsi="Arial"/>
                <w:sz w:val="18"/>
                <w:szCs w:val="18"/>
                <w:color w:val="auto"/>
              </w:rPr>
              <w:t>Exchanges:</w:t>
            </w: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60" w:type="dxa"/>
            <w:vAlign w:val="bottom"/>
          </w:tcPr>
          <w:p>
            <w:pPr>
              <w:ind w:left="120"/>
              <w:spacing w:after="0"/>
              <w:rPr>
                <w:sz w:val="20"/>
                <w:szCs w:val="20"/>
                <w:color w:val="auto"/>
              </w:rPr>
            </w:pPr>
            <w:r>
              <w:rPr>
                <w:rFonts w:ascii="Arial" w:cs="Arial" w:eastAsia="Arial" w:hAnsi="Arial"/>
                <w:sz w:val="18"/>
                <w:szCs w:val="18"/>
                <w:color w:val="auto"/>
              </w:rPr>
              <w:t>Match fees</w:t>
            </w:r>
          </w:p>
        </w:tc>
        <w:tc>
          <w:tcPr>
            <w:tcW w:w="1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94"/>
              </w:rPr>
              <w:t>12,858</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420</w:t>
            </w:r>
          </w:p>
        </w:tc>
        <w:tc>
          <w:tcPr>
            <w:tcW w:w="160" w:type="dxa"/>
            <w:vAlign w:val="bottom"/>
          </w:tcPr>
          <w:p>
            <w:pPr>
              <w:spacing w:after="0"/>
              <w:rPr>
                <w:sz w:val="18"/>
                <w:szCs w:val="18"/>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3%</w:t>
            </w:r>
          </w:p>
        </w:tc>
        <w:tc>
          <w:tcPr>
            <w:tcW w:w="14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w w:val="98"/>
              </w:rPr>
              <w:t>12,438</w:t>
            </w:r>
          </w:p>
        </w:tc>
        <w:tc>
          <w:tcPr>
            <w:tcW w:w="0" w:type="dxa"/>
            <w:vAlign w:val="bottom"/>
          </w:tcPr>
          <w:p>
            <w:pPr>
              <w:spacing w:after="0"/>
              <w:rPr>
                <w:sz w:val="1"/>
                <w:szCs w:val="1"/>
                <w:color w:val="auto"/>
              </w:rPr>
            </w:pPr>
          </w:p>
        </w:tc>
      </w:tr>
      <w:tr>
        <w:trPr>
          <w:trHeight w:val="216"/>
        </w:trPr>
        <w:tc>
          <w:tcPr>
            <w:tcW w:w="31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Closed loan fees</w:t>
            </w: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1,656</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32"/>
              <w:spacing w:after="0"/>
              <w:rPr>
                <w:sz w:val="20"/>
                <w:szCs w:val="20"/>
                <w:color w:val="auto"/>
              </w:rPr>
            </w:pPr>
            <w:r>
              <w:rPr>
                <w:rFonts w:ascii="Arial" w:cs="Arial" w:eastAsia="Arial" w:hAnsi="Arial"/>
                <w:sz w:val="18"/>
                <w:szCs w:val="18"/>
                <w:color w:val="auto"/>
              </w:rPr>
              <w:t>(3,662)</w:t>
            </w: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(69)%</w:t>
            </w: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5,318</w:t>
            </w:r>
          </w:p>
        </w:tc>
        <w:tc>
          <w:tcPr>
            <w:tcW w:w="0" w:type="dxa"/>
            <w:vAlign w:val="bottom"/>
          </w:tcPr>
          <w:p>
            <w:pPr>
              <w:spacing w:after="0"/>
              <w:rPr>
                <w:sz w:val="1"/>
                <w:szCs w:val="1"/>
                <w:color w:val="auto"/>
              </w:rPr>
            </w:pPr>
          </w:p>
        </w:tc>
      </w:tr>
      <w:tr>
        <w:trPr>
          <w:trHeight w:val="216"/>
        </w:trPr>
        <w:tc>
          <w:tcPr>
            <w:tcW w:w="3160" w:type="dxa"/>
            <w:vAlign w:val="bottom"/>
          </w:tcPr>
          <w:p>
            <w:pPr>
              <w:ind w:left="120"/>
              <w:spacing w:after="0"/>
              <w:rPr>
                <w:sz w:val="20"/>
                <w:szCs w:val="20"/>
                <w:color w:val="auto"/>
              </w:rPr>
            </w:pPr>
            <w:r>
              <w:rPr>
                <w:rFonts w:ascii="Arial" w:cs="Arial" w:eastAsia="Arial" w:hAnsi="Arial"/>
                <w:sz w:val="18"/>
                <w:szCs w:val="18"/>
                <w:color w:val="auto"/>
              </w:rPr>
              <w:t>Other</w:t>
            </w:r>
          </w:p>
        </w:tc>
        <w:tc>
          <w:tcPr>
            <w:tcW w:w="1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690</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gridSpan w:val="2"/>
          </w:tcPr>
          <w:p>
            <w:pPr>
              <w:jc w:val="right"/>
              <w:ind w:right="32"/>
              <w:spacing w:after="0"/>
              <w:rPr>
                <w:sz w:val="20"/>
                <w:szCs w:val="20"/>
                <w:color w:val="auto"/>
              </w:rPr>
            </w:pPr>
            <w:r>
              <w:rPr>
                <w:rFonts w:ascii="Arial" w:cs="Arial" w:eastAsia="Arial" w:hAnsi="Arial"/>
                <w:sz w:val="18"/>
                <w:szCs w:val="18"/>
                <w:color w:val="auto"/>
              </w:rPr>
              <w:t>(164)</w:t>
            </w: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(19)%</w:t>
            </w:r>
          </w:p>
        </w:tc>
        <w:tc>
          <w:tcPr>
            <w:tcW w:w="14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rPr>
              <w:t>854</w:t>
            </w:r>
          </w:p>
        </w:tc>
        <w:tc>
          <w:tcPr>
            <w:tcW w:w="0" w:type="dxa"/>
            <w:vAlign w:val="bottom"/>
          </w:tcPr>
          <w:p>
            <w:pPr>
              <w:spacing w:after="0"/>
              <w:rPr>
                <w:sz w:val="1"/>
                <w:szCs w:val="1"/>
                <w:color w:val="auto"/>
              </w:rPr>
            </w:pPr>
          </w:p>
        </w:tc>
      </w:tr>
      <w:tr>
        <w:trPr>
          <w:trHeight w:val="216"/>
        </w:trPr>
        <w:tc>
          <w:tcPr>
            <w:tcW w:w="31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Inter-segment revenue</w:t>
            </w: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w:t>
            </w: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100%</w:t>
            </w: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160" w:type="dxa"/>
            <w:vAlign w:val="bottom"/>
            <w:vMerge w:val="restart"/>
          </w:tcPr>
          <w:p>
            <w:pPr>
              <w:spacing w:after="0"/>
              <w:rPr>
                <w:sz w:val="20"/>
                <w:szCs w:val="20"/>
                <w:color w:val="auto"/>
              </w:rPr>
            </w:pPr>
            <w:r>
              <w:rPr>
                <w:rFonts w:ascii="Arial" w:cs="Arial" w:eastAsia="Arial" w:hAnsi="Arial"/>
                <w:sz w:val="18"/>
                <w:szCs w:val="18"/>
                <w:color w:val="auto"/>
              </w:rPr>
              <w:t>Total Exchanges</w:t>
            </w:r>
          </w:p>
        </w:tc>
        <w:tc>
          <w:tcPr>
            <w:tcW w:w="1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gridSpan w:val="2"/>
          </w:tcPr>
          <w:p>
            <w:pPr>
              <w:spacing w:after="0"/>
              <w:rPr>
                <w:sz w:val="2"/>
                <w:szCs w:val="2"/>
                <w:color w:val="auto"/>
              </w:rPr>
            </w:pPr>
          </w:p>
        </w:tc>
        <w:tc>
          <w:tcPr>
            <w:tcW w:w="1080" w:type="dxa"/>
            <w:vAlign w:val="bottom"/>
            <w:gridSpan w:val="2"/>
            <w:vMerge w:val="restart"/>
          </w:tcPr>
          <w:p>
            <w:pPr>
              <w:jc w:val="right"/>
              <w:ind w:right="120"/>
              <w:spacing w:after="0"/>
              <w:rPr>
                <w:sz w:val="20"/>
                <w:szCs w:val="20"/>
                <w:color w:val="auto"/>
              </w:rPr>
            </w:pPr>
            <w:r>
              <w:rPr>
                <w:rFonts w:ascii="Arial" w:cs="Arial" w:eastAsia="Arial" w:hAnsi="Arial"/>
                <w:sz w:val="18"/>
                <w:szCs w:val="18"/>
                <w:color w:val="auto"/>
              </w:rPr>
              <w:t>(18)%</w:t>
            </w:r>
          </w:p>
        </w:tc>
        <w:tc>
          <w:tcPr>
            <w:tcW w:w="140" w:type="dxa"/>
            <w:vAlign w:val="bottom"/>
          </w:tcPr>
          <w:p>
            <w:pPr>
              <w:spacing w:after="0"/>
              <w:rPr>
                <w:sz w:val="2"/>
                <w:szCs w:val="2"/>
                <w:color w:val="auto"/>
              </w:rPr>
            </w:pPr>
          </w:p>
        </w:tc>
        <w:tc>
          <w:tcPr>
            <w:tcW w:w="72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3160" w:type="dxa"/>
            <w:vAlign w:val="bottom"/>
            <w:vMerge w:val="continue"/>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4"/>
              </w:rPr>
              <w:t>15,307</w:t>
            </w:r>
          </w:p>
        </w:tc>
        <w:tc>
          <w:tcPr>
            <w:tcW w:w="16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1"/>
              </w:rPr>
              <w:t>(3,303)</w:t>
            </w:r>
          </w:p>
        </w:tc>
        <w:tc>
          <w:tcPr>
            <w:tcW w:w="160" w:type="dxa"/>
            <w:vAlign w:val="bottom"/>
          </w:tcPr>
          <w:p>
            <w:pPr>
              <w:spacing w:after="0"/>
              <w:rPr>
                <w:sz w:val="18"/>
                <w:szCs w:val="18"/>
                <w:color w:val="auto"/>
              </w:rPr>
            </w:pPr>
          </w:p>
        </w:tc>
        <w:tc>
          <w:tcPr>
            <w:tcW w:w="1080" w:type="dxa"/>
            <w:vAlign w:val="bottom"/>
            <w:gridSpan w:val="2"/>
            <w:vMerge w:val="continue"/>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8"/>
              </w:rPr>
              <w:t>18,610</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60" w:type="dxa"/>
            <w:vAlign w:val="bottom"/>
            <w:shd w:val="clear" w:color="auto" w:fill="CCEEFF"/>
          </w:tcPr>
          <w:p>
            <w:pPr>
              <w:spacing w:after="0"/>
              <w:rPr>
                <w:sz w:val="20"/>
                <w:szCs w:val="20"/>
                <w:color w:val="auto"/>
              </w:rPr>
            </w:pPr>
            <w:r>
              <w:rPr>
                <w:rFonts w:ascii="Arial" w:cs="Arial" w:eastAsia="Arial" w:hAnsi="Arial"/>
                <w:sz w:val="18"/>
                <w:szCs w:val="18"/>
                <w:color w:val="auto"/>
              </w:rPr>
              <w:t>Real Estate</w:t>
            </w: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3,213</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32"/>
              <w:spacing w:after="0"/>
              <w:rPr>
                <w:sz w:val="20"/>
                <w:szCs w:val="20"/>
                <w:color w:val="auto"/>
              </w:rPr>
            </w:pPr>
            <w:r>
              <w:rPr>
                <w:rFonts w:ascii="Arial" w:cs="Arial" w:eastAsia="Arial" w:hAnsi="Arial"/>
                <w:sz w:val="18"/>
                <w:szCs w:val="18"/>
                <w:color w:val="auto"/>
              </w:rPr>
              <w:t>(4,784)</w:t>
            </w: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(60)%</w:t>
            </w: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7,997</w:t>
            </w:r>
          </w:p>
        </w:tc>
        <w:tc>
          <w:tcPr>
            <w:tcW w:w="0" w:type="dxa"/>
            <w:vAlign w:val="bottom"/>
          </w:tcPr>
          <w:p>
            <w:pPr>
              <w:spacing w:after="0"/>
              <w:rPr>
                <w:sz w:val="1"/>
                <w:szCs w:val="1"/>
                <w:color w:val="auto"/>
              </w:rPr>
            </w:pPr>
          </w:p>
        </w:tc>
      </w:tr>
      <w:tr>
        <w:trPr>
          <w:trHeight w:val="222"/>
        </w:trPr>
        <w:tc>
          <w:tcPr>
            <w:tcW w:w="3160" w:type="dxa"/>
            <w:vAlign w:val="bottom"/>
          </w:tcPr>
          <w:p>
            <w:pPr>
              <w:spacing w:after="0"/>
              <w:rPr>
                <w:sz w:val="20"/>
                <w:szCs w:val="20"/>
                <w:color w:val="auto"/>
              </w:rPr>
            </w:pPr>
            <w:r>
              <w:rPr>
                <w:rFonts w:ascii="Arial" w:cs="Arial" w:eastAsia="Arial" w:hAnsi="Arial"/>
                <w:sz w:val="18"/>
                <w:szCs w:val="18"/>
                <w:color w:val="auto"/>
              </w:rPr>
              <w:t>Inter-segment revenue</w:t>
            </w:r>
          </w:p>
        </w:tc>
        <w:tc>
          <w:tcPr>
            <w:tcW w:w="160" w:type="dxa"/>
            <w:vAlign w:val="bottom"/>
          </w:tcPr>
          <w:p>
            <w:pPr>
              <w:spacing w:after="0"/>
              <w:rPr>
                <w:sz w:val="19"/>
                <w:szCs w:val="19"/>
                <w:color w:val="auto"/>
              </w:rPr>
            </w:pPr>
          </w:p>
        </w:tc>
        <w:tc>
          <w:tcPr>
            <w:tcW w:w="700" w:type="dxa"/>
            <w:vAlign w:val="bottom"/>
            <w:gridSpan w:val="2"/>
          </w:tcPr>
          <w:p>
            <w:pPr>
              <w:jc w:val="right"/>
              <w:ind w:right="32"/>
              <w:spacing w:after="0"/>
              <w:rPr>
                <w:sz w:val="20"/>
                <w:szCs w:val="20"/>
                <w:color w:val="auto"/>
              </w:rPr>
            </w:pPr>
            <w:r>
              <w:rPr>
                <w:rFonts w:ascii="Arial" w:cs="Arial" w:eastAsia="Arial" w:hAnsi="Arial"/>
                <w:sz w:val="18"/>
                <w:szCs w:val="18"/>
                <w:color w:val="auto"/>
              </w:rPr>
              <w:t>(103)</w:t>
            </w:r>
          </w:p>
        </w:tc>
        <w:tc>
          <w:tcPr>
            <w:tcW w:w="180" w:type="dxa"/>
            <w:vAlign w:val="bottom"/>
          </w:tcPr>
          <w:p>
            <w:pPr>
              <w:spacing w:after="0"/>
              <w:rPr>
                <w:sz w:val="19"/>
                <w:szCs w:val="19"/>
                <w:color w:val="auto"/>
              </w:rPr>
            </w:pPr>
          </w:p>
        </w:tc>
        <w:tc>
          <w:tcPr>
            <w:tcW w:w="700" w:type="dxa"/>
            <w:vAlign w:val="bottom"/>
            <w:gridSpan w:val="2"/>
          </w:tcPr>
          <w:p>
            <w:pPr>
              <w:jc w:val="right"/>
              <w:ind w:right="32"/>
              <w:spacing w:after="0"/>
              <w:rPr>
                <w:sz w:val="20"/>
                <w:szCs w:val="20"/>
                <w:color w:val="auto"/>
              </w:rPr>
            </w:pPr>
            <w:r>
              <w:rPr>
                <w:rFonts w:ascii="Arial" w:cs="Arial" w:eastAsia="Arial" w:hAnsi="Arial"/>
                <w:sz w:val="18"/>
                <w:szCs w:val="18"/>
                <w:color w:val="auto"/>
              </w:rPr>
              <w:t>(103)</w:t>
            </w: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(100)%</w:t>
            </w:r>
          </w:p>
        </w:tc>
        <w:tc>
          <w:tcPr>
            <w:tcW w:w="140" w:type="dxa"/>
            <w:vAlign w:val="bottom"/>
          </w:tcPr>
          <w:p>
            <w:pPr>
              <w:spacing w:after="0"/>
              <w:rPr>
                <w:sz w:val="19"/>
                <w:szCs w:val="19"/>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
        </w:trPr>
        <w:tc>
          <w:tcPr>
            <w:tcW w:w="3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3160" w:type="dxa"/>
            <w:vAlign w:val="bottom"/>
            <w:shd w:val="clear" w:color="auto" w:fill="CCEEFF"/>
          </w:tcPr>
          <w:p>
            <w:pPr>
              <w:spacing w:after="0"/>
              <w:rPr>
                <w:sz w:val="20"/>
                <w:szCs w:val="20"/>
                <w:color w:val="auto"/>
              </w:rPr>
            </w:pPr>
            <w:r>
              <w:rPr>
                <w:rFonts w:ascii="Arial" w:cs="Arial" w:eastAsia="Arial" w:hAnsi="Arial"/>
                <w:sz w:val="18"/>
                <w:szCs w:val="18"/>
                <w:color w:val="auto"/>
              </w:rPr>
              <w:t>Total revenue</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53,177</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2,461</w:t>
            </w: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8"/>
              </w:rPr>
              <w:t>50,716</w:t>
            </w:r>
          </w:p>
        </w:tc>
        <w:tc>
          <w:tcPr>
            <w:tcW w:w="0" w:type="dxa"/>
            <w:vAlign w:val="bottom"/>
          </w:tcPr>
          <w:p>
            <w:pPr>
              <w:spacing w:after="0"/>
              <w:rPr>
                <w:sz w:val="1"/>
                <w:szCs w:val="1"/>
                <w:color w:val="auto"/>
              </w:rPr>
            </w:pPr>
          </w:p>
        </w:tc>
      </w:tr>
      <w:tr>
        <w:trPr>
          <w:trHeight w:val="27"/>
        </w:trPr>
        <w:tc>
          <w:tcPr>
            <w:tcW w:w="31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3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ind w:firstLine="351"/>
        <w:spacing w:after="0" w:line="294" w:lineRule="auto"/>
        <w:rPr>
          <w:sz w:val="20"/>
          <w:szCs w:val="20"/>
          <w:color w:val="auto"/>
        </w:rPr>
      </w:pPr>
      <w:r>
        <w:rPr>
          <w:rFonts w:ascii="Arial" w:cs="Arial" w:eastAsia="Arial" w:hAnsi="Arial"/>
          <w:sz w:val="16"/>
          <w:szCs w:val="16"/>
          <w:color w:val="auto"/>
        </w:rPr>
        <w:t>LendingTree Loans revenue in 2010 increased from the same period in 2009 due to a large increase in refinancing activity brought on by low consumer borrowing rates. Third quarter 2010 revenue increased 30% quarter-over-quarter on 17% higher closed units. The quarter again saw unprecedented lows in mortgage interest rates which in turn spurred another surge in refinance loan activity. Third quarter revenue increased 44% from the same period last year on 18% more closed loans and a 12% increase in the revenue generated per loan. Looking at the year-over-year revenue increase, the third quarter 2009 reflected a significant slowdown that followed the previously unprecedented refinance boom experienced earlier that year.</w:t>
      </w:r>
    </w:p>
    <w:p>
      <w:pPr>
        <w:spacing w:after="0" w:line="170"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dollar value of loans closed directly by LendingTree Loans is as follows:</w:t>
      </w:r>
    </w:p>
    <w:p>
      <w:pPr>
        <w:spacing w:after="0" w:line="275" w:lineRule="exact"/>
        <w:rPr>
          <w:sz w:val="20"/>
          <w:szCs w:val="20"/>
          <w:color w:val="auto"/>
        </w:rPr>
      </w:pPr>
    </w:p>
    <w:tbl>
      <w:tblPr>
        <w:tblLayout w:type="fixed"/>
        <w:tblInd w:w="2300" w:type="dxa"/>
        <w:tblCellMar>
          <w:top w:w="0" w:type="dxa"/>
          <w:left w:w="0" w:type="dxa"/>
          <w:bottom w:w="0" w:type="dxa"/>
          <w:right w:w="0" w:type="dxa"/>
        </w:tblCellMar>
      </w:tblPr>
      <w:tr>
        <w:trPr>
          <w:trHeight w:val="161"/>
        </w:trPr>
        <w:tc>
          <w:tcPr>
            <w:tcW w:w="34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2220" w:type="dxa"/>
            <w:vAlign w:val="bottom"/>
            <w:tcBorders>
              <w:bottom w:val="single" w:sz="8" w:color="auto"/>
            </w:tcBorders>
            <w:gridSpan w:val="6"/>
          </w:tcPr>
          <w:p>
            <w:pPr>
              <w:jc w:val="right"/>
              <w:ind w:right="100"/>
              <w:spacing w:after="0"/>
              <w:rPr>
                <w:sz w:val="20"/>
                <w:szCs w:val="20"/>
                <w:color w:val="auto"/>
              </w:rPr>
            </w:pPr>
            <w:r>
              <w:rPr>
                <w:rFonts w:ascii="Arial" w:cs="Arial" w:eastAsia="Arial" w:hAnsi="Arial"/>
                <w:sz w:val="14"/>
                <w:szCs w:val="14"/>
                <w:b w:val="1"/>
                <w:bCs w:val="1"/>
                <w:color w:val="auto"/>
                <w:w w:val="88"/>
              </w:rPr>
              <w:t>Three Months Ended September 30,</w:t>
            </w: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r>
      <w:tr>
        <w:trPr>
          <w:trHeight w:val="142"/>
        </w:trPr>
        <w:tc>
          <w:tcPr>
            <w:tcW w:w="340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380" w:type="dxa"/>
            <w:vAlign w:val="bottom"/>
            <w:tcBorders>
              <w:bottom w:val="single" w:sz="8" w:color="auto"/>
            </w:tcBorders>
          </w:tcPr>
          <w:p>
            <w:pPr>
              <w:jc w:val="right"/>
              <w:ind w:right="17"/>
              <w:spacing w:after="0" w:line="142" w:lineRule="exact"/>
              <w:rPr>
                <w:sz w:val="20"/>
                <w:szCs w:val="20"/>
                <w:color w:val="auto"/>
              </w:rPr>
            </w:pPr>
            <w:r>
              <w:rPr>
                <w:rFonts w:ascii="Arial" w:cs="Arial" w:eastAsia="Arial" w:hAnsi="Arial"/>
                <w:sz w:val="14"/>
                <w:szCs w:val="14"/>
                <w:b w:val="1"/>
                <w:bCs w:val="1"/>
                <w:color w:val="auto"/>
                <w:w w:val="83"/>
              </w:rPr>
              <w:t>2010</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w:t>
            </w:r>
          </w:p>
        </w:tc>
        <w:tc>
          <w:tcPr>
            <w:tcW w:w="540" w:type="dxa"/>
            <w:vAlign w:val="bottom"/>
            <w:tcBorders>
              <w:bottom w:val="single" w:sz="8" w:color="auto"/>
            </w:tcBorders>
          </w:tcPr>
          <w:p>
            <w:pPr>
              <w:ind w:left="20"/>
              <w:spacing w:after="0" w:line="142" w:lineRule="exact"/>
              <w:rPr>
                <w:sz w:val="20"/>
                <w:szCs w:val="20"/>
                <w:color w:val="auto"/>
              </w:rPr>
            </w:pPr>
            <w:r>
              <w:rPr>
                <w:rFonts w:ascii="Arial" w:cs="Arial" w:eastAsia="Arial" w:hAnsi="Arial"/>
                <w:sz w:val="14"/>
                <w:szCs w:val="14"/>
                <w:b w:val="1"/>
                <w:bCs w:val="1"/>
                <w:color w:val="auto"/>
                <w:w w:val="97"/>
              </w:rPr>
              <w:t>Change</w:t>
            </w:r>
          </w:p>
        </w:tc>
        <w:tc>
          <w:tcPr>
            <w:tcW w:w="160" w:type="dxa"/>
            <w:vAlign w:val="bottom"/>
          </w:tcPr>
          <w:p>
            <w:pPr>
              <w:spacing w:after="0"/>
              <w:rPr>
                <w:sz w:val="12"/>
                <w:szCs w:val="12"/>
                <w:color w:val="auto"/>
              </w:rPr>
            </w:pPr>
          </w:p>
        </w:tc>
        <w:tc>
          <w:tcPr>
            <w:tcW w:w="7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 Change</w:t>
            </w:r>
          </w:p>
        </w:tc>
        <w:tc>
          <w:tcPr>
            <w:tcW w:w="48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jc w:val="right"/>
              <w:ind w:right="37"/>
              <w:spacing w:after="0" w:line="142" w:lineRule="exact"/>
              <w:rPr>
                <w:sz w:val="20"/>
                <w:szCs w:val="20"/>
                <w:color w:val="auto"/>
              </w:rPr>
            </w:pPr>
            <w:r>
              <w:rPr>
                <w:rFonts w:ascii="Arial" w:cs="Arial" w:eastAsia="Arial" w:hAnsi="Arial"/>
                <w:sz w:val="14"/>
                <w:szCs w:val="14"/>
                <w:b w:val="1"/>
                <w:bCs w:val="1"/>
                <w:color w:val="auto"/>
                <w:w w:val="83"/>
              </w:rPr>
              <w:t>2009</w:t>
            </w:r>
          </w:p>
        </w:tc>
        <w:tc>
          <w:tcPr>
            <w:tcW w:w="160" w:type="dxa"/>
            <w:vAlign w:val="bottom"/>
          </w:tcPr>
          <w:p>
            <w:pPr>
              <w:spacing w:after="0"/>
              <w:rPr>
                <w:sz w:val="12"/>
                <w:szCs w:val="12"/>
                <w:color w:val="auto"/>
              </w:rPr>
            </w:pPr>
          </w:p>
        </w:tc>
      </w:tr>
      <w:tr>
        <w:trPr>
          <w:trHeight w:val="142"/>
        </w:trPr>
        <w:tc>
          <w:tcPr>
            <w:tcW w:w="3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940" w:type="dxa"/>
            <w:vAlign w:val="bottom"/>
            <w:gridSpan w:val="4"/>
          </w:tcPr>
          <w:p>
            <w:pPr>
              <w:jc w:val="right"/>
              <w:ind w:right="560"/>
              <w:spacing w:after="0" w:line="142" w:lineRule="exact"/>
              <w:rPr>
                <w:sz w:val="20"/>
                <w:szCs w:val="20"/>
                <w:color w:val="auto"/>
              </w:rPr>
            </w:pPr>
            <w:r>
              <w:rPr>
                <w:rFonts w:ascii="Arial" w:cs="Arial" w:eastAsia="Arial" w:hAnsi="Arial"/>
                <w:sz w:val="14"/>
                <w:szCs w:val="14"/>
                <w:b w:val="1"/>
                <w:bCs w:val="1"/>
                <w:color w:val="auto"/>
              </w:rPr>
              <w:t>(Dollars in millions)</w:t>
            </w: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216"/>
        </w:trPr>
        <w:tc>
          <w:tcPr>
            <w:tcW w:w="3400" w:type="dxa"/>
            <w:vAlign w:val="bottom"/>
            <w:shd w:val="clear" w:color="auto" w:fill="CCEEFF"/>
          </w:tcPr>
          <w:p>
            <w:pPr>
              <w:spacing w:after="0"/>
              <w:rPr>
                <w:sz w:val="20"/>
                <w:szCs w:val="20"/>
                <w:color w:val="auto"/>
              </w:rPr>
            </w:pPr>
            <w:r>
              <w:rPr>
                <w:rFonts w:ascii="Arial" w:cs="Arial" w:eastAsia="Arial" w:hAnsi="Arial"/>
                <w:sz w:val="18"/>
                <w:szCs w:val="18"/>
                <w:color w:val="auto"/>
              </w:rPr>
              <w:t>Refinance mortgages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675</w:t>
            </w:r>
          </w:p>
        </w:tc>
        <w:tc>
          <w:tcPr>
            <w:tcW w:w="280" w:type="dxa"/>
            <w:vAlign w:val="bottom"/>
            <w:gridSpan w:val="2"/>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137</w:t>
            </w:r>
          </w:p>
        </w:tc>
        <w:tc>
          <w:tcPr>
            <w:tcW w:w="12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25%</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538</w:t>
            </w:r>
          </w:p>
        </w:tc>
      </w:tr>
      <w:tr>
        <w:trPr>
          <w:trHeight w:val="222"/>
        </w:trPr>
        <w:tc>
          <w:tcPr>
            <w:tcW w:w="3400" w:type="dxa"/>
            <w:vAlign w:val="bottom"/>
          </w:tcPr>
          <w:p>
            <w:pPr>
              <w:spacing w:after="0"/>
              <w:rPr>
                <w:sz w:val="20"/>
                <w:szCs w:val="20"/>
                <w:color w:val="auto"/>
              </w:rPr>
            </w:pPr>
            <w:r>
              <w:rPr>
                <w:rFonts w:ascii="Arial" w:cs="Arial" w:eastAsia="Arial" w:hAnsi="Arial"/>
                <w:sz w:val="18"/>
                <w:szCs w:val="18"/>
                <w:color w:val="auto"/>
              </w:rPr>
              <w:t>Purchase mortgages</w:t>
            </w:r>
          </w:p>
        </w:tc>
        <w:tc>
          <w:tcPr>
            <w:tcW w:w="120" w:type="dxa"/>
            <w:vAlign w:val="bottom"/>
          </w:tcPr>
          <w:p>
            <w:pPr>
              <w:spacing w:after="0"/>
              <w:rPr>
                <w:sz w:val="19"/>
                <w:szCs w:val="19"/>
                <w:color w:val="auto"/>
              </w:rPr>
            </w:pPr>
          </w:p>
        </w:tc>
        <w:tc>
          <w:tcPr>
            <w:tcW w:w="440" w:type="dxa"/>
            <w:vAlign w:val="bottom"/>
            <w:gridSpan w:val="2"/>
          </w:tcPr>
          <w:p>
            <w:pPr>
              <w:jc w:val="right"/>
              <w:ind w:right="60"/>
              <w:spacing w:after="0"/>
              <w:rPr>
                <w:sz w:val="20"/>
                <w:szCs w:val="20"/>
                <w:color w:val="auto"/>
              </w:rPr>
            </w:pPr>
            <w:r>
              <w:rPr>
                <w:rFonts w:ascii="Arial" w:cs="Arial" w:eastAsia="Arial" w:hAnsi="Arial"/>
                <w:sz w:val="18"/>
                <w:szCs w:val="18"/>
                <w:color w:val="auto"/>
              </w:rPr>
              <w:t>47</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(35)</w:t>
            </w:r>
          </w:p>
        </w:tc>
        <w:tc>
          <w:tcPr>
            <w:tcW w:w="1240" w:type="dxa"/>
            <w:vAlign w:val="bottom"/>
            <w:gridSpan w:val="2"/>
          </w:tcPr>
          <w:p>
            <w:pPr>
              <w:jc w:val="right"/>
              <w:ind w:right="280"/>
              <w:spacing w:after="0"/>
              <w:rPr>
                <w:sz w:val="20"/>
                <w:szCs w:val="20"/>
                <w:color w:val="auto"/>
              </w:rPr>
            </w:pPr>
            <w:r>
              <w:rPr>
                <w:rFonts w:ascii="Arial" w:cs="Arial" w:eastAsia="Arial" w:hAnsi="Arial"/>
                <w:sz w:val="18"/>
                <w:szCs w:val="18"/>
                <w:color w:val="auto"/>
              </w:rPr>
              <w:t>(42)%</w:t>
            </w:r>
          </w:p>
        </w:tc>
        <w:tc>
          <w:tcPr>
            <w:tcW w:w="100" w:type="dxa"/>
            <w:vAlign w:val="bottom"/>
          </w:tcPr>
          <w:p>
            <w:pPr>
              <w:spacing w:after="0"/>
              <w:rPr>
                <w:sz w:val="19"/>
                <w:szCs w:val="19"/>
                <w:color w:val="auto"/>
              </w:rPr>
            </w:pPr>
          </w:p>
        </w:tc>
        <w:tc>
          <w:tcPr>
            <w:tcW w:w="560" w:type="dxa"/>
            <w:vAlign w:val="bottom"/>
            <w:gridSpan w:val="2"/>
          </w:tcPr>
          <w:p>
            <w:pPr>
              <w:jc w:val="right"/>
              <w:ind w:right="160"/>
              <w:spacing w:after="0"/>
              <w:rPr>
                <w:sz w:val="20"/>
                <w:szCs w:val="20"/>
                <w:color w:val="auto"/>
              </w:rPr>
            </w:pPr>
            <w:r>
              <w:rPr>
                <w:rFonts w:ascii="Arial" w:cs="Arial" w:eastAsia="Arial" w:hAnsi="Arial"/>
                <w:sz w:val="18"/>
                <w:szCs w:val="18"/>
                <w:color w:val="auto"/>
              </w:rPr>
              <w:t>82</w:t>
            </w:r>
          </w:p>
        </w:tc>
      </w:tr>
      <w:tr>
        <w:trPr>
          <w:trHeight w:val="21"/>
        </w:trPr>
        <w:tc>
          <w:tcPr>
            <w:tcW w:w="34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0"/>
        </w:trPr>
        <w:tc>
          <w:tcPr>
            <w:tcW w:w="340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722</w:t>
            </w:r>
          </w:p>
        </w:tc>
        <w:tc>
          <w:tcPr>
            <w:tcW w:w="280" w:type="dxa"/>
            <w:vAlign w:val="bottom"/>
            <w:gridSpan w:val="2"/>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102</w:t>
            </w:r>
          </w:p>
        </w:tc>
        <w:tc>
          <w:tcPr>
            <w:tcW w:w="12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17%</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620</w:t>
            </w:r>
          </w:p>
        </w:tc>
      </w:tr>
      <w:tr>
        <w:trPr>
          <w:trHeight w:val="27"/>
        </w:trPr>
        <w:tc>
          <w:tcPr>
            <w:tcW w:w="34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r>
      <w:tr>
        <w:trPr>
          <w:trHeight w:val="20"/>
        </w:trPr>
        <w:tc>
          <w:tcPr>
            <w:tcW w:w="34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8" w:lineRule="exact"/>
        <w:rPr>
          <w:sz w:val="20"/>
          <w:szCs w:val="20"/>
          <w:color w:val="auto"/>
        </w:rPr>
      </w:pPr>
    </w:p>
    <w:p>
      <w:pPr>
        <w:ind w:right="240" w:firstLine="351"/>
        <w:spacing w:after="0" w:line="332" w:lineRule="auto"/>
        <w:rPr>
          <w:sz w:val="20"/>
          <w:szCs w:val="20"/>
          <w:color w:val="auto"/>
        </w:rPr>
      </w:pPr>
      <w:r>
        <w:rPr>
          <w:rFonts w:ascii="Arial" w:cs="Arial" w:eastAsia="Arial" w:hAnsi="Arial"/>
          <w:sz w:val="16"/>
          <w:szCs w:val="16"/>
          <w:color w:val="auto"/>
        </w:rPr>
        <w:t>LendingTree Loans originates mortgage loans on property located throughout the United States. Revenue from loans originated for property in California totaled approximately 12% and 8% of Tree.com's consolidated revenue for the three months ended September 30, 2010 and 2009, respectively.</w:t>
      </w:r>
    </w:p>
    <w:p>
      <w:pPr>
        <w:spacing w:after="0" w:line="139" w:lineRule="exact"/>
        <w:rPr>
          <w:sz w:val="20"/>
          <w:szCs w:val="20"/>
          <w:color w:val="auto"/>
        </w:rPr>
      </w:pPr>
    </w:p>
    <w:p>
      <w:pPr>
        <w:jc w:val="both"/>
        <w:ind w:right="80" w:firstLine="351"/>
        <w:spacing w:after="0" w:line="259" w:lineRule="auto"/>
        <w:rPr>
          <w:sz w:val="20"/>
          <w:szCs w:val="20"/>
          <w:color w:val="auto"/>
        </w:rPr>
      </w:pPr>
      <w:r>
        <w:rPr>
          <w:rFonts w:ascii="Arial" w:cs="Arial" w:eastAsia="Arial" w:hAnsi="Arial"/>
          <w:sz w:val="18"/>
          <w:szCs w:val="18"/>
          <w:color w:val="auto"/>
        </w:rPr>
        <w:t>Revenue from Exchanges in 2010 decreased from the same period in 2009 due primarily to a reduction in the amount of closings. Overall matched requests in the third quarter of 2010 declined 7% from the same period in 2009, which reflects a decline of 28% in home loan matches and an increase of 19% in matches for the new consumer vertical areas of higher education, home services and</w:t>
      </w:r>
    </w:p>
    <w:p>
      <w:pPr>
        <w:spacing w:after="0" w:line="19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39" w:name="page40"/>
    <w:bookmarkEnd w:id="3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right="40"/>
        <w:spacing w:after="0" w:line="294" w:lineRule="auto"/>
        <w:rPr>
          <w:sz w:val="20"/>
          <w:szCs w:val="20"/>
          <w:color w:val="auto"/>
        </w:rPr>
      </w:pPr>
      <w:r>
        <w:rPr>
          <w:rFonts w:ascii="Arial" w:cs="Arial" w:eastAsia="Arial" w:hAnsi="Arial"/>
          <w:sz w:val="16"/>
          <w:szCs w:val="16"/>
          <w:color w:val="auto"/>
        </w:rPr>
        <w:t>insurance. Home loan matches were down because of the expansion of volume taken by LendingTree Loans and many lenders experiencing their own high levels of organic lead volume during this low interest rate environment. Matches in new consumer verticals have grown as a result of both business acquisitions completed in 2009 and increased marketing spending. The overall impact on match fees was an increase of 3%, reflecting a shift in pricing on home loan related matches to increase the average match fee (and decrease the average closed loan fee). Also impacting the revenue from closed loan fees was a 24% decline in closed units in the period as a result of the decline in matched loan requests.</w:t>
      </w:r>
    </w:p>
    <w:p>
      <w:pPr>
        <w:spacing w:after="0" w:line="170"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dollar value of loans closed by Exchange network lenders is as follows:</w:t>
      </w:r>
    </w:p>
    <w:p>
      <w:pPr>
        <w:spacing w:after="0" w:line="275" w:lineRule="exact"/>
        <w:rPr>
          <w:sz w:val="20"/>
          <w:szCs w:val="20"/>
          <w:color w:val="auto"/>
        </w:rPr>
      </w:pPr>
    </w:p>
    <w:tbl>
      <w:tblPr>
        <w:tblLayout w:type="fixed"/>
        <w:tblInd w:w="2300" w:type="dxa"/>
        <w:tblCellMar>
          <w:top w:w="0" w:type="dxa"/>
          <w:left w:w="0" w:type="dxa"/>
          <w:bottom w:w="0" w:type="dxa"/>
          <w:right w:w="0" w:type="dxa"/>
        </w:tblCellMar>
      </w:tblPr>
      <w:tr>
        <w:trPr>
          <w:trHeight w:val="161"/>
        </w:trPr>
        <w:tc>
          <w:tcPr>
            <w:tcW w:w="32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2240" w:type="dxa"/>
            <w:vAlign w:val="bottom"/>
            <w:tcBorders>
              <w:bottom w:val="single" w:sz="8" w:color="auto"/>
            </w:tcBorders>
            <w:gridSpan w:val="6"/>
          </w:tcPr>
          <w:p>
            <w:pPr>
              <w:jc w:val="right"/>
              <w:ind w:right="80"/>
              <w:spacing w:after="0"/>
              <w:rPr>
                <w:sz w:val="20"/>
                <w:szCs w:val="20"/>
                <w:color w:val="auto"/>
              </w:rPr>
            </w:pPr>
            <w:r>
              <w:rPr>
                <w:rFonts w:ascii="Arial" w:cs="Arial" w:eastAsia="Arial" w:hAnsi="Arial"/>
                <w:sz w:val="14"/>
                <w:szCs w:val="14"/>
                <w:b w:val="1"/>
                <w:bCs w:val="1"/>
                <w:color w:val="auto"/>
                <w:w w:val="89"/>
              </w:rPr>
              <w:t>Three Months Ended September 30,</w:t>
            </w:r>
          </w:p>
        </w:tc>
        <w:tc>
          <w:tcPr>
            <w:tcW w:w="12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20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96"/>
              <w:spacing w:after="0" w:line="142" w:lineRule="exact"/>
              <w:rPr>
                <w:sz w:val="20"/>
                <w:szCs w:val="20"/>
                <w:color w:val="auto"/>
              </w:rPr>
            </w:pPr>
            <w:r>
              <w:rPr>
                <w:rFonts w:ascii="Arial" w:cs="Arial" w:eastAsia="Arial" w:hAnsi="Arial"/>
                <w:sz w:val="14"/>
                <w:szCs w:val="14"/>
                <w:b w:val="1"/>
                <w:bCs w:val="1"/>
                <w:color w:val="auto"/>
                <w:w w:val="96"/>
              </w:rPr>
              <w:t>2010</w:t>
            </w:r>
          </w:p>
        </w:tc>
        <w:tc>
          <w:tcPr>
            <w:tcW w:w="160" w:type="dxa"/>
            <w:vAlign w:val="bottom"/>
          </w:tcPr>
          <w:p>
            <w:pPr>
              <w:spacing w:after="0"/>
              <w:rPr>
                <w:sz w:val="12"/>
                <w:szCs w:val="12"/>
                <w:color w:val="auto"/>
              </w:rPr>
            </w:pPr>
          </w:p>
        </w:tc>
        <w:tc>
          <w:tcPr>
            <w:tcW w:w="1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w:t>
            </w:r>
          </w:p>
        </w:tc>
        <w:tc>
          <w:tcPr>
            <w:tcW w:w="560" w:type="dxa"/>
            <w:vAlign w:val="bottom"/>
            <w:tcBorders>
              <w:bottom w:val="single" w:sz="8" w:color="auto"/>
            </w:tcBorders>
          </w:tcPr>
          <w:p>
            <w:pPr>
              <w:jc w:val="right"/>
              <w:ind w:right="19"/>
              <w:spacing w:after="0" w:line="142" w:lineRule="exact"/>
              <w:rPr>
                <w:sz w:val="20"/>
                <w:szCs w:val="20"/>
                <w:color w:val="auto"/>
              </w:rPr>
            </w:pPr>
            <w:r>
              <w:rPr>
                <w:rFonts w:ascii="Arial" w:cs="Arial" w:eastAsia="Arial" w:hAnsi="Arial"/>
                <w:sz w:val="14"/>
                <w:szCs w:val="14"/>
                <w:b w:val="1"/>
                <w:bCs w:val="1"/>
                <w:color w:val="auto"/>
                <w:w w:val="85"/>
              </w:rPr>
              <w:t>Change</w:t>
            </w:r>
          </w:p>
        </w:tc>
        <w:tc>
          <w:tcPr>
            <w:tcW w:w="160" w:type="dxa"/>
            <w:vAlign w:val="bottom"/>
          </w:tcPr>
          <w:p>
            <w:pPr>
              <w:spacing w:after="0"/>
              <w:rPr>
                <w:sz w:val="12"/>
                <w:szCs w:val="12"/>
                <w:color w:val="auto"/>
              </w:rPr>
            </w:pPr>
          </w:p>
        </w:tc>
        <w:tc>
          <w:tcPr>
            <w:tcW w:w="7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7"/>
              </w:rPr>
              <w:t>% Change</w:t>
            </w:r>
          </w:p>
        </w:tc>
        <w:tc>
          <w:tcPr>
            <w:tcW w:w="46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96"/>
              <w:spacing w:after="0" w:line="142" w:lineRule="exact"/>
              <w:rPr>
                <w:sz w:val="20"/>
                <w:szCs w:val="20"/>
                <w:color w:val="auto"/>
              </w:rPr>
            </w:pPr>
            <w:r>
              <w:rPr>
                <w:rFonts w:ascii="Arial" w:cs="Arial" w:eastAsia="Arial" w:hAnsi="Arial"/>
                <w:sz w:val="14"/>
                <w:szCs w:val="14"/>
                <w:b w:val="1"/>
                <w:bCs w:val="1"/>
                <w:color w:val="auto"/>
                <w:w w:val="96"/>
              </w:rPr>
              <w:t>2009</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920" w:type="dxa"/>
            <w:vAlign w:val="bottom"/>
            <w:gridSpan w:val="4"/>
          </w:tcPr>
          <w:p>
            <w:pPr>
              <w:jc w:val="right"/>
              <w:ind w:right="560"/>
              <w:spacing w:after="0" w:line="142" w:lineRule="exact"/>
              <w:rPr>
                <w:sz w:val="20"/>
                <w:szCs w:val="20"/>
                <w:color w:val="auto"/>
              </w:rPr>
            </w:pPr>
            <w:r>
              <w:rPr>
                <w:rFonts w:ascii="Arial" w:cs="Arial" w:eastAsia="Arial" w:hAnsi="Arial"/>
                <w:sz w:val="14"/>
                <w:szCs w:val="14"/>
                <w:b w:val="1"/>
                <w:bCs w:val="1"/>
                <w:color w:val="auto"/>
              </w:rPr>
              <w:t>(Dollars in millions)</w:t>
            </w: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3200" w:type="dxa"/>
            <w:vAlign w:val="bottom"/>
            <w:shd w:val="clear" w:color="auto" w:fill="CCEEFF"/>
          </w:tcPr>
          <w:p>
            <w:pPr>
              <w:spacing w:after="0"/>
              <w:rPr>
                <w:sz w:val="20"/>
                <w:szCs w:val="20"/>
                <w:color w:val="auto"/>
              </w:rPr>
            </w:pPr>
            <w:r>
              <w:rPr>
                <w:rFonts w:ascii="Arial" w:cs="Arial" w:eastAsia="Arial" w:hAnsi="Arial"/>
                <w:sz w:val="18"/>
                <w:szCs w:val="18"/>
                <w:color w:val="auto"/>
              </w:rPr>
              <w:t>Refinance mortgages</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979</w:t>
            </w:r>
          </w:p>
        </w:tc>
        <w:tc>
          <w:tcPr>
            <w:tcW w:w="320" w:type="dxa"/>
            <w:vAlign w:val="bottom"/>
            <w:gridSpan w:val="2"/>
            <w:shd w:val="clear" w:color="auto" w:fill="CCEEFF"/>
          </w:tcPr>
          <w:p>
            <w:pPr>
              <w:jc w:val="right"/>
              <w:ind w:right="8"/>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w:t>
            </w:r>
          </w:p>
        </w:tc>
        <w:tc>
          <w:tcPr>
            <w:tcW w:w="12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991</w:t>
            </w:r>
          </w:p>
        </w:tc>
        <w:tc>
          <w:tcPr>
            <w:tcW w:w="0" w:type="dxa"/>
            <w:vAlign w:val="bottom"/>
          </w:tcPr>
          <w:p>
            <w:pPr>
              <w:spacing w:after="0"/>
              <w:rPr>
                <w:sz w:val="1"/>
                <w:szCs w:val="1"/>
                <w:color w:val="auto"/>
              </w:rPr>
            </w:pPr>
          </w:p>
        </w:tc>
      </w:tr>
      <w:tr>
        <w:trPr>
          <w:trHeight w:val="216"/>
        </w:trPr>
        <w:tc>
          <w:tcPr>
            <w:tcW w:w="3200" w:type="dxa"/>
            <w:vAlign w:val="bottom"/>
          </w:tcPr>
          <w:p>
            <w:pPr>
              <w:spacing w:after="0"/>
              <w:rPr>
                <w:sz w:val="20"/>
                <w:szCs w:val="20"/>
                <w:color w:val="auto"/>
              </w:rPr>
            </w:pPr>
            <w:r>
              <w:rPr>
                <w:rFonts w:ascii="Arial" w:cs="Arial" w:eastAsia="Arial" w:hAnsi="Arial"/>
                <w:sz w:val="18"/>
                <w:szCs w:val="18"/>
                <w:color w:val="auto"/>
              </w:rPr>
              <w:t>Purchase mortgages</w:t>
            </w:r>
          </w:p>
        </w:tc>
        <w:tc>
          <w:tcPr>
            <w:tcW w:w="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455</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rPr>
              <w:t>(250)</w:t>
            </w:r>
          </w:p>
        </w:tc>
        <w:tc>
          <w:tcPr>
            <w:tcW w:w="1200" w:type="dxa"/>
            <w:vAlign w:val="bottom"/>
            <w:gridSpan w:val="2"/>
          </w:tcPr>
          <w:p>
            <w:pPr>
              <w:jc w:val="right"/>
              <w:ind w:right="240"/>
              <w:spacing w:after="0"/>
              <w:rPr>
                <w:sz w:val="20"/>
                <w:szCs w:val="20"/>
                <w:color w:val="auto"/>
              </w:rPr>
            </w:pPr>
            <w:r>
              <w:rPr>
                <w:rFonts w:ascii="Arial" w:cs="Arial" w:eastAsia="Arial" w:hAnsi="Arial"/>
                <w:sz w:val="18"/>
                <w:szCs w:val="18"/>
                <w:color w:val="auto"/>
              </w:rPr>
              <w:t>(35)%</w:t>
            </w:r>
          </w:p>
        </w:tc>
        <w:tc>
          <w:tcPr>
            <w:tcW w:w="120" w:type="dxa"/>
            <w:vAlign w:val="bottom"/>
          </w:tcPr>
          <w:p>
            <w:pPr>
              <w:spacing w:after="0"/>
              <w:rPr>
                <w:sz w:val="18"/>
                <w:szCs w:val="18"/>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8"/>
                <w:szCs w:val="18"/>
                <w:color w:val="auto"/>
              </w:rPr>
              <w:t>705</w:t>
            </w:r>
          </w:p>
        </w:tc>
        <w:tc>
          <w:tcPr>
            <w:tcW w:w="0" w:type="dxa"/>
            <w:vAlign w:val="bottom"/>
          </w:tcPr>
          <w:p>
            <w:pPr>
              <w:spacing w:after="0"/>
              <w:rPr>
                <w:sz w:val="1"/>
                <w:szCs w:val="1"/>
                <w:color w:val="auto"/>
              </w:rPr>
            </w:pPr>
          </w:p>
        </w:tc>
      </w:tr>
      <w:tr>
        <w:trPr>
          <w:trHeight w:val="216"/>
        </w:trPr>
        <w:tc>
          <w:tcPr>
            <w:tcW w:w="320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(81)</w:t>
            </w:r>
          </w:p>
        </w:tc>
        <w:tc>
          <w:tcPr>
            <w:tcW w:w="12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(52)%</w:t>
            </w:r>
          </w:p>
        </w:tc>
        <w:tc>
          <w:tcPr>
            <w:tcW w:w="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155</w:t>
            </w:r>
          </w:p>
        </w:tc>
        <w:tc>
          <w:tcPr>
            <w:tcW w:w="0" w:type="dxa"/>
            <w:vAlign w:val="bottom"/>
          </w:tcPr>
          <w:p>
            <w:pPr>
              <w:spacing w:after="0"/>
              <w:rPr>
                <w:sz w:val="1"/>
                <w:szCs w:val="1"/>
                <w:color w:val="auto"/>
              </w:rPr>
            </w:pPr>
          </w:p>
        </w:tc>
      </w:tr>
      <w:tr>
        <w:trPr>
          <w:trHeight w:val="27"/>
        </w:trPr>
        <w:tc>
          <w:tcPr>
            <w:tcW w:w="3200" w:type="dxa"/>
            <w:vAlign w:val="bottom"/>
            <w:vMerge w:val="restart"/>
          </w:tcPr>
          <w:p>
            <w:pPr>
              <w:spacing w:after="0"/>
              <w:rPr>
                <w:sz w:val="20"/>
                <w:szCs w:val="20"/>
                <w:color w:val="auto"/>
              </w:rPr>
            </w:pPr>
            <w:r>
              <w:rPr>
                <w:rFonts w:ascii="Arial" w:cs="Arial" w:eastAsia="Arial" w:hAnsi="Arial"/>
                <w:sz w:val="18"/>
                <w:szCs w:val="18"/>
                <w:color w:val="auto"/>
              </w:rPr>
              <w:t>Total</w:t>
            </w: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320" w:type="dxa"/>
            <w:vAlign w:val="bottom"/>
            <w:gridSpan w:val="2"/>
          </w:tcPr>
          <w:p>
            <w:pPr>
              <w:spacing w:after="0"/>
              <w:rPr>
                <w:sz w:val="2"/>
                <w:szCs w:val="2"/>
                <w:color w:val="auto"/>
              </w:rPr>
            </w:pPr>
          </w:p>
        </w:tc>
        <w:tc>
          <w:tcPr>
            <w:tcW w:w="720" w:type="dxa"/>
            <w:vAlign w:val="bottom"/>
            <w:gridSpan w:val="2"/>
          </w:tcPr>
          <w:p>
            <w:pPr>
              <w:spacing w:after="0"/>
              <w:rPr>
                <w:sz w:val="2"/>
                <w:szCs w:val="2"/>
                <w:color w:val="auto"/>
              </w:rPr>
            </w:pPr>
          </w:p>
        </w:tc>
        <w:tc>
          <w:tcPr>
            <w:tcW w:w="1200" w:type="dxa"/>
            <w:vAlign w:val="bottom"/>
            <w:gridSpan w:val="2"/>
            <w:vMerge w:val="restart"/>
          </w:tcPr>
          <w:p>
            <w:pPr>
              <w:jc w:val="right"/>
              <w:ind w:right="240"/>
              <w:spacing w:after="0"/>
              <w:rPr>
                <w:sz w:val="20"/>
                <w:szCs w:val="20"/>
                <w:color w:val="auto"/>
              </w:rPr>
            </w:pPr>
            <w:r>
              <w:rPr>
                <w:rFonts w:ascii="Arial" w:cs="Arial" w:eastAsia="Arial" w:hAnsi="Arial"/>
                <w:sz w:val="18"/>
                <w:szCs w:val="18"/>
                <w:color w:val="auto"/>
              </w:rPr>
              <w:t>(19)%</w:t>
            </w:r>
          </w:p>
        </w:tc>
        <w:tc>
          <w:tcPr>
            <w:tcW w:w="120" w:type="dxa"/>
            <w:vAlign w:val="bottom"/>
          </w:tcPr>
          <w:p>
            <w:pPr>
              <w:spacing w:after="0"/>
              <w:rPr>
                <w:sz w:val="2"/>
                <w:szCs w:val="2"/>
                <w:color w:val="auto"/>
              </w:rPr>
            </w:pPr>
          </w:p>
        </w:tc>
        <w:tc>
          <w:tcPr>
            <w:tcW w:w="66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3200" w:type="dxa"/>
            <w:vAlign w:val="bottom"/>
            <w:vMerge w:val="continue"/>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1,508</w:t>
            </w:r>
          </w:p>
        </w:tc>
        <w:tc>
          <w:tcPr>
            <w:tcW w:w="160" w:type="dxa"/>
            <w:vAlign w:val="bottom"/>
          </w:tcPr>
          <w:p>
            <w:pPr>
              <w:spacing w:after="0"/>
              <w:rPr>
                <w:sz w:val="18"/>
                <w:szCs w:val="18"/>
                <w:color w:val="auto"/>
              </w:rPr>
            </w:pPr>
          </w:p>
        </w:tc>
        <w:tc>
          <w:tcPr>
            <w:tcW w:w="160" w:type="dxa"/>
            <w:vAlign w:val="bottom"/>
            <w:tcBorders>
              <w:top w:val="single" w:sz="8" w:color="auto"/>
            </w:tcBorders>
          </w:tcPr>
          <w:p>
            <w:pPr>
              <w:jc w:val="right"/>
              <w:ind w:right="8"/>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(343)</w:t>
            </w:r>
          </w:p>
        </w:tc>
        <w:tc>
          <w:tcPr>
            <w:tcW w:w="160" w:type="dxa"/>
            <w:vAlign w:val="bottom"/>
          </w:tcPr>
          <w:p>
            <w:pPr>
              <w:spacing w:after="0"/>
              <w:rPr>
                <w:sz w:val="18"/>
                <w:szCs w:val="18"/>
                <w:color w:val="auto"/>
              </w:rPr>
            </w:pPr>
          </w:p>
        </w:tc>
        <w:tc>
          <w:tcPr>
            <w:tcW w:w="1200" w:type="dxa"/>
            <w:vAlign w:val="bottom"/>
            <w:gridSpan w:val="2"/>
            <w:vMerge w:val="continue"/>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1,851</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3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3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ind w:left="360"/>
        <w:spacing w:after="0"/>
        <w:rPr>
          <w:sz w:val="20"/>
          <w:szCs w:val="20"/>
          <w:color w:val="auto"/>
        </w:rPr>
      </w:pPr>
      <w:r>
        <w:rPr>
          <w:rFonts w:ascii="Arial" w:cs="Arial" w:eastAsia="Arial" w:hAnsi="Arial"/>
          <w:sz w:val="16"/>
          <w:szCs w:val="16"/>
          <w:color w:val="auto"/>
        </w:rPr>
        <w:t>No single Exchange network lender accounts for revenue representing more than 10% of Tree.com's consolidated revenue for any periods presented.</w:t>
      </w:r>
    </w:p>
    <w:p>
      <w:pPr>
        <w:spacing w:after="0" w:line="248" w:lineRule="exact"/>
        <w:rPr>
          <w:sz w:val="20"/>
          <w:szCs w:val="20"/>
          <w:color w:val="auto"/>
        </w:rPr>
      </w:pPr>
    </w:p>
    <w:p>
      <w:pPr>
        <w:ind w:firstLine="351"/>
        <w:spacing w:after="0" w:line="256" w:lineRule="auto"/>
        <w:rPr>
          <w:sz w:val="20"/>
          <w:szCs w:val="20"/>
          <w:color w:val="auto"/>
        </w:rPr>
      </w:pPr>
      <w:r>
        <w:rPr>
          <w:rFonts w:ascii="Arial" w:cs="Arial" w:eastAsia="Arial" w:hAnsi="Arial"/>
          <w:sz w:val="18"/>
          <w:szCs w:val="18"/>
          <w:color w:val="auto"/>
        </w:rPr>
        <w:t>Real Estate revenue in 2010 decreased from the same period in 2009 principally due to a decrease in closings due to the persistent negative real estate market conditions contributing to lower home sales prices and fewer real estate transactions overall. In addition, the Company consolidated three office locations in the fourth quarter of 2009, which resulted in lower agent count and transactions in 2010. The dollar value of the Company's real estate closings decreased 58% in 2010, from $330 million in 2009 to $138 million in 2010.</w:t>
      </w:r>
    </w:p>
    <w:p>
      <w:pPr>
        <w:spacing w:after="0" w:line="197"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For the nine months ended September 30, 2010 compared to the nine months ended September 30, 2009:</w:t>
      </w:r>
    </w:p>
    <w:p>
      <w:pPr>
        <w:spacing w:after="0" w:line="275" w:lineRule="exact"/>
        <w:rPr>
          <w:sz w:val="20"/>
          <w:szCs w:val="20"/>
          <w:color w:val="auto"/>
        </w:rPr>
      </w:pPr>
    </w:p>
    <w:tbl>
      <w:tblPr>
        <w:tblLayout w:type="fixed"/>
        <w:tblInd w:w="2300" w:type="dxa"/>
        <w:tblCellMar>
          <w:top w:w="0" w:type="dxa"/>
          <w:left w:w="0" w:type="dxa"/>
          <w:bottom w:w="0" w:type="dxa"/>
          <w:right w:w="0" w:type="dxa"/>
        </w:tblCellMar>
      </w:tblPr>
      <w:tr>
        <w:trPr>
          <w:trHeight w:val="161"/>
        </w:trPr>
        <w:tc>
          <w:tcPr>
            <w:tcW w:w="29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2100" w:type="dxa"/>
            <w:vAlign w:val="bottom"/>
            <w:tcBorders>
              <w:bottom w:val="single" w:sz="8" w:color="auto"/>
            </w:tcBorders>
            <w:gridSpan w:val="6"/>
          </w:tcPr>
          <w:p>
            <w:pPr>
              <w:jc w:val="right"/>
              <w:ind w:right="80"/>
              <w:spacing w:after="0"/>
              <w:rPr>
                <w:sz w:val="20"/>
                <w:szCs w:val="20"/>
                <w:color w:val="auto"/>
              </w:rPr>
            </w:pPr>
            <w:r>
              <w:rPr>
                <w:rFonts w:ascii="Arial" w:cs="Arial" w:eastAsia="Arial" w:hAnsi="Arial"/>
                <w:sz w:val="14"/>
                <w:szCs w:val="14"/>
                <w:b w:val="1"/>
                <w:bCs w:val="1"/>
                <w:color w:val="auto"/>
                <w:w w:val="86"/>
              </w:rPr>
              <w:t>Nine Months Ended September 30,</w:t>
            </w:r>
          </w:p>
        </w:tc>
        <w:tc>
          <w:tcPr>
            <w:tcW w:w="14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9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jc w:val="right"/>
              <w:ind w:right="174"/>
              <w:spacing w:after="0" w:line="142" w:lineRule="exact"/>
              <w:rPr>
                <w:sz w:val="20"/>
                <w:szCs w:val="20"/>
                <w:color w:val="auto"/>
              </w:rPr>
            </w:pPr>
            <w:r>
              <w:rPr>
                <w:rFonts w:ascii="Arial" w:cs="Arial" w:eastAsia="Arial" w:hAnsi="Arial"/>
                <w:sz w:val="14"/>
                <w:szCs w:val="14"/>
                <w:b w:val="1"/>
                <w:bCs w:val="1"/>
                <w:color w:val="auto"/>
              </w:rPr>
              <w:t>2010</w:t>
            </w:r>
          </w:p>
        </w:tc>
        <w:tc>
          <w:tcPr>
            <w:tcW w:w="60" w:type="dxa"/>
            <w:vAlign w:val="bottom"/>
          </w:tcPr>
          <w:p>
            <w:pPr>
              <w:spacing w:after="0"/>
              <w:rPr>
                <w:sz w:val="12"/>
                <w:szCs w:val="12"/>
                <w:color w:val="auto"/>
              </w:rPr>
            </w:pPr>
          </w:p>
        </w:tc>
        <w:tc>
          <w:tcPr>
            <w:tcW w:w="300" w:type="dxa"/>
            <w:vAlign w:val="bottom"/>
            <w:gridSpan w:val="2"/>
          </w:tcPr>
          <w:p>
            <w:pPr>
              <w:jc w:val="right"/>
              <w:ind w:right="20"/>
              <w:spacing w:after="0" w:line="142" w:lineRule="exact"/>
              <w:rPr>
                <w:sz w:val="20"/>
                <w:szCs w:val="20"/>
                <w:color w:val="auto"/>
              </w:rPr>
            </w:pPr>
            <w:r>
              <w:rPr>
                <w:rFonts w:ascii="Arial" w:cs="Arial" w:eastAsia="Arial" w:hAnsi="Arial"/>
                <w:sz w:val="14"/>
                <w:szCs w:val="14"/>
                <w:b w:val="1"/>
                <w:bCs w:val="1"/>
                <w:color w:val="auto"/>
              </w:rPr>
              <w:t>$</w:t>
            </w:r>
          </w:p>
        </w:tc>
        <w:tc>
          <w:tcPr>
            <w:tcW w:w="740" w:type="dxa"/>
            <w:vAlign w:val="bottom"/>
            <w:gridSpan w:val="2"/>
          </w:tcPr>
          <w:p>
            <w:pPr>
              <w:jc w:val="right"/>
              <w:ind w:right="212"/>
              <w:spacing w:after="0" w:line="142" w:lineRule="exact"/>
              <w:rPr>
                <w:sz w:val="20"/>
                <w:szCs w:val="20"/>
                <w:color w:val="auto"/>
              </w:rPr>
            </w:pPr>
            <w:r>
              <w:rPr>
                <w:rFonts w:ascii="Arial" w:cs="Arial" w:eastAsia="Arial" w:hAnsi="Arial"/>
                <w:sz w:val="14"/>
                <w:szCs w:val="14"/>
                <w:b w:val="1"/>
                <w:bCs w:val="1"/>
                <w:color w:val="auto"/>
                <w:w w:val="85"/>
              </w:rPr>
              <w:t>Change</w:t>
            </w:r>
          </w:p>
        </w:tc>
        <w:tc>
          <w:tcPr>
            <w:tcW w:w="1060" w:type="dxa"/>
            <w:vAlign w:val="bottom"/>
            <w:gridSpan w:val="2"/>
          </w:tcPr>
          <w:p>
            <w:pPr>
              <w:jc w:val="right"/>
              <w:ind w:right="380"/>
              <w:spacing w:after="0" w:line="142" w:lineRule="exact"/>
              <w:rPr>
                <w:sz w:val="20"/>
                <w:szCs w:val="20"/>
                <w:color w:val="auto"/>
              </w:rPr>
            </w:pPr>
            <w:r>
              <w:rPr>
                <w:rFonts w:ascii="Arial" w:cs="Arial" w:eastAsia="Arial" w:hAnsi="Arial"/>
                <w:sz w:val="14"/>
                <w:szCs w:val="14"/>
                <w:b w:val="1"/>
                <w:bCs w:val="1"/>
                <w:color w:val="auto"/>
                <w:w w:val="97"/>
              </w:rPr>
              <w:t>% Change</w:t>
            </w:r>
          </w:p>
        </w:tc>
        <w:tc>
          <w:tcPr>
            <w:tcW w:w="140" w:type="dxa"/>
            <w:vAlign w:val="bottom"/>
          </w:tcPr>
          <w:p>
            <w:pPr>
              <w:spacing w:after="0"/>
              <w:rPr>
                <w:sz w:val="12"/>
                <w:szCs w:val="12"/>
                <w:color w:val="auto"/>
              </w:rPr>
            </w:pPr>
          </w:p>
        </w:tc>
        <w:tc>
          <w:tcPr>
            <w:tcW w:w="640" w:type="dxa"/>
            <w:vAlign w:val="bottom"/>
          </w:tcPr>
          <w:p>
            <w:pPr>
              <w:jc w:val="right"/>
              <w:ind w:right="174"/>
              <w:spacing w:after="0" w:line="142" w:lineRule="exact"/>
              <w:rPr>
                <w:sz w:val="20"/>
                <w:szCs w:val="20"/>
                <w:color w:val="auto"/>
              </w:rPr>
            </w:pPr>
            <w:r>
              <w:rPr>
                <w:rFonts w:ascii="Arial" w:cs="Arial" w:eastAsia="Arial" w:hAnsi="Arial"/>
                <w:sz w:val="14"/>
                <w:szCs w:val="14"/>
                <w:b w:val="1"/>
                <w:bCs w:val="1"/>
                <w:color w:val="auto"/>
              </w:rPr>
              <w:t>2009</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96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9"/>
              </w:rPr>
              <w:t>(Dollars</w:t>
            </w:r>
          </w:p>
        </w:tc>
        <w:tc>
          <w:tcPr>
            <w:tcW w:w="160" w:type="dxa"/>
            <w:vAlign w:val="bottom"/>
          </w:tcPr>
          <w:p>
            <w:pPr>
              <w:jc w:val="right"/>
              <w:spacing w:after="0" w:line="142" w:lineRule="exact"/>
              <w:rPr>
                <w:sz w:val="20"/>
                <w:szCs w:val="20"/>
                <w:color w:val="auto"/>
              </w:rPr>
            </w:pPr>
            <w:r>
              <w:rPr>
                <w:rFonts w:ascii="Arial" w:cs="Arial" w:eastAsia="Arial" w:hAnsi="Arial"/>
                <w:sz w:val="14"/>
                <w:szCs w:val="14"/>
                <w:b w:val="1"/>
                <w:bCs w:val="1"/>
                <w:color w:val="auto"/>
                <w:w w:val="79"/>
              </w:rPr>
              <w:t>in</w:t>
            </w:r>
          </w:p>
        </w:tc>
        <w:tc>
          <w:tcPr>
            <w:tcW w:w="760" w:type="dxa"/>
            <w:vAlign w:val="bottom"/>
            <w:tcBorders>
              <w:top w:val="single" w:sz="8" w:color="auto"/>
            </w:tcBorders>
          </w:tcPr>
          <w:p>
            <w:pPr>
              <w:jc w:val="right"/>
              <w:ind w:right="55"/>
              <w:spacing w:after="0" w:line="142" w:lineRule="exact"/>
              <w:rPr>
                <w:sz w:val="20"/>
                <w:szCs w:val="20"/>
                <w:color w:val="auto"/>
              </w:rPr>
            </w:pPr>
            <w:r>
              <w:rPr>
                <w:rFonts w:ascii="Arial" w:cs="Arial" w:eastAsia="Arial" w:hAnsi="Arial"/>
                <w:sz w:val="14"/>
                <w:szCs w:val="14"/>
                <w:b w:val="1"/>
                <w:bCs w:val="1"/>
                <w:color w:val="auto"/>
                <w:w w:val="79"/>
              </w:rPr>
              <w:t>thousands)</w:t>
            </w:r>
          </w:p>
        </w:tc>
        <w:tc>
          <w:tcPr>
            <w:tcW w:w="30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960" w:type="dxa"/>
            <w:vAlign w:val="bottom"/>
            <w:shd w:val="clear" w:color="auto" w:fill="CCEEFF"/>
          </w:tcPr>
          <w:p>
            <w:pPr>
              <w:spacing w:after="0"/>
              <w:rPr>
                <w:sz w:val="20"/>
                <w:szCs w:val="20"/>
                <w:color w:val="auto"/>
              </w:rPr>
            </w:pPr>
            <w:r>
              <w:rPr>
                <w:rFonts w:ascii="Arial" w:cs="Arial" w:eastAsia="Arial" w:hAnsi="Arial"/>
                <w:sz w:val="18"/>
                <w:szCs w:val="18"/>
                <w:color w:val="auto"/>
              </w:rPr>
              <w:t>LendingTree Loans:</w:t>
            </w: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60" w:type="dxa"/>
            <w:vAlign w:val="bottom"/>
          </w:tcPr>
          <w:p>
            <w:pPr>
              <w:ind w:left="120"/>
              <w:spacing w:after="0"/>
              <w:rPr>
                <w:sz w:val="20"/>
                <w:szCs w:val="20"/>
                <w:color w:val="auto"/>
              </w:rPr>
            </w:pPr>
            <w:r>
              <w:rPr>
                <w:rFonts w:ascii="Arial" w:cs="Arial" w:eastAsia="Arial" w:hAnsi="Arial"/>
                <w:sz w:val="18"/>
                <w:szCs w:val="18"/>
                <w:color w:val="auto"/>
              </w:rPr>
              <w:t>Origination and sale of loans</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79,301</w:t>
            </w:r>
          </w:p>
        </w:tc>
        <w:tc>
          <w:tcPr>
            <w:tcW w:w="60" w:type="dxa"/>
            <w:vAlign w:val="bottom"/>
          </w:tcPr>
          <w:p>
            <w:pPr>
              <w:spacing w:after="0"/>
              <w:rPr>
                <w:sz w:val="18"/>
                <w:szCs w:val="18"/>
                <w:color w:val="auto"/>
              </w:rPr>
            </w:pPr>
          </w:p>
        </w:tc>
        <w:tc>
          <w:tcPr>
            <w:tcW w:w="3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32"/>
              <w:spacing w:after="0"/>
              <w:rPr>
                <w:sz w:val="20"/>
                <w:szCs w:val="20"/>
                <w:color w:val="auto"/>
              </w:rPr>
            </w:pPr>
            <w:r>
              <w:rPr>
                <w:rFonts w:ascii="Arial" w:cs="Arial" w:eastAsia="Arial" w:hAnsi="Arial"/>
                <w:sz w:val="18"/>
                <w:szCs w:val="18"/>
                <w:color w:val="auto"/>
                <w:w w:val="92"/>
              </w:rPr>
              <w:t>(10,400)</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(12)%</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89,701</w:t>
            </w:r>
          </w:p>
        </w:tc>
        <w:tc>
          <w:tcPr>
            <w:tcW w:w="0" w:type="dxa"/>
            <w:vAlign w:val="bottom"/>
          </w:tcPr>
          <w:p>
            <w:pPr>
              <w:spacing w:after="0"/>
              <w:rPr>
                <w:sz w:val="1"/>
                <w:szCs w:val="1"/>
                <w:color w:val="auto"/>
              </w:rPr>
            </w:pPr>
          </w:p>
        </w:tc>
      </w:tr>
      <w:tr>
        <w:trPr>
          <w:trHeight w:val="216"/>
        </w:trPr>
        <w:tc>
          <w:tcPr>
            <w:tcW w:w="29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Other</w:t>
            </w: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7,846</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92"/>
              <w:spacing w:after="0"/>
              <w:rPr>
                <w:sz w:val="20"/>
                <w:szCs w:val="20"/>
                <w:color w:val="auto"/>
              </w:rPr>
            </w:pPr>
            <w:r>
              <w:rPr>
                <w:rFonts w:ascii="Arial" w:cs="Arial" w:eastAsia="Arial" w:hAnsi="Arial"/>
                <w:sz w:val="18"/>
                <w:szCs w:val="18"/>
                <w:color w:val="auto"/>
              </w:rPr>
              <w:t>2,809</w:t>
            </w: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56%</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5,037</w:t>
            </w:r>
          </w:p>
        </w:tc>
        <w:tc>
          <w:tcPr>
            <w:tcW w:w="0" w:type="dxa"/>
            <w:vAlign w:val="bottom"/>
          </w:tcPr>
          <w:p>
            <w:pPr>
              <w:spacing w:after="0"/>
              <w:rPr>
                <w:sz w:val="1"/>
                <w:szCs w:val="1"/>
                <w:color w:val="auto"/>
              </w:rPr>
            </w:pPr>
          </w:p>
        </w:tc>
      </w:tr>
      <w:tr>
        <w:trPr>
          <w:trHeight w:val="27"/>
        </w:trPr>
        <w:tc>
          <w:tcPr>
            <w:tcW w:w="2960" w:type="dxa"/>
            <w:vAlign w:val="bottom"/>
            <w:vMerge w:val="restart"/>
          </w:tcPr>
          <w:p>
            <w:pPr>
              <w:spacing w:after="0"/>
              <w:rPr>
                <w:sz w:val="20"/>
                <w:szCs w:val="20"/>
                <w:color w:val="auto"/>
              </w:rPr>
            </w:pPr>
            <w:r>
              <w:rPr>
                <w:rFonts w:ascii="Arial" w:cs="Arial" w:eastAsia="Arial" w:hAnsi="Arial"/>
                <w:sz w:val="18"/>
                <w:szCs w:val="18"/>
                <w:color w:val="auto"/>
              </w:rPr>
              <w:t>Total LendingTree Loans</w:t>
            </w:r>
          </w:p>
        </w:tc>
        <w:tc>
          <w:tcPr>
            <w:tcW w:w="160" w:type="dxa"/>
            <w:vAlign w:val="bottom"/>
          </w:tcPr>
          <w:p>
            <w:pPr>
              <w:spacing w:after="0"/>
              <w:rPr>
                <w:sz w:val="2"/>
                <w:szCs w:val="2"/>
                <w:color w:val="auto"/>
              </w:rPr>
            </w:pPr>
          </w:p>
        </w:tc>
        <w:tc>
          <w:tcPr>
            <w:tcW w:w="6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gridSpan w:val="2"/>
          </w:tcPr>
          <w:p>
            <w:pPr>
              <w:spacing w:after="0"/>
              <w:rPr>
                <w:sz w:val="2"/>
                <w:szCs w:val="2"/>
                <w:color w:val="auto"/>
              </w:rPr>
            </w:pPr>
          </w:p>
        </w:tc>
        <w:tc>
          <w:tcPr>
            <w:tcW w:w="1060" w:type="dxa"/>
            <w:vAlign w:val="bottom"/>
            <w:gridSpan w:val="2"/>
            <w:vMerge w:val="restart"/>
          </w:tcPr>
          <w:p>
            <w:pPr>
              <w:jc w:val="right"/>
              <w:ind w:right="100"/>
              <w:spacing w:after="0"/>
              <w:rPr>
                <w:sz w:val="20"/>
                <w:szCs w:val="20"/>
                <w:color w:val="auto"/>
              </w:rPr>
            </w:pPr>
            <w:r>
              <w:rPr>
                <w:rFonts w:ascii="Arial" w:cs="Arial" w:eastAsia="Arial" w:hAnsi="Arial"/>
                <w:sz w:val="18"/>
                <w:szCs w:val="18"/>
                <w:color w:val="auto"/>
              </w:rPr>
              <w:t>(8)%</w:t>
            </w:r>
          </w:p>
        </w:tc>
        <w:tc>
          <w:tcPr>
            <w:tcW w:w="140" w:type="dxa"/>
            <w:vAlign w:val="bottom"/>
          </w:tcPr>
          <w:p>
            <w:pPr>
              <w:spacing w:after="0"/>
              <w:rPr>
                <w:sz w:val="2"/>
                <w:szCs w:val="2"/>
                <w:color w:val="auto"/>
              </w:rPr>
            </w:pPr>
          </w:p>
        </w:tc>
        <w:tc>
          <w:tcPr>
            <w:tcW w:w="80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2960" w:type="dxa"/>
            <w:vAlign w:val="bottom"/>
            <w:vMerge w:val="continue"/>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87,147</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8"/>
              </w:rPr>
              <w:t>(7,591)</w:t>
            </w:r>
          </w:p>
        </w:tc>
        <w:tc>
          <w:tcPr>
            <w:tcW w:w="160" w:type="dxa"/>
            <w:vAlign w:val="bottom"/>
          </w:tcPr>
          <w:p>
            <w:pPr>
              <w:spacing w:after="0"/>
              <w:rPr>
                <w:sz w:val="18"/>
                <w:szCs w:val="18"/>
                <w:color w:val="auto"/>
              </w:rPr>
            </w:pPr>
          </w:p>
        </w:tc>
        <w:tc>
          <w:tcPr>
            <w:tcW w:w="1060" w:type="dxa"/>
            <w:vAlign w:val="bottom"/>
            <w:gridSpan w:val="2"/>
            <w:vMerge w:val="continue"/>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94,738</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60" w:type="dxa"/>
            <w:vAlign w:val="bottom"/>
            <w:shd w:val="clear" w:color="auto" w:fill="CCEEFF"/>
          </w:tcPr>
          <w:p>
            <w:pPr>
              <w:spacing w:after="0"/>
              <w:rPr>
                <w:sz w:val="20"/>
                <w:szCs w:val="20"/>
                <w:color w:val="auto"/>
              </w:rPr>
            </w:pPr>
            <w:r>
              <w:rPr>
                <w:rFonts w:ascii="Arial" w:cs="Arial" w:eastAsia="Arial" w:hAnsi="Arial"/>
                <w:sz w:val="18"/>
                <w:szCs w:val="18"/>
                <w:color w:val="auto"/>
              </w:rPr>
              <w:t>Exchanges:</w:t>
            </w: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60" w:type="dxa"/>
            <w:vAlign w:val="bottom"/>
          </w:tcPr>
          <w:p>
            <w:pPr>
              <w:ind w:left="120"/>
              <w:spacing w:after="0"/>
              <w:rPr>
                <w:sz w:val="20"/>
                <w:szCs w:val="20"/>
                <w:color w:val="auto"/>
              </w:rPr>
            </w:pPr>
            <w:r>
              <w:rPr>
                <w:rFonts w:ascii="Arial" w:cs="Arial" w:eastAsia="Arial" w:hAnsi="Arial"/>
                <w:sz w:val="18"/>
                <w:szCs w:val="18"/>
                <w:color w:val="auto"/>
              </w:rPr>
              <w:t>Match fees</w:t>
            </w: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38,683</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gridSpan w:val="2"/>
          </w:tcPr>
          <w:p>
            <w:pPr>
              <w:jc w:val="right"/>
              <w:ind w:right="92"/>
              <w:spacing w:after="0"/>
              <w:rPr>
                <w:sz w:val="20"/>
                <w:szCs w:val="20"/>
                <w:color w:val="auto"/>
              </w:rPr>
            </w:pPr>
            <w:r>
              <w:rPr>
                <w:rFonts w:ascii="Arial" w:cs="Arial" w:eastAsia="Arial" w:hAnsi="Arial"/>
                <w:sz w:val="18"/>
                <w:szCs w:val="18"/>
                <w:color w:val="auto"/>
              </w:rPr>
              <w:t>6,376</w:t>
            </w: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20%</w:t>
            </w:r>
          </w:p>
        </w:tc>
        <w:tc>
          <w:tcPr>
            <w:tcW w:w="14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32,307</w:t>
            </w:r>
          </w:p>
        </w:tc>
        <w:tc>
          <w:tcPr>
            <w:tcW w:w="0" w:type="dxa"/>
            <w:vAlign w:val="bottom"/>
          </w:tcPr>
          <w:p>
            <w:pPr>
              <w:spacing w:after="0"/>
              <w:rPr>
                <w:sz w:val="1"/>
                <w:szCs w:val="1"/>
                <w:color w:val="auto"/>
              </w:rPr>
            </w:pPr>
          </w:p>
        </w:tc>
      </w:tr>
      <w:tr>
        <w:trPr>
          <w:trHeight w:val="216"/>
        </w:trPr>
        <w:tc>
          <w:tcPr>
            <w:tcW w:w="29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Closed loan fees</w:t>
            </w: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7,008</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32"/>
              <w:spacing w:after="0"/>
              <w:rPr>
                <w:sz w:val="20"/>
                <w:szCs w:val="20"/>
                <w:color w:val="auto"/>
              </w:rPr>
            </w:pPr>
            <w:r>
              <w:rPr>
                <w:rFonts w:ascii="Arial" w:cs="Arial" w:eastAsia="Arial" w:hAnsi="Arial"/>
                <w:sz w:val="18"/>
                <w:szCs w:val="18"/>
                <w:color w:val="auto"/>
                <w:w w:val="92"/>
              </w:rPr>
              <w:t>(11,172)</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(61)%</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18,180</w:t>
            </w:r>
          </w:p>
        </w:tc>
        <w:tc>
          <w:tcPr>
            <w:tcW w:w="0" w:type="dxa"/>
            <w:vAlign w:val="bottom"/>
          </w:tcPr>
          <w:p>
            <w:pPr>
              <w:spacing w:after="0"/>
              <w:rPr>
                <w:sz w:val="1"/>
                <w:szCs w:val="1"/>
                <w:color w:val="auto"/>
              </w:rPr>
            </w:pPr>
          </w:p>
        </w:tc>
      </w:tr>
      <w:tr>
        <w:trPr>
          <w:trHeight w:val="216"/>
        </w:trPr>
        <w:tc>
          <w:tcPr>
            <w:tcW w:w="2960" w:type="dxa"/>
            <w:vAlign w:val="bottom"/>
          </w:tcPr>
          <w:p>
            <w:pPr>
              <w:ind w:left="120"/>
              <w:spacing w:after="0"/>
              <w:rPr>
                <w:sz w:val="20"/>
                <w:szCs w:val="20"/>
                <w:color w:val="auto"/>
              </w:rPr>
            </w:pPr>
            <w:r>
              <w:rPr>
                <w:rFonts w:ascii="Arial" w:cs="Arial" w:eastAsia="Arial" w:hAnsi="Arial"/>
                <w:sz w:val="18"/>
                <w:szCs w:val="18"/>
                <w:color w:val="auto"/>
              </w:rPr>
              <w:t>Other</w:t>
            </w: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2,322</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gridSpan w:val="2"/>
          </w:tcPr>
          <w:p>
            <w:pPr>
              <w:jc w:val="right"/>
              <w:ind w:right="92"/>
              <w:spacing w:after="0"/>
              <w:rPr>
                <w:sz w:val="20"/>
                <w:szCs w:val="20"/>
                <w:color w:val="auto"/>
              </w:rPr>
            </w:pPr>
            <w:r>
              <w:rPr>
                <w:rFonts w:ascii="Arial" w:cs="Arial" w:eastAsia="Arial" w:hAnsi="Arial"/>
                <w:sz w:val="18"/>
                <w:szCs w:val="18"/>
                <w:color w:val="auto"/>
              </w:rPr>
              <w:t>147</w:t>
            </w: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7%</w:t>
            </w:r>
          </w:p>
        </w:tc>
        <w:tc>
          <w:tcPr>
            <w:tcW w:w="14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2,175</w:t>
            </w:r>
          </w:p>
        </w:tc>
        <w:tc>
          <w:tcPr>
            <w:tcW w:w="0" w:type="dxa"/>
            <w:vAlign w:val="bottom"/>
          </w:tcPr>
          <w:p>
            <w:pPr>
              <w:spacing w:after="0"/>
              <w:rPr>
                <w:sz w:val="1"/>
                <w:szCs w:val="1"/>
                <w:color w:val="auto"/>
              </w:rPr>
            </w:pPr>
          </w:p>
        </w:tc>
      </w:tr>
      <w:tr>
        <w:trPr>
          <w:trHeight w:val="216"/>
        </w:trPr>
        <w:tc>
          <w:tcPr>
            <w:tcW w:w="29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Inter-segment revenue</w:t>
            </w: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92"/>
              <w:spacing w:after="0"/>
              <w:rPr>
                <w:sz w:val="20"/>
                <w:szCs w:val="20"/>
                <w:color w:val="auto"/>
              </w:rPr>
            </w:pPr>
            <w:r>
              <w:rPr>
                <w:rFonts w:ascii="Arial" w:cs="Arial" w:eastAsia="Arial" w:hAnsi="Arial"/>
                <w:sz w:val="18"/>
                <w:szCs w:val="18"/>
                <w:color w:val="auto"/>
              </w:rPr>
              <w:t>184</w:t>
            </w: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100%</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960" w:type="dxa"/>
            <w:vAlign w:val="bottom"/>
            <w:vMerge w:val="restart"/>
          </w:tcPr>
          <w:p>
            <w:pPr>
              <w:spacing w:after="0"/>
              <w:rPr>
                <w:sz w:val="20"/>
                <w:szCs w:val="20"/>
                <w:color w:val="auto"/>
              </w:rPr>
            </w:pPr>
            <w:r>
              <w:rPr>
                <w:rFonts w:ascii="Arial" w:cs="Arial" w:eastAsia="Arial" w:hAnsi="Arial"/>
                <w:sz w:val="18"/>
                <w:szCs w:val="18"/>
                <w:color w:val="auto"/>
              </w:rPr>
              <w:t>Total Exchanges</w:t>
            </w:r>
          </w:p>
        </w:tc>
        <w:tc>
          <w:tcPr>
            <w:tcW w:w="160" w:type="dxa"/>
            <w:vAlign w:val="bottom"/>
          </w:tcPr>
          <w:p>
            <w:pPr>
              <w:spacing w:after="0"/>
              <w:rPr>
                <w:sz w:val="2"/>
                <w:szCs w:val="2"/>
                <w:color w:val="auto"/>
              </w:rPr>
            </w:pPr>
          </w:p>
        </w:tc>
        <w:tc>
          <w:tcPr>
            <w:tcW w:w="6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gridSpan w:val="2"/>
          </w:tcPr>
          <w:p>
            <w:pPr>
              <w:spacing w:after="0"/>
              <w:rPr>
                <w:sz w:val="2"/>
                <w:szCs w:val="2"/>
                <w:color w:val="auto"/>
              </w:rPr>
            </w:pPr>
          </w:p>
        </w:tc>
        <w:tc>
          <w:tcPr>
            <w:tcW w:w="1060" w:type="dxa"/>
            <w:vAlign w:val="bottom"/>
            <w:gridSpan w:val="2"/>
            <w:vMerge w:val="restart"/>
          </w:tcPr>
          <w:p>
            <w:pPr>
              <w:jc w:val="right"/>
              <w:ind w:right="100"/>
              <w:spacing w:after="0"/>
              <w:rPr>
                <w:sz w:val="20"/>
                <w:szCs w:val="20"/>
                <w:color w:val="auto"/>
              </w:rPr>
            </w:pPr>
            <w:r>
              <w:rPr>
                <w:rFonts w:ascii="Arial" w:cs="Arial" w:eastAsia="Arial" w:hAnsi="Arial"/>
                <w:sz w:val="18"/>
                <w:szCs w:val="18"/>
                <w:color w:val="auto"/>
              </w:rPr>
              <w:t>(8)%</w:t>
            </w:r>
          </w:p>
        </w:tc>
        <w:tc>
          <w:tcPr>
            <w:tcW w:w="140" w:type="dxa"/>
            <w:vAlign w:val="bottom"/>
          </w:tcPr>
          <w:p>
            <w:pPr>
              <w:spacing w:after="0"/>
              <w:rPr>
                <w:sz w:val="2"/>
                <w:szCs w:val="2"/>
                <w:color w:val="auto"/>
              </w:rPr>
            </w:pPr>
          </w:p>
        </w:tc>
        <w:tc>
          <w:tcPr>
            <w:tcW w:w="80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2960" w:type="dxa"/>
            <w:vAlign w:val="bottom"/>
            <w:vMerge w:val="continue"/>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48,197</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8"/>
              </w:rPr>
              <w:t>(4,465)</w:t>
            </w:r>
          </w:p>
        </w:tc>
        <w:tc>
          <w:tcPr>
            <w:tcW w:w="160" w:type="dxa"/>
            <w:vAlign w:val="bottom"/>
          </w:tcPr>
          <w:p>
            <w:pPr>
              <w:spacing w:after="0"/>
              <w:rPr>
                <w:sz w:val="18"/>
                <w:szCs w:val="18"/>
                <w:color w:val="auto"/>
              </w:rPr>
            </w:pPr>
          </w:p>
        </w:tc>
        <w:tc>
          <w:tcPr>
            <w:tcW w:w="1060" w:type="dxa"/>
            <w:vAlign w:val="bottom"/>
            <w:gridSpan w:val="2"/>
            <w:vMerge w:val="continue"/>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52,662</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60" w:type="dxa"/>
            <w:vAlign w:val="bottom"/>
            <w:shd w:val="clear" w:color="auto" w:fill="CCEEFF"/>
          </w:tcPr>
          <w:p>
            <w:pPr>
              <w:spacing w:after="0"/>
              <w:rPr>
                <w:sz w:val="20"/>
                <w:szCs w:val="20"/>
                <w:color w:val="auto"/>
              </w:rPr>
            </w:pPr>
            <w:r>
              <w:rPr>
                <w:rFonts w:ascii="Arial" w:cs="Arial" w:eastAsia="Arial" w:hAnsi="Arial"/>
                <w:sz w:val="18"/>
                <w:szCs w:val="18"/>
                <w:color w:val="auto"/>
              </w:rPr>
              <w:t>Real Estate</w:t>
            </w:r>
          </w:p>
        </w:tc>
        <w:tc>
          <w:tcPr>
            <w:tcW w:w="1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11,825</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32"/>
              <w:spacing w:after="0"/>
              <w:rPr>
                <w:sz w:val="20"/>
                <w:szCs w:val="20"/>
                <w:color w:val="auto"/>
              </w:rPr>
            </w:pPr>
            <w:r>
              <w:rPr>
                <w:rFonts w:ascii="Arial" w:cs="Arial" w:eastAsia="Arial" w:hAnsi="Arial"/>
                <w:sz w:val="18"/>
                <w:szCs w:val="18"/>
                <w:color w:val="auto"/>
              </w:rPr>
              <w:t>(9,724)</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21,549</w:t>
            </w:r>
          </w:p>
        </w:tc>
        <w:tc>
          <w:tcPr>
            <w:tcW w:w="0" w:type="dxa"/>
            <w:vAlign w:val="bottom"/>
          </w:tcPr>
          <w:p>
            <w:pPr>
              <w:spacing w:after="0"/>
              <w:rPr>
                <w:sz w:val="1"/>
                <w:szCs w:val="1"/>
                <w:color w:val="auto"/>
              </w:rPr>
            </w:pPr>
          </w:p>
        </w:tc>
      </w:tr>
      <w:tr>
        <w:trPr>
          <w:trHeight w:val="222"/>
        </w:trPr>
        <w:tc>
          <w:tcPr>
            <w:tcW w:w="2960" w:type="dxa"/>
            <w:vAlign w:val="bottom"/>
          </w:tcPr>
          <w:p>
            <w:pPr>
              <w:spacing w:after="0"/>
              <w:rPr>
                <w:sz w:val="20"/>
                <w:szCs w:val="20"/>
                <w:color w:val="auto"/>
              </w:rPr>
            </w:pPr>
            <w:r>
              <w:rPr>
                <w:rFonts w:ascii="Arial" w:cs="Arial" w:eastAsia="Arial" w:hAnsi="Arial"/>
                <w:sz w:val="18"/>
                <w:szCs w:val="18"/>
                <w:color w:val="auto"/>
              </w:rPr>
              <w:t>Inter-segment revenue</w:t>
            </w:r>
          </w:p>
        </w:tc>
        <w:tc>
          <w:tcPr>
            <w:tcW w:w="160" w:type="dxa"/>
            <w:vAlign w:val="bottom"/>
          </w:tcPr>
          <w:p>
            <w:pPr>
              <w:spacing w:after="0"/>
              <w:rPr>
                <w:sz w:val="19"/>
                <w:szCs w:val="19"/>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(184)</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gridSpan w:val="2"/>
          </w:tcPr>
          <w:p>
            <w:pPr>
              <w:jc w:val="right"/>
              <w:ind w:right="32"/>
              <w:spacing w:after="0"/>
              <w:rPr>
                <w:sz w:val="20"/>
                <w:szCs w:val="20"/>
                <w:color w:val="auto"/>
              </w:rPr>
            </w:pPr>
            <w:r>
              <w:rPr>
                <w:rFonts w:ascii="Arial" w:cs="Arial" w:eastAsia="Arial" w:hAnsi="Arial"/>
                <w:sz w:val="18"/>
                <w:szCs w:val="18"/>
                <w:color w:val="auto"/>
              </w:rPr>
              <w:t>(184)</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(100)%</w:t>
            </w:r>
          </w:p>
        </w:tc>
        <w:tc>
          <w:tcPr>
            <w:tcW w:w="140" w:type="dxa"/>
            <w:vAlign w:val="bottom"/>
          </w:tcPr>
          <w:p>
            <w:pPr>
              <w:spacing w:after="0"/>
              <w:rPr>
                <w:sz w:val="19"/>
                <w:szCs w:val="19"/>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
        </w:trPr>
        <w:tc>
          <w:tcPr>
            <w:tcW w:w="29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960" w:type="dxa"/>
            <w:vAlign w:val="bottom"/>
            <w:shd w:val="clear" w:color="auto" w:fill="CCEEFF"/>
          </w:tcPr>
          <w:p>
            <w:pPr>
              <w:spacing w:after="0"/>
              <w:rPr>
                <w:sz w:val="20"/>
                <w:szCs w:val="20"/>
                <w:color w:val="auto"/>
              </w:rPr>
            </w:pPr>
            <w:r>
              <w:rPr>
                <w:rFonts w:ascii="Arial" w:cs="Arial" w:eastAsia="Arial" w:hAnsi="Arial"/>
                <w:sz w:val="18"/>
                <w:szCs w:val="18"/>
                <w:color w:val="auto"/>
              </w:rPr>
              <w:t>Total revenue</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146,985</w:t>
            </w:r>
          </w:p>
        </w:tc>
        <w:tc>
          <w:tcPr>
            <w:tcW w:w="6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32"/>
              <w:spacing w:after="0"/>
              <w:rPr>
                <w:sz w:val="20"/>
                <w:szCs w:val="20"/>
                <w:color w:val="auto"/>
              </w:rPr>
            </w:pPr>
            <w:r>
              <w:rPr>
                <w:rFonts w:ascii="Arial" w:cs="Arial" w:eastAsia="Arial" w:hAnsi="Arial"/>
                <w:sz w:val="18"/>
                <w:szCs w:val="18"/>
                <w:color w:val="auto"/>
                <w:w w:val="92"/>
              </w:rPr>
              <w:t>(21,964)</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5"/>
              </w:rPr>
              <w:t>168,949</w:t>
            </w:r>
          </w:p>
        </w:tc>
        <w:tc>
          <w:tcPr>
            <w:tcW w:w="0" w:type="dxa"/>
            <w:vAlign w:val="bottom"/>
          </w:tcPr>
          <w:p>
            <w:pPr>
              <w:spacing w:after="0"/>
              <w:rPr>
                <w:sz w:val="1"/>
                <w:szCs w:val="1"/>
                <w:color w:val="auto"/>
              </w:rPr>
            </w:pPr>
          </w:p>
        </w:tc>
      </w:tr>
      <w:tr>
        <w:trPr>
          <w:trHeight w:val="27"/>
        </w:trPr>
        <w:tc>
          <w:tcPr>
            <w:tcW w:w="29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9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ind w:right="260" w:firstLine="351"/>
        <w:spacing w:after="0" w:line="332" w:lineRule="auto"/>
        <w:rPr>
          <w:sz w:val="20"/>
          <w:szCs w:val="20"/>
          <w:color w:val="auto"/>
        </w:rPr>
      </w:pPr>
      <w:r>
        <w:rPr>
          <w:rFonts w:ascii="Arial" w:cs="Arial" w:eastAsia="Arial" w:hAnsi="Arial"/>
          <w:sz w:val="16"/>
          <w:szCs w:val="16"/>
          <w:color w:val="auto"/>
        </w:rPr>
        <w:t>LendingTree Loans revenue in 2010 decreased from the same period in 2009 because loan closing rates declined from 2009. The decrease in loan closing rates was primarily driven by tight secondary credit markets that are unable to serve many consumers who do not have sufficient collateral value or</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40" w:name="page41"/>
    <w:bookmarkEnd w:id="4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right="320"/>
        <w:spacing w:after="0" w:line="268" w:lineRule="auto"/>
        <w:rPr>
          <w:sz w:val="20"/>
          <w:szCs w:val="20"/>
          <w:color w:val="auto"/>
        </w:rPr>
      </w:pPr>
      <w:r>
        <w:rPr>
          <w:rFonts w:ascii="Arial" w:cs="Arial" w:eastAsia="Arial" w:hAnsi="Arial"/>
          <w:sz w:val="18"/>
          <w:szCs w:val="18"/>
          <w:color w:val="auto"/>
        </w:rPr>
        <w:t>are not eligible for conforming prime first-lien position loans. The total dollar value of loans closed declined by 13% during 2010, even though the number of consumer loan requests increased by 13% in the same period.</w:t>
      </w:r>
    </w:p>
    <w:p>
      <w:pPr>
        <w:spacing w:after="0" w:line="18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dollar value of loans closed directly by LendingTree Loans is as follows:</w:t>
      </w:r>
    </w:p>
    <w:p>
      <w:pPr>
        <w:spacing w:after="0" w:line="275" w:lineRule="exact"/>
        <w:rPr>
          <w:sz w:val="20"/>
          <w:szCs w:val="20"/>
          <w:color w:val="auto"/>
        </w:rPr>
      </w:pPr>
    </w:p>
    <w:tbl>
      <w:tblPr>
        <w:tblLayout w:type="fixed"/>
        <w:tblInd w:w="2300" w:type="dxa"/>
        <w:tblCellMar>
          <w:top w:w="0" w:type="dxa"/>
          <w:left w:w="0" w:type="dxa"/>
          <w:bottom w:w="0" w:type="dxa"/>
          <w:right w:w="0" w:type="dxa"/>
        </w:tblCellMar>
      </w:tblPr>
      <w:tr>
        <w:trPr>
          <w:trHeight w:val="161"/>
        </w:trPr>
        <w:tc>
          <w:tcPr>
            <w:tcW w:w="32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2240" w:type="dxa"/>
            <w:vAlign w:val="bottom"/>
            <w:tcBorders>
              <w:bottom w:val="single" w:sz="8" w:color="auto"/>
            </w:tcBorders>
            <w:gridSpan w:val="6"/>
          </w:tcPr>
          <w:p>
            <w:pPr>
              <w:jc w:val="right"/>
              <w:ind w:right="120"/>
              <w:spacing w:after="0"/>
              <w:rPr>
                <w:sz w:val="20"/>
                <w:szCs w:val="20"/>
                <w:color w:val="auto"/>
              </w:rPr>
            </w:pPr>
            <w:r>
              <w:rPr>
                <w:rFonts w:ascii="Arial" w:cs="Arial" w:eastAsia="Arial" w:hAnsi="Arial"/>
                <w:sz w:val="14"/>
                <w:szCs w:val="14"/>
                <w:b w:val="1"/>
                <w:bCs w:val="1"/>
                <w:color w:val="auto"/>
                <w:w w:val="91"/>
              </w:rPr>
              <w:t>Nine Months Ended September 30,</w:t>
            </w:r>
          </w:p>
        </w:tc>
        <w:tc>
          <w:tcPr>
            <w:tcW w:w="12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r>
      <w:tr>
        <w:trPr>
          <w:trHeight w:val="142"/>
        </w:trPr>
        <w:tc>
          <w:tcPr>
            <w:tcW w:w="320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97"/>
              <w:spacing w:after="0" w:line="142" w:lineRule="exact"/>
              <w:rPr>
                <w:sz w:val="20"/>
                <w:szCs w:val="20"/>
                <w:color w:val="auto"/>
              </w:rPr>
            </w:pPr>
            <w:r>
              <w:rPr>
                <w:rFonts w:ascii="Arial" w:cs="Arial" w:eastAsia="Arial" w:hAnsi="Arial"/>
                <w:sz w:val="14"/>
                <w:szCs w:val="14"/>
                <w:b w:val="1"/>
                <w:bCs w:val="1"/>
                <w:color w:val="auto"/>
                <w:w w:val="96"/>
              </w:rPr>
              <w:t>2010</w:t>
            </w:r>
          </w:p>
        </w:tc>
        <w:tc>
          <w:tcPr>
            <w:tcW w:w="160" w:type="dxa"/>
            <w:vAlign w:val="bottom"/>
          </w:tcPr>
          <w:p>
            <w:pPr>
              <w:spacing w:after="0"/>
              <w:rPr>
                <w:sz w:val="12"/>
                <w:szCs w:val="12"/>
                <w:color w:val="auto"/>
              </w:rPr>
            </w:pPr>
          </w:p>
        </w:tc>
        <w:tc>
          <w:tcPr>
            <w:tcW w:w="1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w:t>
            </w:r>
          </w:p>
        </w:tc>
        <w:tc>
          <w:tcPr>
            <w:tcW w:w="560" w:type="dxa"/>
            <w:vAlign w:val="bottom"/>
            <w:tcBorders>
              <w:bottom w:val="single" w:sz="8" w:color="auto"/>
            </w:tcBorders>
          </w:tcPr>
          <w:p>
            <w:pPr>
              <w:ind w:left="20"/>
              <w:spacing w:after="0" w:line="142" w:lineRule="exact"/>
              <w:rPr>
                <w:sz w:val="20"/>
                <w:szCs w:val="20"/>
                <w:color w:val="auto"/>
              </w:rPr>
            </w:pPr>
            <w:r>
              <w:rPr>
                <w:rFonts w:ascii="Arial" w:cs="Arial" w:eastAsia="Arial" w:hAnsi="Arial"/>
                <w:sz w:val="14"/>
                <w:szCs w:val="14"/>
                <w:b w:val="1"/>
                <w:bCs w:val="1"/>
                <w:color w:val="auto"/>
              </w:rPr>
              <w:t>Change</w:t>
            </w:r>
          </w:p>
        </w:tc>
        <w:tc>
          <w:tcPr>
            <w:tcW w:w="160" w:type="dxa"/>
            <w:vAlign w:val="bottom"/>
          </w:tcPr>
          <w:p>
            <w:pPr>
              <w:spacing w:after="0"/>
              <w:rPr>
                <w:sz w:val="12"/>
                <w:szCs w:val="12"/>
                <w:color w:val="auto"/>
              </w:rPr>
            </w:pPr>
          </w:p>
        </w:tc>
        <w:tc>
          <w:tcPr>
            <w:tcW w:w="7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7"/>
              </w:rPr>
              <w:t>% Change</w:t>
            </w:r>
          </w:p>
        </w:tc>
        <w:tc>
          <w:tcPr>
            <w:tcW w:w="46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97"/>
              <w:spacing w:after="0" w:line="142" w:lineRule="exact"/>
              <w:rPr>
                <w:sz w:val="20"/>
                <w:szCs w:val="20"/>
                <w:color w:val="auto"/>
              </w:rPr>
            </w:pPr>
            <w:r>
              <w:rPr>
                <w:rFonts w:ascii="Arial" w:cs="Arial" w:eastAsia="Arial" w:hAnsi="Arial"/>
                <w:sz w:val="14"/>
                <w:szCs w:val="14"/>
                <w:b w:val="1"/>
                <w:bCs w:val="1"/>
                <w:color w:val="auto"/>
                <w:w w:val="96"/>
              </w:rPr>
              <w:t>2009</w:t>
            </w:r>
          </w:p>
        </w:tc>
        <w:tc>
          <w:tcPr>
            <w:tcW w:w="160" w:type="dxa"/>
            <w:vAlign w:val="bottom"/>
          </w:tcPr>
          <w:p>
            <w:pPr>
              <w:spacing w:after="0"/>
              <w:rPr>
                <w:sz w:val="12"/>
                <w:szCs w:val="12"/>
                <w:color w:val="auto"/>
              </w:rPr>
            </w:pPr>
          </w:p>
        </w:tc>
      </w:tr>
      <w:tr>
        <w:trPr>
          <w:trHeight w:val="142"/>
        </w:trPr>
        <w:tc>
          <w:tcPr>
            <w:tcW w:w="3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920" w:type="dxa"/>
            <w:vAlign w:val="bottom"/>
            <w:gridSpan w:val="4"/>
          </w:tcPr>
          <w:p>
            <w:pPr>
              <w:jc w:val="right"/>
              <w:ind w:right="560"/>
              <w:spacing w:after="0" w:line="142" w:lineRule="exact"/>
              <w:rPr>
                <w:sz w:val="20"/>
                <w:szCs w:val="20"/>
                <w:color w:val="auto"/>
              </w:rPr>
            </w:pPr>
            <w:r>
              <w:rPr>
                <w:rFonts w:ascii="Arial" w:cs="Arial" w:eastAsia="Arial" w:hAnsi="Arial"/>
                <w:sz w:val="14"/>
                <w:szCs w:val="14"/>
                <w:b w:val="1"/>
                <w:bCs w:val="1"/>
                <w:color w:val="auto"/>
              </w:rPr>
              <w:t>(Dollars in millions)</w:t>
            </w: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216"/>
        </w:trPr>
        <w:tc>
          <w:tcPr>
            <w:tcW w:w="3200" w:type="dxa"/>
            <w:vAlign w:val="bottom"/>
            <w:shd w:val="clear" w:color="auto" w:fill="CCEEFF"/>
          </w:tcPr>
          <w:p>
            <w:pPr>
              <w:spacing w:after="0"/>
              <w:rPr>
                <w:sz w:val="20"/>
                <w:szCs w:val="20"/>
                <w:color w:val="auto"/>
              </w:rPr>
            </w:pPr>
            <w:r>
              <w:rPr>
                <w:rFonts w:ascii="Arial" w:cs="Arial" w:eastAsia="Arial" w:hAnsi="Arial"/>
                <w:sz w:val="18"/>
                <w:szCs w:val="18"/>
                <w:color w:val="auto"/>
              </w:rPr>
              <w:t>Refinance mortgages</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1,759</w:t>
            </w:r>
          </w:p>
        </w:tc>
        <w:tc>
          <w:tcPr>
            <w:tcW w:w="320" w:type="dxa"/>
            <w:vAlign w:val="bottom"/>
            <w:gridSpan w:val="2"/>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(238)</w:t>
            </w:r>
          </w:p>
        </w:tc>
        <w:tc>
          <w:tcPr>
            <w:tcW w:w="12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(12)%</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1,997</w:t>
            </w:r>
          </w:p>
        </w:tc>
      </w:tr>
      <w:tr>
        <w:trPr>
          <w:trHeight w:val="222"/>
        </w:trPr>
        <w:tc>
          <w:tcPr>
            <w:tcW w:w="3200" w:type="dxa"/>
            <w:vAlign w:val="bottom"/>
          </w:tcPr>
          <w:p>
            <w:pPr>
              <w:spacing w:after="0"/>
              <w:rPr>
                <w:sz w:val="20"/>
                <w:szCs w:val="20"/>
                <w:color w:val="auto"/>
              </w:rPr>
            </w:pPr>
            <w:r>
              <w:rPr>
                <w:rFonts w:ascii="Arial" w:cs="Arial" w:eastAsia="Arial" w:hAnsi="Arial"/>
                <w:sz w:val="18"/>
                <w:szCs w:val="18"/>
                <w:color w:val="auto"/>
              </w:rPr>
              <w:t>Purchase mortgages</w:t>
            </w:r>
          </w:p>
        </w:tc>
        <w:tc>
          <w:tcPr>
            <w:tcW w:w="12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182</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rPr>
              <w:t>(54)</w:t>
            </w:r>
          </w:p>
        </w:tc>
        <w:tc>
          <w:tcPr>
            <w:tcW w:w="1200" w:type="dxa"/>
            <w:vAlign w:val="bottom"/>
            <w:gridSpan w:val="2"/>
          </w:tcPr>
          <w:p>
            <w:pPr>
              <w:jc w:val="right"/>
              <w:ind w:right="240"/>
              <w:spacing w:after="0"/>
              <w:rPr>
                <w:sz w:val="20"/>
                <w:szCs w:val="20"/>
                <w:color w:val="auto"/>
              </w:rPr>
            </w:pPr>
            <w:r>
              <w:rPr>
                <w:rFonts w:ascii="Arial" w:cs="Arial" w:eastAsia="Arial" w:hAnsi="Arial"/>
                <w:sz w:val="18"/>
                <w:szCs w:val="18"/>
                <w:color w:val="auto"/>
              </w:rPr>
              <w:t>(23)%</w:t>
            </w:r>
          </w:p>
        </w:tc>
        <w:tc>
          <w:tcPr>
            <w:tcW w:w="120" w:type="dxa"/>
            <w:vAlign w:val="bottom"/>
          </w:tcPr>
          <w:p>
            <w:pPr>
              <w:spacing w:after="0"/>
              <w:rPr>
                <w:sz w:val="19"/>
                <w:szCs w:val="19"/>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8"/>
                <w:szCs w:val="18"/>
                <w:color w:val="auto"/>
              </w:rPr>
              <w:t>236</w:t>
            </w:r>
          </w:p>
        </w:tc>
      </w:tr>
      <w:tr>
        <w:trPr>
          <w:trHeight w:val="21"/>
        </w:trPr>
        <w:tc>
          <w:tcPr>
            <w:tcW w:w="3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0"/>
        </w:trPr>
        <w:tc>
          <w:tcPr>
            <w:tcW w:w="320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1,941</w:t>
            </w:r>
          </w:p>
        </w:tc>
        <w:tc>
          <w:tcPr>
            <w:tcW w:w="320" w:type="dxa"/>
            <w:vAlign w:val="bottom"/>
            <w:gridSpan w:val="2"/>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(292)</w:t>
            </w:r>
          </w:p>
        </w:tc>
        <w:tc>
          <w:tcPr>
            <w:tcW w:w="12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(13)%</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2,233</w:t>
            </w:r>
          </w:p>
        </w:tc>
      </w:tr>
      <w:tr>
        <w:trPr>
          <w:trHeight w:val="27"/>
        </w:trPr>
        <w:tc>
          <w:tcPr>
            <w:tcW w:w="32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r>
      <w:tr>
        <w:trPr>
          <w:trHeight w:val="20"/>
        </w:trPr>
        <w:tc>
          <w:tcPr>
            <w:tcW w:w="3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8" w:lineRule="exact"/>
        <w:rPr>
          <w:sz w:val="20"/>
          <w:szCs w:val="20"/>
          <w:color w:val="auto"/>
        </w:rPr>
      </w:pPr>
    </w:p>
    <w:p>
      <w:pPr>
        <w:ind w:right="280" w:firstLine="351"/>
        <w:spacing w:after="0" w:line="332" w:lineRule="auto"/>
        <w:rPr>
          <w:sz w:val="20"/>
          <w:szCs w:val="20"/>
          <w:color w:val="auto"/>
        </w:rPr>
      </w:pPr>
      <w:r>
        <w:rPr>
          <w:rFonts w:ascii="Arial" w:cs="Arial" w:eastAsia="Arial" w:hAnsi="Arial"/>
          <w:sz w:val="16"/>
          <w:szCs w:val="16"/>
          <w:color w:val="auto"/>
        </w:rPr>
        <w:t>LendingTree Loans originates mortgage loans on property located throughout the United States. Revenue from loans originated for property in California totaled approximately 12% of Tree.com's consolidated revenue for the nine months ended both September 30, 2010 and 2009.</w:t>
      </w:r>
    </w:p>
    <w:p>
      <w:pPr>
        <w:spacing w:after="0" w:line="139" w:lineRule="exact"/>
        <w:rPr>
          <w:sz w:val="20"/>
          <w:szCs w:val="20"/>
          <w:color w:val="auto"/>
        </w:rPr>
      </w:pPr>
    </w:p>
    <w:p>
      <w:pPr>
        <w:ind w:firstLine="351"/>
        <w:spacing w:after="0" w:line="312" w:lineRule="auto"/>
        <w:rPr>
          <w:sz w:val="20"/>
          <w:szCs w:val="20"/>
          <w:color w:val="auto"/>
        </w:rPr>
      </w:pPr>
      <w:r>
        <w:rPr>
          <w:rFonts w:ascii="Arial" w:cs="Arial" w:eastAsia="Arial" w:hAnsi="Arial"/>
          <w:sz w:val="15"/>
          <w:szCs w:val="15"/>
          <w:color w:val="auto"/>
        </w:rPr>
        <w:t>Revenue from the Exchanges in 2010 decreased for the same period in 2009 due primarily to a reduction in the amount of closings. Overall matched requests through the third quarter of 2010 declined 11% from the same period in 2009, which reflects a decline of 39% in home loan matches and an increase of 90% in matches for the new consumer vertical areas of higher education, home services and insurance. Home loan matches were down because of the expansion of volume taken by LendingTree Loans and many lenders experiencing their own high levels of organic lead volume during this low interest rate environment. Matches in new consumer verticals have grown as a result of both business acquisitions completed in 2009 and increased marketing spending. The overall impact on match fees was an increase of 20%, reflecting a shift in pricing on home loan related matches to increase the average match fee (and decrease the average close loan fee). Also impacting the revenue from closed loan fees was a 33% decline in closed units in the period as a result of the decline in matched loan requests.</w:t>
      </w:r>
    </w:p>
    <w:p>
      <w:pPr>
        <w:spacing w:after="0" w:line="15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dollar value of loans closed by Exchange network lenders is as follows:</w:t>
      </w:r>
    </w:p>
    <w:p>
      <w:pPr>
        <w:spacing w:after="0" w:line="275" w:lineRule="exact"/>
        <w:rPr>
          <w:sz w:val="20"/>
          <w:szCs w:val="20"/>
          <w:color w:val="auto"/>
        </w:rPr>
      </w:pPr>
    </w:p>
    <w:tbl>
      <w:tblPr>
        <w:tblLayout w:type="fixed"/>
        <w:tblInd w:w="2300" w:type="dxa"/>
        <w:tblCellMar>
          <w:top w:w="0" w:type="dxa"/>
          <w:left w:w="0" w:type="dxa"/>
          <w:bottom w:w="0" w:type="dxa"/>
          <w:right w:w="0" w:type="dxa"/>
        </w:tblCellMar>
      </w:tblPr>
      <w:tr>
        <w:trPr>
          <w:trHeight w:val="161"/>
        </w:trPr>
        <w:tc>
          <w:tcPr>
            <w:tcW w:w="32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2240" w:type="dxa"/>
            <w:vAlign w:val="bottom"/>
            <w:tcBorders>
              <w:bottom w:val="single" w:sz="8" w:color="auto"/>
            </w:tcBorders>
            <w:gridSpan w:val="6"/>
          </w:tcPr>
          <w:p>
            <w:pPr>
              <w:jc w:val="right"/>
              <w:ind w:right="120"/>
              <w:spacing w:after="0"/>
              <w:rPr>
                <w:sz w:val="20"/>
                <w:szCs w:val="20"/>
                <w:color w:val="auto"/>
              </w:rPr>
            </w:pPr>
            <w:r>
              <w:rPr>
                <w:rFonts w:ascii="Arial" w:cs="Arial" w:eastAsia="Arial" w:hAnsi="Arial"/>
                <w:sz w:val="14"/>
                <w:szCs w:val="14"/>
                <w:b w:val="1"/>
                <w:bCs w:val="1"/>
                <w:color w:val="auto"/>
                <w:w w:val="91"/>
              </w:rPr>
              <w:t>Nine Months Ended September 30,</w:t>
            </w:r>
          </w:p>
        </w:tc>
        <w:tc>
          <w:tcPr>
            <w:tcW w:w="12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20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96"/>
              <w:spacing w:after="0" w:line="142" w:lineRule="exact"/>
              <w:rPr>
                <w:sz w:val="20"/>
                <w:szCs w:val="20"/>
                <w:color w:val="auto"/>
              </w:rPr>
            </w:pPr>
            <w:r>
              <w:rPr>
                <w:rFonts w:ascii="Arial" w:cs="Arial" w:eastAsia="Arial" w:hAnsi="Arial"/>
                <w:sz w:val="14"/>
                <w:szCs w:val="14"/>
                <w:b w:val="1"/>
                <w:bCs w:val="1"/>
                <w:color w:val="auto"/>
                <w:w w:val="96"/>
              </w:rPr>
              <w:t>2010</w:t>
            </w:r>
          </w:p>
        </w:tc>
        <w:tc>
          <w:tcPr>
            <w:tcW w:w="160" w:type="dxa"/>
            <w:vAlign w:val="bottom"/>
          </w:tcPr>
          <w:p>
            <w:pPr>
              <w:spacing w:after="0"/>
              <w:rPr>
                <w:sz w:val="12"/>
                <w:szCs w:val="12"/>
                <w:color w:val="auto"/>
              </w:rPr>
            </w:pPr>
          </w:p>
        </w:tc>
        <w:tc>
          <w:tcPr>
            <w:tcW w:w="1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w:t>
            </w:r>
          </w:p>
        </w:tc>
        <w:tc>
          <w:tcPr>
            <w:tcW w:w="560" w:type="dxa"/>
            <w:vAlign w:val="bottom"/>
            <w:tcBorders>
              <w:bottom w:val="single" w:sz="8" w:color="auto"/>
            </w:tcBorders>
          </w:tcPr>
          <w:p>
            <w:pPr>
              <w:jc w:val="right"/>
              <w:ind w:right="19"/>
              <w:spacing w:after="0" w:line="142" w:lineRule="exact"/>
              <w:rPr>
                <w:sz w:val="20"/>
                <w:szCs w:val="20"/>
                <w:color w:val="auto"/>
              </w:rPr>
            </w:pPr>
            <w:r>
              <w:rPr>
                <w:rFonts w:ascii="Arial" w:cs="Arial" w:eastAsia="Arial" w:hAnsi="Arial"/>
                <w:sz w:val="14"/>
                <w:szCs w:val="14"/>
                <w:b w:val="1"/>
                <w:bCs w:val="1"/>
                <w:color w:val="auto"/>
                <w:w w:val="85"/>
              </w:rPr>
              <w:t>Change</w:t>
            </w:r>
          </w:p>
        </w:tc>
        <w:tc>
          <w:tcPr>
            <w:tcW w:w="160" w:type="dxa"/>
            <w:vAlign w:val="bottom"/>
          </w:tcPr>
          <w:p>
            <w:pPr>
              <w:spacing w:after="0"/>
              <w:rPr>
                <w:sz w:val="12"/>
                <w:szCs w:val="12"/>
                <w:color w:val="auto"/>
              </w:rPr>
            </w:pPr>
          </w:p>
        </w:tc>
        <w:tc>
          <w:tcPr>
            <w:tcW w:w="7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7"/>
              </w:rPr>
              <w:t>% Change</w:t>
            </w:r>
          </w:p>
        </w:tc>
        <w:tc>
          <w:tcPr>
            <w:tcW w:w="46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96"/>
              <w:spacing w:after="0" w:line="142" w:lineRule="exact"/>
              <w:rPr>
                <w:sz w:val="20"/>
                <w:szCs w:val="20"/>
                <w:color w:val="auto"/>
              </w:rPr>
            </w:pPr>
            <w:r>
              <w:rPr>
                <w:rFonts w:ascii="Arial" w:cs="Arial" w:eastAsia="Arial" w:hAnsi="Arial"/>
                <w:sz w:val="14"/>
                <w:szCs w:val="14"/>
                <w:b w:val="1"/>
                <w:bCs w:val="1"/>
                <w:color w:val="auto"/>
                <w:w w:val="96"/>
              </w:rPr>
              <w:t>2009</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920" w:type="dxa"/>
            <w:vAlign w:val="bottom"/>
            <w:gridSpan w:val="4"/>
          </w:tcPr>
          <w:p>
            <w:pPr>
              <w:jc w:val="right"/>
              <w:ind w:right="560"/>
              <w:spacing w:after="0" w:line="142" w:lineRule="exact"/>
              <w:rPr>
                <w:sz w:val="20"/>
                <w:szCs w:val="20"/>
                <w:color w:val="auto"/>
              </w:rPr>
            </w:pPr>
            <w:r>
              <w:rPr>
                <w:rFonts w:ascii="Arial" w:cs="Arial" w:eastAsia="Arial" w:hAnsi="Arial"/>
                <w:sz w:val="14"/>
                <w:szCs w:val="14"/>
                <w:b w:val="1"/>
                <w:bCs w:val="1"/>
                <w:color w:val="auto"/>
              </w:rPr>
              <w:t>(Dollars in millions)</w:t>
            </w: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3200" w:type="dxa"/>
            <w:vAlign w:val="bottom"/>
            <w:shd w:val="clear" w:color="auto" w:fill="CCEEFF"/>
          </w:tcPr>
          <w:p>
            <w:pPr>
              <w:spacing w:after="0"/>
              <w:rPr>
                <w:sz w:val="20"/>
                <w:szCs w:val="20"/>
                <w:color w:val="auto"/>
              </w:rPr>
            </w:pPr>
            <w:r>
              <w:rPr>
                <w:rFonts w:ascii="Arial" w:cs="Arial" w:eastAsia="Arial" w:hAnsi="Arial"/>
                <w:sz w:val="18"/>
                <w:szCs w:val="18"/>
                <w:color w:val="auto"/>
              </w:rPr>
              <w:t>Refinance mortgages</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2,716</w:t>
            </w:r>
          </w:p>
        </w:tc>
        <w:tc>
          <w:tcPr>
            <w:tcW w:w="320" w:type="dxa"/>
            <w:vAlign w:val="bottom"/>
            <w:gridSpan w:val="2"/>
            <w:shd w:val="clear" w:color="auto" w:fill="CCEEFF"/>
          </w:tcPr>
          <w:p>
            <w:pPr>
              <w:jc w:val="right"/>
              <w:ind w:right="8"/>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(2,164)</w:t>
            </w:r>
          </w:p>
        </w:tc>
        <w:tc>
          <w:tcPr>
            <w:tcW w:w="12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(49)%</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4,880</w:t>
            </w:r>
          </w:p>
        </w:tc>
        <w:tc>
          <w:tcPr>
            <w:tcW w:w="0" w:type="dxa"/>
            <w:vAlign w:val="bottom"/>
          </w:tcPr>
          <w:p>
            <w:pPr>
              <w:spacing w:after="0"/>
              <w:rPr>
                <w:sz w:val="1"/>
                <w:szCs w:val="1"/>
                <w:color w:val="auto"/>
              </w:rPr>
            </w:pPr>
          </w:p>
        </w:tc>
      </w:tr>
      <w:tr>
        <w:trPr>
          <w:trHeight w:val="216"/>
        </w:trPr>
        <w:tc>
          <w:tcPr>
            <w:tcW w:w="3200" w:type="dxa"/>
            <w:vAlign w:val="bottom"/>
          </w:tcPr>
          <w:p>
            <w:pPr>
              <w:spacing w:after="0"/>
              <w:rPr>
                <w:sz w:val="20"/>
                <w:szCs w:val="20"/>
                <w:color w:val="auto"/>
              </w:rPr>
            </w:pPr>
            <w:r>
              <w:rPr>
                <w:rFonts w:ascii="Arial" w:cs="Arial" w:eastAsia="Arial" w:hAnsi="Arial"/>
                <w:sz w:val="18"/>
                <w:szCs w:val="18"/>
                <w:color w:val="auto"/>
              </w:rPr>
              <w:t>Purchase mortgages</w:t>
            </w:r>
          </w:p>
        </w:tc>
        <w:tc>
          <w:tcPr>
            <w:tcW w:w="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1,741</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rPr>
              <w:t>(15)</w:t>
            </w:r>
          </w:p>
        </w:tc>
        <w:tc>
          <w:tcPr>
            <w:tcW w:w="1200" w:type="dxa"/>
            <w:vAlign w:val="bottom"/>
            <w:gridSpan w:val="2"/>
          </w:tcPr>
          <w:p>
            <w:pPr>
              <w:jc w:val="right"/>
              <w:ind w:right="240"/>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18"/>
                <w:szCs w:val="18"/>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8"/>
                <w:szCs w:val="18"/>
                <w:color w:val="auto"/>
              </w:rPr>
              <w:t>1,756</w:t>
            </w:r>
          </w:p>
        </w:tc>
        <w:tc>
          <w:tcPr>
            <w:tcW w:w="0" w:type="dxa"/>
            <w:vAlign w:val="bottom"/>
          </w:tcPr>
          <w:p>
            <w:pPr>
              <w:spacing w:after="0"/>
              <w:rPr>
                <w:sz w:val="1"/>
                <w:szCs w:val="1"/>
                <w:color w:val="auto"/>
              </w:rPr>
            </w:pPr>
          </w:p>
        </w:tc>
      </w:tr>
      <w:tr>
        <w:trPr>
          <w:trHeight w:val="216"/>
        </w:trPr>
        <w:tc>
          <w:tcPr>
            <w:tcW w:w="320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(259)</w:t>
            </w:r>
          </w:p>
        </w:tc>
        <w:tc>
          <w:tcPr>
            <w:tcW w:w="12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(57)%</w:t>
            </w:r>
          </w:p>
        </w:tc>
        <w:tc>
          <w:tcPr>
            <w:tcW w:w="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453</w:t>
            </w:r>
          </w:p>
        </w:tc>
        <w:tc>
          <w:tcPr>
            <w:tcW w:w="0" w:type="dxa"/>
            <w:vAlign w:val="bottom"/>
          </w:tcPr>
          <w:p>
            <w:pPr>
              <w:spacing w:after="0"/>
              <w:rPr>
                <w:sz w:val="1"/>
                <w:szCs w:val="1"/>
                <w:color w:val="auto"/>
              </w:rPr>
            </w:pPr>
          </w:p>
        </w:tc>
      </w:tr>
      <w:tr>
        <w:trPr>
          <w:trHeight w:val="27"/>
        </w:trPr>
        <w:tc>
          <w:tcPr>
            <w:tcW w:w="3200" w:type="dxa"/>
            <w:vAlign w:val="bottom"/>
            <w:vMerge w:val="restart"/>
          </w:tcPr>
          <w:p>
            <w:pPr>
              <w:spacing w:after="0"/>
              <w:rPr>
                <w:sz w:val="20"/>
                <w:szCs w:val="20"/>
                <w:color w:val="auto"/>
              </w:rPr>
            </w:pPr>
            <w:r>
              <w:rPr>
                <w:rFonts w:ascii="Arial" w:cs="Arial" w:eastAsia="Arial" w:hAnsi="Arial"/>
                <w:sz w:val="18"/>
                <w:szCs w:val="18"/>
                <w:color w:val="auto"/>
              </w:rPr>
              <w:t>Total</w:t>
            </w: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320" w:type="dxa"/>
            <w:vAlign w:val="bottom"/>
            <w:gridSpan w:val="2"/>
          </w:tcPr>
          <w:p>
            <w:pPr>
              <w:spacing w:after="0"/>
              <w:rPr>
                <w:sz w:val="2"/>
                <w:szCs w:val="2"/>
                <w:color w:val="auto"/>
              </w:rPr>
            </w:pPr>
          </w:p>
        </w:tc>
        <w:tc>
          <w:tcPr>
            <w:tcW w:w="720" w:type="dxa"/>
            <w:vAlign w:val="bottom"/>
            <w:gridSpan w:val="2"/>
          </w:tcPr>
          <w:p>
            <w:pPr>
              <w:spacing w:after="0"/>
              <w:rPr>
                <w:sz w:val="2"/>
                <w:szCs w:val="2"/>
                <w:color w:val="auto"/>
              </w:rPr>
            </w:pPr>
          </w:p>
        </w:tc>
        <w:tc>
          <w:tcPr>
            <w:tcW w:w="1200" w:type="dxa"/>
            <w:vAlign w:val="bottom"/>
            <w:gridSpan w:val="2"/>
            <w:vMerge w:val="restart"/>
          </w:tcPr>
          <w:p>
            <w:pPr>
              <w:jc w:val="right"/>
              <w:ind w:right="240"/>
              <w:spacing w:after="0"/>
              <w:rPr>
                <w:sz w:val="20"/>
                <w:szCs w:val="20"/>
                <w:color w:val="auto"/>
              </w:rPr>
            </w:pPr>
            <w:r>
              <w:rPr>
                <w:rFonts w:ascii="Arial" w:cs="Arial" w:eastAsia="Arial" w:hAnsi="Arial"/>
                <w:sz w:val="18"/>
                <w:szCs w:val="18"/>
                <w:color w:val="auto"/>
              </w:rPr>
              <w:t>(39)%</w:t>
            </w:r>
          </w:p>
        </w:tc>
        <w:tc>
          <w:tcPr>
            <w:tcW w:w="120" w:type="dxa"/>
            <w:vAlign w:val="bottom"/>
          </w:tcPr>
          <w:p>
            <w:pPr>
              <w:spacing w:after="0"/>
              <w:rPr>
                <w:sz w:val="2"/>
                <w:szCs w:val="2"/>
                <w:color w:val="auto"/>
              </w:rPr>
            </w:pPr>
          </w:p>
        </w:tc>
        <w:tc>
          <w:tcPr>
            <w:tcW w:w="66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3200" w:type="dxa"/>
            <w:vAlign w:val="bottom"/>
            <w:vMerge w:val="continue"/>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4,651</w:t>
            </w:r>
          </w:p>
        </w:tc>
        <w:tc>
          <w:tcPr>
            <w:tcW w:w="160" w:type="dxa"/>
            <w:vAlign w:val="bottom"/>
          </w:tcPr>
          <w:p>
            <w:pPr>
              <w:spacing w:after="0"/>
              <w:rPr>
                <w:sz w:val="18"/>
                <w:szCs w:val="18"/>
                <w:color w:val="auto"/>
              </w:rPr>
            </w:pPr>
          </w:p>
        </w:tc>
        <w:tc>
          <w:tcPr>
            <w:tcW w:w="160" w:type="dxa"/>
            <w:vAlign w:val="bottom"/>
            <w:tcBorders>
              <w:top w:val="single" w:sz="8" w:color="auto"/>
            </w:tcBorders>
          </w:tcPr>
          <w:p>
            <w:pPr>
              <w:jc w:val="right"/>
              <w:ind w:right="8"/>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4"/>
              </w:rPr>
              <w:t>(2,438)</w:t>
            </w:r>
          </w:p>
        </w:tc>
        <w:tc>
          <w:tcPr>
            <w:tcW w:w="160" w:type="dxa"/>
            <w:vAlign w:val="bottom"/>
          </w:tcPr>
          <w:p>
            <w:pPr>
              <w:spacing w:after="0"/>
              <w:rPr>
                <w:sz w:val="18"/>
                <w:szCs w:val="18"/>
                <w:color w:val="auto"/>
              </w:rPr>
            </w:pPr>
          </w:p>
        </w:tc>
        <w:tc>
          <w:tcPr>
            <w:tcW w:w="1200" w:type="dxa"/>
            <w:vAlign w:val="bottom"/>
            <w:gridSpan w:val="2"/>
            <w:vMerge w:val="continue"/>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7,089</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3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3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ind w:right="20" w:firstLine="351"/>
        <w:spacing w:after="0" w:line="256" w:lineRule="auto"/>
        <w:rPr>
          <w:sz w:val="20"/>
          <w:szCs w:val="20"/>
          <w:color w:val="auto"/>
        </w:rPr>
      </w:pPr>
      <w:r>
        <w:rPr>
          <w:rFonts w:ascii="Arial" w:cs="Arial" w:eastAsia="Arial" w:hAnsi="Arial"/>
          <w:sz w:val="18"/>
          <w:szCs w:val="18"/>
          <w:color w:val="auto"/>
        </w:rPr>
        <w:t>Real Estate revenue in 2010 decreased principally due to a decrease in closings due to the persistent negative real estate market conditions contributing to lower home sales prices and fewer real estate transactions overall. In addition, the Company consolidated three office locations in the fourth quarter of 2009, which resulted in lower agent count and transactions in 2010. The dollar value of the Company's real estate closings decreased 47% in 2010, from $944 million in 2009 to $502 million in 2010.</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41" w:name="page42"/>
    <w:bookmarkEnd w:id="4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Cost of revenue</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For the three months ended September 30, 2010 compared to the three months ended September 30, 2009:</w:t>
      </w:r>
    </w:p>
    <w:p>
      <w:pPr>
        <w:spacing w:after="0" w:line="275" w:lineRule="exact"/>
        <w:rPr>
          <w:sz w:val="20"/>
          <w:szCs w:val="20"/>
          <w:color w:val="auto"/>
        </w:rPr>
      </w:pPr>
    </w:p>
    <w:tbl>
      <w:tblPr>
        <w:tblLayout w:type="fixed"/>
        <w:tblInd w:w="2300" w:type="dxa"/>
        <w:tblCellMar>
          <w:top w:w="0" w:type="dxa"/>
          <w:left w:w="0" w:type="dxa"/>
          <w:bottom w:w="0" w:type="dxa"/>
          <w:right w:w="0" w:type="dxa"/>
        </w:tblCellMar>
      </w:tblPr>
      <w:tr>
        <w:trPr>
          <w:trHeight w:val="161"/>
        </w:trPr>
        <w:tc>
          <w:tcPr>
            <w:tcW w:w="31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2100" w:type="dxa"/>
            <w:vAlign w:val="bottom"/>
            <w:tcBorders>
              <w:bottom w:val="single" w:sz="8" w:color="auto"/>
            </w:tcBorders>
            <w:gridSpan w:val="6"/>
          </w:tcPr>
          <w:p>
            <w:pPr>
              <w:jc w:val="right"/>
              <w:ind w:right="20"/>
              <w:spacing w:after="0"/>
              <w:rPr>
                <w:sz w:val="20"/>
                <w:szCs w:val="20"/>
                <w:color w:val="auto"/>
              </w:rPr>
            </w:pPr>
            <w:r>
              <w:rPr>
                <w:rFonts w:ascii="Arial" w:cs="Arial" w:eastAsia="Arial" w:hAnsi="Arial"/>
                <w:sz w:val="14"/>
                <w:szCs w:val="14"/>
                <w:b w:val="1"/>
                <w:bCs w:val="1"/>
                <w:color w:val="auto"/>
                <w:w w:val="86"/>
              </w:rPr>
              <w:t>Three Months Ended September 30,</w:t>
            </w:r>
          </w:p>
        </w:tc>
        <w:tc>
          <w:tcPr>
            <w:tcW w:w="14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jc w:val="right"/>
              <w:ind w:right="135"/>
              <w:spacing w:after="0" w:line="142" w:lineRule="exact"/>
              <w:rPr>
                <w:sz w:val="20"/>
                <w:szCs w:val="20"/>
                <w:color w:val="auto"/>
              </w:rPr>
            </w:pPr>
            <w:r>
              <w:rPr>
                <w:rFonts w:ascii="Arial" w:cs="Arial" w:eastAsia="Arial" w:hAnsi="Arial"/>
                <w:sz w:val="14"/>
                <w:szCs w:val="14"/>
                <w:b w:val="1"/>
                <w:bCs w:val="1"/>
                <w:color w:val="auto"/>
                <w:w w:val="96"/>
              </w:rPr>
              <w:t>2010</w:t>
            </w:r>
          </w:p>
        </w:tc>
        <w:tc>
          <w:tcPr>
            <w:tcW w:w="160" w:type="dxa"/>
            <w:vAlign w:val="bottom"/>
          </w:tcPr>
          <w:p>
            <w:pPr>
              <w:spacing w:after="0"/>
              <w:rPr>
                <w:sz w:val="12"/>
                <w:szCs w:val="12"/>
                <w:color w:val="auto"/>
              </w:rPr>
            </w:pPr>
          </w:p>
        </w:tc>
        <w:tc>
          <w:tcPr>
            <w:tcW w:w="18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w:t>
            </w:r>
          </w:p>
        </w:tc>
        <w:tc>
          <w:tcPr>
            <w:tcW w:w="700" w:type="dxa"/>
            <w:vAlign w:val="bottom"/>
            <w:gridSpan w:val="2"/>
          </w:tcPr>
          <w:p>
            <w:pPr>
              <w:jc w:val="right"/>
              <w:ind w:right="172"/>
              <w:spacing w:after="0" w:line="142" w:lineRule="exact"/>
              <w:rPr>
                <w:sz w:val="20"/>
                <w:szCs w:val="20"/>
                <w:color w:val="auto"/>
              </w:rPr>
            </w:pPr>
            <w:r>
              <w:rPr>
                <w:rFonts w:ascii="Arial" w:cs="Arial" w:eastAsia="Arial" w:hAnsi="Arial"/>
                <w:sz w:val="14"/>
                <w:szCs w:val="14"/>
                <w:b w:val="1"/>
                <w:bCs w:val="1"/>
                <w:color w:val="auto"/>
                <w:w w:val="85"/>
              </w:rPr>
              <w:t>Change</w:t>
            </w:r>
          </w:p>
        </w:tc>
        <w:tc>
          <w:tcPr>
            <w:tcW w:w="1060" w:type="dxa"/>
            <w:vAlign w:val="bottom"/>
            <w:gridSpan w:val="2"/>
          </w:tcPr>
          <w:p>
            <w:pPr>
              <w:jc w:val="right"/>
              <w:ind w:right="380"/>
              <w:spacing w:after="0" w:line="142" w:lineRule="exact"/>
              <w:rPr>
                <w:sz w:val="20"/>
                <w:szCs w:val="20"/>
                <w:color w:val="auto"/>
              </w:rPr>
            </w:pPr>
            <w:r>
              <w:rPr>
                <w:rFonts w:ascii="Arial" w:cs="Arial" w:eastAsia="Arial" w:hAnsi="Arial"/>
                <w:sz w:val="14"/>
                <w:szCs w:val="14"/>
                <w:b w:val="1"/>
                <w:bCs w:val="1"/>
                <w:color w:val="auto"/>
                <w:w w:val="97"/>
              </w:rPr>
              <w:t>% Change</w:t>
            </w:r>
          </w:p>
        </w:tc>
        <w:tc>
          <w:tcPr>
            <w:tcW w:w="140" w:type="dxa"/>
            <w:vAlign w:val="bottom"/>
          </w:tcPr>
          <w:p>
            <w:pPr>
              <w:spacing w:after="0"/>
              <w:rPr>
                <w:sz w:val="12"/>
                <w:szCs w:val="12"/>
                <w:color w:val="auto"/>
              </w:rPr>
            </w:pPr>
          </w:p>
        </w:tc>
        <w:tc>
          <w:tcPr>
            <w:tcW w:w="560" w:type="dxa"/>
            <w:vAlign w:val="bottom"/>
          </w:tcPr>
          <w:p>
            <w:pPr>
              <w:jc w:val="right"/>
              <w:ind w:right="135"/>
              <w:spacing w:after="0" w:line="142" w:lineRule="exact"/>
              <w:rPr>
                <w:sz w:val="20"/>
                <w:szCs w:val="20"/>
                <w:color w:val="auto"/>
              </w:rPr>
            </w:pPr>
            <w:r>
              <w:rPr>
                <w:rFonts w:ascii="Arial" w:cs="Arial" w:eastAsia="Arial" w:hAnsi="Arial"/>
                <w:sz w:val="14"/>
                <w:szCs w:val="14"/>
                <w:b w:val="1"/>
                <w:bCs w:val="1"/>
                <w:color w:val="auto"/>
              </w:rPr>
              <w:t>2009</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18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9"/>
              </w:rPr>
              <w:t>(Dollars</w:t>
            </w:r>
          </w:p>
        </w:tc>
        <w:tc>
          <w:tcPr>
            <w:tcW w:w="160" w:type="dxa"/>
            <w:vAlign w:val="bottom"/>
          </w:tcPr>
          <w:p>
            <w:pPr>
              <w:jc w:val="right"/>
              <w:spacing w:after="0" w:line="142" w:lineRule="exact"/>
              <w:rPr>
                <w:sz w:val="20"/>
                <w:szCs w:val="20"/>
                <w:color w:val="auto"/>
              </w:rPr>
            </w:pPr>
            <w:r>
              <w:rPr>
                <w:rFonts w:ascii="Arial" w:cs="Arial" w:eastAsia="Arial" w:hAnsi="Arial"/>
                <w:sz w:val="14"/>
                <w:szCs w:val="14"/>
                <w:b w:val="1"/>
                <w:bCs w:val="1"/>
                <w:color w:val="auto"/>
                <w:w w:val="96"/>
              </w:rPr>
              <w:t>in</w:t>
            </w:r>
          </w:p>
        </w:tc>
        <w:tc>
          <w:tcPr>
            <w:tcW w:w="760" w:type="dxa"/>
            <w:vAlign w:val="bottom"/>
            <w:tcBorders>
              <w:top w:val="single" w:sz="8" w:color="auto"/>
            </w:tcBorders>
          </w:tcPr>
          <w:p>
            <w:pPr>
              <w:jc w:val="right"/>
              <w:ind w:right="37"/>
              <w:spacing w:after="0" w:line="142" w:lineRule="exact"/>
              <w:rPr>
                <w:sz w:val="20"/>
                <w:szCs w:val="20"/>
                <w:color w:val="auto"/>
              </w:rPr>
            </w:pPr>
            <w:r>
              <w:rPr>
                <w:rFonts w:ascii="Arial" w:cs="Arial" w:eastAsia="Arial" w:hAnsi="Arial"/>
                <w:sz w:val="14"/>
                <w:szCs w:val="14"/>
                <w:b w:val="1"/>
                <w:bCs w:val="1"/>
                <w:color w:val="auto"/>
                <w:w w:val="82"/>
              </w:rPr>
              <w:t>thousands)</w:t>
            </w:r>
          </w:p>
        </w:tc>
        <w:tc>
          <w:tcPr>
            <w:tcW w:w="30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3180" w:type="dxa"/>
            <w:vAlign w:val="bottom"/>
            <w:shd w:val="clear" w:color="auto" w:fill="CCEEFF"/>
          </w:tcPr>
          <w:p>
            <w:pPr>
              <w:spacing w:after="0"/>
              <w:rPr>
                <w:sz w:val="20"/>
                <w:szCs w:val="20"/>
                <w:color w:val="auto"/>
              </w:rPr>
            </w:pPr>
            <w:r>
              <w:rPr>
                <w:rFonts w:ascii="Arial" w:cs="Arial" w:eastAsia="Arial" w:hAnsi="Arial"/>
                <w:sz w:val="18"/>
                <w:szCs w:val="18"/>
                <w:color w:val="auto"/>
              </w:rPr>
              <w:t>LendingTree Loans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ind w:right="92"/>
              <w:spacing w:after="0"/>
              <w:rPr>
                <w:sz w:val="20"/>
                <w:szCs w:val="20"/>
                <w:color w:val="auto"/>
              </w:rPr>
            </w:pPr>
            <w:r>
              <w:rPr>
                <w:rFonts w:ascii="Arial" w:cs="Arial" w:eastAsia="Arial" w:hAnsi="Arial"/>
                <w:sz w:val="18"/>
                <w:szCs w:val="18"/>
                <w:color w:val="auto"/>
                <w:w w:val="94"/>
              </w:rPr>
              <w:t>11,049</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ind w:right="32"/>
              <w:spacing w:after="0"/>
              <w:rPr>
                <w:sz w:val="20"/>
                <w:szCs w:val="20"/>
                <w:color w:val="auto"/>
              </w:rPr>
            </w:pPr>
            <w:r>
              <w:rPr>
                <w:rFonts w:ascii="Arial" w:cs="Arial" w:eastAsia="Arial" w:hAnsi="Arial"/>
                <w:sz w:val="18"/>
                <w:szCs w:val="18"/>
                <w:color w:val="auto"/>
              </w:rPr>
              <w:t>(636)</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8"/>
              </w:rPr>
              <w:t>11,685</w:t>
            </w:r>
          </w:p>
        </w:tc>
        <w:tc>
          <w:tcPr>
            <w:tcW w:w="0" w:type="dxa"/>
            <w:vAlign w:val="bottom"/>
          </w:tcPr>
          <w:p>
            <w:pPr>
              <w:spacing w:after="0"/>
              <w:rPr>
                <w:sz w:val="1"/>
                <w:szCs w:val="1"/>
                <w:color w:val="auto"/>
              </w:rPr>
            </w:pPr>
          </w:p>
        </w:tc>
      </w:tr>
      <w:tr>
        <w:trPr>
          <w:trHeight w:val="216"/>
        </w:trPr>
        <w:tc>
          <w:tcPr>
            <w:tcW w:w="3180" w:type="dxa"/>
            <w:vAlign w:val="bottom"/>
          </w:tcPr>
          <w:p>
            <w:pPr>
              <w:spacing w:after="0"/>
              <w:rPr>
                <w:sz w:val="20"/>
                <w:szCs w:val="20"/>
                <w:color w:val="auto"/>
              </w:rPr>
            </w:pPr>
            <w:r>
              <w:rPr>
                <w:rFonts w:ascii="Arial" w:cs="Arial" w:eastAsia="Arial" w:hAnsi="Arial"/>
                <w:sz w:val="18"/>
                <w:szCs w:val="18"/>
                <w:color w:val="auto"/>
              </w:rPr>
              <w:t>Exchanges</w:t>
            </w:r>
          </w:p>
        </w:tc>
        <w:tc>
          <w:tcPr>
            <w:tcW w:w="160" w:type="dxa"/>
            <w:vAlign w:val="bottom"/>
          </w:tcPr>
          <w:p>
            <w:pPr>
              <w:spacing w:after="0"/>
              <w:rPr>
                <w:sz w:val="18"/>
                <w:szCs w:val="18"/>
                <w:color w:val="auto"/>
              </w:rPr>
            </w:pPr>
          </w:p>
        </w:tc>
        <w:tc>
          <w:tcPr>
            <w:tcW w:w="700" w:type="dxa"/>
            <w:vAlign w:val="bottom"/>
            <w:gridSpan w:val="2"/>
          </w:tcPr>
          <w:p>
            <w:pPr>
              <w:jc w:val="right"/>
              <w:ind w:right="92"/>
              <w:spacing w:after="0"/>
              <w:rPr>
                <w:sz w:val="20"/>
                <w:szCs w:val="20"/>
                <w:color w:val="auto"/>
              </w:rPr>
            </w:pPr>
            <w:r>
              <w:rPr>
                <w:rFonts w:ascii="Arial" w:cs="Arial" w:eastAsia="Arial" w:hAnsi="Arial"/>
                <w:sz w:val="18"/>
                <w:szCs w:val="18"/>
                <w:color w:val="auto"/>
              </w:rPr>
              <w:t>1,312</w:t>
            </w:r>
          </w:p>
        </w:tc>
        <w:tc>
          <w:tcPr>
            <w:tcW w:w="180" w:type="dxa"/>
            <w:vAlign w:val="bottom"/>
          </w:tcPr>
          <w:p>
            <w:pPr>
              <w:spacing w:after="0"/>
              <w:rPr>
                <w:sz w:val="18"/>
                <w:szCs w:val="18"/>
                <w:color w:val="auto"/>
              </w:rPr>
            </w:pPr>
          </w:p>
        </w:tc>
        <w:tc>
          <w:tcPr>
            <w:tcW w:w="700" w:type="dxa"/>
            <w:vAlign w:val="bottom"/>
            <w:gridSpan w:val="2"/>
          </w:tcPr>
          <w:p>
            <w:pPr>
              <w:jc w:val="right"/>
              <w:ind w:right="32"/>
              <w:spacing w:after="0"/>
              <w:rPr>
                <w:sz w:val="20"/>
                <w:szCs w:val="20"/>
                <w:color w:val="auto"/>
              </w:rPr>
            </w:pPr>
            <w:r>
              <w:rPr>
                <w:rFonts w:ascii="Arial" w:cs="Arial" w:eastAsia="Arial" w:hAnsi="Arial"/>
                <w:sz w:val="18"/>
                <w:szCs w:val="18"/>
                <w:color w:val="auto"/>
              </w:rPr>
              <w:t>(97)</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(7)%</w:t>
            </w:r>
          </w:p>
        </w:tc>
        <w:tc>
          <w:tcPr>
            <w:tcW w:w="14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rPr>
              <w:t>1,409</w:t>
            </w:r>
          </w:p>
        </w:tc>
        <w:tc>
          <w:tcPr>
            <w:tcW w:w="0" w:type="dxa"/>
            <w:vAlign w:val="bottom"/>
          </w:tcPr>
          <w:p>
            <w:pPr>
              <w:spacing w:after="0"/>
              <w:rPr>
                <w:sz w:val="1"/>
                <w:szCs w:val="1"/>
                <w:color w:val="auto"/>
              </w:rPr>
            </w:pPr>
          </w:p>
        </w:tc>
      </w:tr>
      <w:tr>
        <w:trPr>
          <w:trHeight w:val="216"/>
        </w:trPr>
        <w:tc>
          <w:tcPr>
            <w:tcW w:w="3180" w:type="dxa"/>
            <w:vAlign w:val="bottom"/>
            <w:shd w:val="clear" w:color="auto" w:fill="CCEEFF"/>
          </w:tcPr>
          <w:p>
            <w:pPr>
              <w:spacing w:after="0"/>
              <w:rPr>
                <w:sz w:val="20"/>
                <w:szCs w:val="20"/>
                <w:color w:val="auto"/>
              </w:rPr>
            </w:pPr>
            <w:r>
              <w:rPr>
                <w:rFonts w:ascii="Arial" w:cs="Arial" w:eastAsia="Arial" w:hAnsi="Arial"/>
                <w:sz w:val="18"/>
                <w:szCs w:val="18"/>
                <w:color w:val="auto"/>
              </w:rPr>
              <w:t>Real Estate</w:t>
            </w: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92"/>
              <w:spacing w:after="0"/>
              <w:rPr>
                <w:sz w:val="20"/>
                <w:szCs w:val="20"/>
                <w:color w:val="auto"/>
              </w:rPr>
            </w:pPr>
            <w:r>
              <w:rPr>
                <w:rFonts w:ascii="Arial" w:cs="Arial" w:eastAsia="Arial" w:hAnsi="Arial"/>
                <w:sz w:val="18"/>
                <w:szCs w:val="18"/>
                <w:color w:val="auto"/>
              </w:rPr>
              <w:t>2,074</w:t>
            </w:r>
          </w:p>
        </w:tc>
        <w:tc>
          <w:tcPr>
            <w:tcW w:w="1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32"/>
              <w:spacing w:after="0"/>
              <w:rPr>
                <w:sz w:val="20"/>
                <w:szCs w:val="20"/>
                <w:color w:val="auto"/>
              </w:rPr>
            </w:pPr>
            <w:r>
              <w:rPr>
                <w:rFonts w:ascii="Arial" w:cs="Arial" w:eastAsia="Arial" w:hAnsi="Arial"/>
                <w:sz w:val="18"/>
                <w:szCs w:val="18"/>
                <w:color w:val="auto"/>
              </w:rPr>
              <w:t>(2,982)</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(59)%</w:t>
            </w: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5,056</w:t>
            </w:r>
          </w:p>
        </w:tc>
        <w:tc>
          <w:tcPr>
            <w:tcW w:w="0" w:type="dxa"/>
            <w:vAlign w:val="bottom"/>
          </w:tcPr>
          <w:p>
            <w:pPr>
              <w:spacing w:after="0"/>
              <w:rPr>
                <w:sz w:val="1"/>
                <w:szCs w:val="1"/>
                <w:color w:val="auto"/>
              </w:rPr>
            </w:pPr>
          </w:p>
        </w:tc>
      </w:tr>
      <w:tr>
        <w:trPr>
          <w:trHeight w:val="222"/>
        </w:trPr>
        <w:tc>
          <w:tcPr>
            <w:tcW w:w="3180" w:type="dxa"/>
            <w:vAlign w:val="bottom"/>
          </w:tcPr>
          <w:p>
            <w:pPr>
              <w:spacing w:after="0"/>
              <w:rPr>
                <w:sz w:val="20"/>
                <w:szCs w:val="20"/>
                <w:color w:val="auto"/>
              </w:rPr>
            </w:pPr>
            <w:r>
              <w:rPr>
                <w:rFonts w:ascii="Arial" w:cs="Arial" w:eastAsia="Arial" w:hAnsi="Arial"/>
                <w:sz w:val="18"/>
                <w:szCs w:val="18"/>
                <w:color w:val="auto"/>
              </w:rPr>
              <w:t>Unallocated—corporate</w:t>
            </w:r>
          </w:p>
        </w:tc>
        <w:tc>
          <w:tcPr>
            <w:tcW w:w="160" w:type="dxa"/>
            <w:vAlign w:val="bottom"/>
          </w:tcPr>
          <w:p>
            <w:pPr>
              <w:spacing w:after="0"/>
              <w:rPr>
                <w:sz w:val="19"/>
                <w:szCs w:val="19"/>
                <w:color w:val="auto"/>
              </w:rPr>
            </w:pPr>
          </w:p>
        </w:tc>
        <w:tc>
          <w:tcPr>
            <w:tcW w:w="700" w:type="dxa"/>
            <w:vAlign w:val="bottom"/>
            <w:gridSpan w:val="2"/>
          </w:tcPr>
          <w:p>
            <w:pPr>
              <w:jc w:val="right"/>
              <w:ind w:right="92"/>
              <w:spacing w:after="0"/>
              <w:rPr>
                <w:sz w:val="20"/>
                <w:szCs w:val="20"/>
                <w:color w:val="auto"/>
              </w:rPr>
            </w:pPr>
            <w:r>
              <w:rPr>
                <w:rFonts w:ascii="Arial" w:cs="Arial" w:eastAsia="Arial" w:hAnsi="Arial"/>
                <w:sz w:val="18"/>
                <w:szCs w:val="18"/>
                <w:color w:val="auto"/>
              </w:rPr>
              <w:t>34</w:t>
            </w:r>
          </w:p>
        </w:tc>
        <w:tc>
          <w:tcPr>
            <w:tcW w:w="180" w:type="dxa"/>
            <w:vAlign w:val="bottom"/>
          </w:tcPr>
          <w:p>
            <w:pPr>
              <w:spacing w:after="0"/>
              <w:rPr>
                <w:sz w:val="19"/>
                <w:szCs w:val="19"/>
                <w:color w:val="auto"/>
              </w:rPr>
            </w:pPr>
          </w:p>
        </w:tc>
        <w:tc>
          <w:tcPr>
            <w:tcW w:w="700" w:type="dxa"/>
            <w:vAlign w:val="bottom"/>
            <w:gridSpan w:val="2"/>
          </w:tcPr>
          <w:p>
            <w:pPr>
              <w:jc w:val="right"/>
              <w:ind w:right="32"/>
              <w:spacing w:after="0"/>
              <w:rPr>
                <w:sz w:val="20"/>
                <w:szCs w:val="20"/>
                <w:color w:val="auto"/>
              </w:rPr>
            </w:pPr>
            <w:r>
              <w:rPr>
                <w:rFonts w:ascii="Arial" w:cs="Arial" w:eastAsia="Arial" w:hAnsi="Arial"/>
                <w:sz w:val="18"/>
                <w:szCs w:val="18"/>
                <w:color w:val="auto"/>
              </w:rPr>
              <w:t>(506)</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(97)%</w:t>
            </w:r>
          </w:p>
        </w:tc>
        <w:tc>
          <w:tcPr>
            <w:tcW w:w="140" w:type="dxa"/>
            <w:vAlign w:val="bottom"/>
          </w:tcPr>
          <w:p>
            <w:pPr>
              <w:spacing w:after="0"/>
              <w:rPr>
                <w:sz w:val="19"/>
                <w:szCs w:val="19"/>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rPr>
              <w:t>540</w:t>
            </w:r>
          </w:p>
        </w:tc>
        <w:tc>
          <w:tcPr>
            <w:tcW w:w="0" w:type="dxa"/>
            <w:vAlign w:val="bottom"/>
          </w:tcPr>
          <w:p>
            <w:pPr>
              <w:spacing w:after="0"/>
              <w:rPr>
                <w:sz w:val="1"/>
                <w:szCs w:val="1"/>
                <w:color w:val="auto"/>
              </w:rPr>
            </w:pPr>
          </w:p>
        </w:tc>
      </w:tr>
      <w:tr>
        <w:trPr>
          <w:trHeight w:val="21"/>
        </w:trPr>
        <w:tc>
          <w:tcPr>
            <w:tcW w:w="3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3180" w:type="dxa"/>
            <w:vAlign w:val="bottom"/>
            <w:shd w:val="clear" w:color="auto" w:fill="CCEEFF"/>
          </w:tcPr>
          <w:p>
            <w:pPr>
              <w:spacing w:after="0"/>
              <w:rPr>
                <w:sz w:val="20"/>
                <w:szCs w:val="20"/>
                <w:color w:val="auto"/>
              </w:rPr>
            </w:pPr>
            <w:r>
              <w:rPr>
                <w:rFonts w:ascii="Arial" w:cs="Arial" w:eastAsia="Arial" w:hAnsi="Arial"/>
                <w:sz w:val="18"/>
                <w:szCs w:val="18"/>
                <w:color w:val="auto"/>
              </w:rPr>
              <w:t>Cost of revenue</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ind w:right="92"/>
              <w:spacing w:after="0"/>
              <w:rPr>
                <w:sz w:val="20"/>
                <w:szCs w:val="20"/>
                <w:color w:val="auto"/>
              </w:rPr>
            </w:pPr>
            <w:r>
              <w:rPr>
                <w:rFonts w:ascii="Arial" w:cs="Arial" w:eastAsia="Arial" w:hAnsi="Arial"/>
                <w:sz w:val="18"/>
                <w:szCs w:val="18"/>
                <w:color w:val="auto"/>
                <w:w w:val="94"/>
              </w:rPr>
              <w:t>14,469</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ind w:right="32"/>
              <w:spacing w:after="0"/>
              <w:rPr>
                <w:sz w:val="20"/>
                <w:szCs w:val="20"/>
                <w:color w:val="auto"/>
              </w:rPr>
            </w:pPr>
            <w:r>
              <w:rPr>
                <w:rFonts w:ascii="Arial" w:cs="Arial" w:eastAsia="Arial" w:hAnsi="Arial"/>
                <w:sz w:val="18"/>
                <w:szCs w:val="18"/>
                <w:color w:val="auto"/>
              </w:rPr>
              <w:t>(4,221)</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8"/>
              </w:rPr>
              <w:t>18,690</w:t>
            </w:r>
          </w:p>
        </w:tc>
        <w:tc>
          <w:tcPr>
            <w:tcW w:w="0" w:type="dxa"/>
            <w:vAlign w:val="bottom"/>
          </w:tcPr>
          <w:p>
            <w:pPr>
              <w:spacing w:after="0"/>
              <w:rPr>
                <w:sz w:val="1"/>
                <w:szCs w:val="1"/>
                <w:color w:val="auto"/>
              </w:rPr>
            </w:pPr>
          </w:p>
        </w:tc>
      </w:tr>
      <w:tr>
        <w:trPr>
          <w:trHeight w:val="27"/>
        </w:trPr>
        <w:tc>
          <w:tcPr>
            <w:tcW w:w="3180" w:type="dxa"/>
            <w:vAlign w:val="bottom"/>
            <w:vMerge w:val="restart"/>
          </w:tcPr>
          <w:p>
            <w:pPr>
              <w:spacing w:after="0"/>
              <w:rPr>
                <w:sz w:val="20"/>
                <w:szCs w:val="20"/>
                <w:color w:val="auto"/>
              </w:rPr>
            </w:pPr>
            <w:r>
              <w:rPr>
                <w:rFonts w:ascii="Arial" w:cs="Arial" w:eastAsia="Arial" w:hAnsi="Arial"/>
                <w:sz w:val="18"/>
                <w:szCs w:val="18"/>
                <w:color w:val="auto"/>
              </w:rPr>
              <w:t>As a percentage of total revenue</w:t>
            </w:r>
          </w:p>
        </w:tc>
        <w:tc>
          <w:tcPr>
            <w:tcW w:w="1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gridSpan w:val="2"/>
            <w:vMerge w:val="restart"/>
          </w:tcPr>
          <w:p>
            <w:pPr>
              <w:jc w:val="right"/>
              <w:ind w:right="100"/>
              <w:spacing w:after="0"/>
              <w:rPr>
                <w:sz w:val="20"/>
                <w:szCs w:val="20"/>
                <w:color w:val="auto"/>
              </w:rPr>
            </w:pPr>
            <w:r>
              <w:rPr>
                <w:rFonts w:ascii="Arial" w:cs="Arial" w:eastAsia="Arial" w:hAnsi="Arial"/>
                <w:sz w:val="18"/>
                <w:szCs w:val="18"/>
                <w:color w:val="auto"/>
              </w:rPr>
              <w:t>(10)%</w:t>
            </w:r>
          </w:p>
        </w:tc>
        <w:tc>
          <w:tcPr>
            <w:tcW w:w="1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3180" w:type="dxa"/>
            <w:vAlign w:val="bottom"/>
            <w:vMerge w:val="continue"/>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60" w:type="dxa"/>
            <w:vAlign w:val="bottom"/>
            <w:gridSpan w:val="2"/>
            <w:vMerge w:val="continue"/>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3180" w:type="dxa"/>
            <w:vAlign w:val="bottom"/>
            <w:vMerge w:val="continue"/>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gridSpan w:val="2"/>
          </w:tcPr>
          <w:p>
            <w:pPr>
              <w:jc w:val="right"/>
              <w:spacing w:after="0" w:line="203" w:lineRule="exact"/>
              <w:rPr>
                <w:sz w:val="20"/>
                <w:szCs w:val="20"/>
                <w:color w:val="auto"/>
              </w:rPr>
            </w:pPr>
            <w:r>
              <w:rPr>
                <w:rFonts w:ascii="Arial" w:cs="Arial" w:eastAsia="Arial" w:hAnsi="Arial"/>
                <w:sz w:val="18"/>
                <w:szCs w:val="18"/>
                <w:color w:val="auto"/>
              </w:rPr>
              <w:t>27%</w:t>
            </w:r>
          </w:p>
        </w:tc>
        <w:tc>
          <w:tcPr>
            <w:tcW w:w="1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gridSpan w:val="2"/>
            <w:vMerge w:val="continue"/>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gridSpan w:val="2"/>
          </w:tcPr>
          <w:p>
            <w:pPr>
              <w:jc w:val="right"/>
              <w:ind w:right="20"/>
              <w:spacing w:after="0" w:line="203" w:lineRule="exact"/>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tbl>
      <w:tblPr>
        <w:tblLayout w:type="fixed"/>
        <w:tblInd w:w="23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3160" w:type="dxa"/>
            <w:vAlign w:val="bottom"/>
          </w:tcPr>
          <w:p>
            <w:pPr>
              <w:spacing w:after="0"/>
              <w:rPr>
                <w:sz w:val="14"/>
                <w:szCs w:val="14"/>
                <w:color w:val="auto"/>
              </w:rPr>
            </w:pPr>
          </w:p>
        </w:tc>
        <w:tc>
          <w:tcPr>
            <w:tcW w:w="1360" w:type="dxa"/>
            <w:vAlign w:val="bottom"/>
            <w:gridSpan w:val="4"/>
          </w:tcPr>
          <w:p>
            <w:pPr>
              <w:jc w:val="center"/>
              <w:ind w:right="140"/>
              <w:spacing w:after="0"/>
              <w:rPr>
                <w:sz w:val="20"/>
                <w:szCs w:val="20"/>
                <w:color w:val="auto"/>
              </w:rPr>
            </w:pPr>
            <w:r>
              <w:rPr>
                <w:rFonts w:ascii="Arial" w:cs="Arial" w:eastAsia="Arial" w:hAnsi="Arial"/>
                <w:sz w:val="14"/>
                <w:szCs w:val="14"/>
                <w:b w:val="1"/>
                <w:bCs w:val="1"/>
                <w:color w:val="auto"/>
                <w:w w:val="89"/>
              </w:rPr>
              <w:t>Three Months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300" w:type="dxa"/>
            <w:vAlign w:val="bottom"/>
          </w:tcPr>
          <w:p>
            <w:pPr>
              <w:spacing w:after="0"/>
              <w:rPr>
                <w:sz w:val="12"/>
                <w:szCs w:val="12"/>
                <w:color w:val="auto"/>
              </w:rPr>
            </w:pPr>
          </w:p>
        </w:tc>
        <w:tc>
          <w:tcPr>
            <w:tcW w:w="3160" w:type="dxa"/>
            <w:vAlign w:val="bottom"/>
          </w:tcPr>
          <w:p>
            <w:pPr>
              <w:spacing w:after="0"/>
              <w:rPr>
                <w:sz w:val="12"/>
                <w:szCs w:val="12"/>
                <w:color w:val="auto"/>
              </w:rPr>
            </w:pPr>
          </w:p>
        </w:tc>
        <w:tc>
          <w:tcPr>
            <w:tcW w:w="820" w:type="dxa"/>
            <w:vAlign w:val="bottom"/>
            <w:gridSpan w:val="2"/>
          </w:tcPr>
          <w:p>
            <w:pPr>
              <w:jc w:val="center"/>
              <w:ind w:left="302"/>
              <w:spacing w:after="0" w:line="149" w:lineRule="exact"/>
              <w:rPr>
                <w:sz w:val="20"/>
                <w:szCs w:val="20"/>
                <w:color w:val="auto"/>
              </w:rPr>
            </w:pPr>
            <w:r>
              <w:rPr>
                <w:rFonts w:ascii="Arial" w:cs="Arial" w:eastAsia="Arial" w:hAnsi="Arial"/>
                <w:sz w:val="14"/>
                <w:szCs w:val="14"/>
                <w:b w:val="1"/>
                <w:bCs w:val="1"/>
                <w:color w:val="auto"/>
                <w:w w:val="84"/>
              </w:rPr>
              <w:t>Ended</w:t>
            </w:r>
          </w:p>
        </w:tc>
        <w:tc>
          <w:tcPr>
            <w:tcW w:w="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54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As a Percentage of Segment Revenue</w:t>
            </w:r>
          </w:p>
        </w:tc>
        <w:tc>
          <w:tcPr>
            <w:tcW w:w="1360" w:type="dxa"/>
            <w:vAlign w:val="bottom"/>
            <w:gridSpan w:val="4"/>
          </w:tcPr>
          <w:p>
            <w:pPr>
              <w:jc w:val="center"/>
              <w:ind w:right="140"/>
              <w:spacing w:after="0"/>
              <w:rPr>
                <w:sz w:val="20"/>
                <w:szCs w:val="20"/>
                <w:color w:val="auto"/>
              </w:rPr>
            </w:pPr>
            <w:r>
              <w:rPr>
                <w:rFonts w:ascii="Arial" w:cs="Arial" w:eastAsia="Arial" w:hAnsi="Arial"/>
                <w:sz w:val="14"/>
                <w:szCs w:val="14"/>
                <w:b w:val="1"/>
                <w:bCs w:val="1"/>
                <w:color w:val="auto"/>
                <w:w w:val="85"/>
              </w:rPr>
              <w:t>September 30,</w:t>
            </w:r>
          </w:p>
        </w:tc>
        <w:tc>
          <w:tcPr>
            <w:tcW w:w="0" w:type="dxa"/>
            <w:vAlign w:val="bottom"/>
          </w:tcPr>
          <w:p>
            <w:pPr>
              <w:spacing w:after="0"/>
              <w:rPr>
                <w:sz w:val="1"/>
                <w:szCs w:val="1"/>
                <w:color w:val="auto"/>
              </w:rPr>
            </w:pPr>
          </w:p>
        </w:tc>
      </w:tr>
      <w:tr>
        <w:trPr>
          <w:trHeight w:val="142"/>
        </w:trPr>
        <w:tc>
          <w:tcPr>
            <w:tcW w:w="5480" w:type="dxa"/>
            <w:vAlign w:val="bottom"/>
            <w:gridSpan w:val="3"/>
            <w:vMerge w:val="continue"/>
          </w:tcPr>
          <w:p>
            <w:pPr>
              <w:spacing w:after="0"/>
              <w:rPr>
                <w:sz w:val="12"/>
                <w:szCs w:val="12"/>
                <w:color w:val="auto"/>
              </w:rPr>
            </w:pPr>
          </w:p>
        </w:tc>
        <w:tc>
          <w:tcPr>
            <w:tcW w:w="440" w:type="dxa"/>
            <w:vAlign w:val="bottom"/>
            <w:tcBorders>
              <w:top w:val="single" w:sz="8" w:color="auto"/>
            </w:tcBorders>
          </w:tcPr>
          <w:p>
            <w:pPr>
              <w:jc w:val="right"/>
              <w:ind w:right="2"/>
              <w:spacing w:after="0" w:line="142" w:lineRule="exact"/>
              <w:rPr>
                <w:sz w:val="20"/>
                <w:szCs w:val="20"/>
                <w:color w:val="auto"/>
              </w:rPr>
            </w:pPr>
            <w:r>
              <w:rPr>
                <w:rFonts w:ascii="Arial" w:cs="Arial" w:eastAsia="Arial" w:hAnsi="Arial"/>
                <w:sz w:val="14"/>
                <w:szCs w:val="14"/>
                <w:b w:val="1"/>
                <w:bCs w:val="1"/>
                <w:color w:val="auto"/>
              </w:rPr>
              <w:t>2010</w:t>
            </w:r>
          </w:p>
        </w:tc>
        <w:tc>
          <w:tcPr>
            <w:tcW w:w="380" w:type="dxa"/>
            <w:vAlign w:val="bottom"/>
            <w:tcBorders>
              <w:top w:val="single" w:sz="8" w:color="auto"/>
            </w:tcBorders>
          </w:tcPr>
          <w:p>
            <w:pPr>
              <w:spacing w:after="0"/>
              <w:rPr>
                <w:sz w:val="12"/>
                <w:szCs w:val="12"/>
                <w:color w:val="auto"/>
              </w:rPr>
            </w:pPr>
          </w:p>
        </w:tc>
        <w:tc>
          <w:tcPr>
            <w:tcW w:w="38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9"/>
              </w:rPr>
              <w:t>2009</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2300" w:type="dxa"/>
            <w:vAlign w:val="bottom"/>
            <w:shd w:val="clear" w:color="auto" w:fill="000000"/>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380" w:type="dxa"/>
            <w:vAlign w:val="bottom"/>
            <w:tcBorders>
              <w:right w:val="single" w:sz="8" w:color="auto"/>
            </w:tcBorders>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2300" w:type="dxa"/>
            <w:vAlign w:val="bottom"/>
            <w:shd w:val="clear" w:color="auto" w:fill="CCEEFF"/>
          </w:tcPr>
          <w:p>
            <w:pPr>
              <w:spacing w:after="0"/>
              <w:rPr>
                <w:sz w:val="20"/>
                <w:szCs w:val="20"/>
                <w:color w:val="auto"/>
              </w:rPr>
            </w:pPr>
            <w:r>
              <w:rPr>
                <w:rFonts w:ascii="Arial" w:cs="Arial" w:eastAsia="Arial" w:hAnsi="Arial"/>
                <w:sz w:val="18"/>
                <w:szCs w:val="18"/>
                <w:color w:val="auto"/>
              </w:rPr>
              <w:t>LendingTree Loans</w:t>
            </w:r>
          </w:p>
        </w:tc>
        <w:tc>
          <w:tcPr>
            <w:tcW w:w="3160" w:type="dxa"/>
            <w:vAlign w:val="bottom"/>
            <w:shd w:val="clear" w:color="auto" w:fill="CCEEFF"/>
          </w:tcPr>
          <w:p>
            <w:pPr>
              <w:spacing w:after="0"/>
              <w:rPr>
                <w:sz w:val="18"/>
                <w:szCs w:val="18"/>
                <w:color w:val="auto"/>
              </w:rPr>
            </w:pPr>
          </w:p>
        </w:tc>
        <w:tc>
          <w:tcPr>
            <w:tcW w:w="820" w:type="dxa"/>
            <w:vAlign w:val="bottom"/>
            <w:tcBorders>
              <w:right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32%</w:t>
            </w: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gridSpan w:val="2"/>
          </w:tcPr>
          <w:p>
            <w:pPr>
              <w:spacing w:after="0"/>
              <w:rPr>
                <w:sz w:val="20"/>
                <w:szCs w:val="20"/>
                <w:color w:val="auto"/>
              </w:rPr>
            </w:pPr>
            <w:r>
              <w:rPr>
                <w:rFonts w:ascii="Arial" w:cs="Arial" w:eastAsia="Arial" w:hAnsi="Arial"/>
                <w:sz w:val="18"/>
                <w:szCs w:val="18"/>
                <w:color w:val="auto"/>
              </w:rPr>
              <w:t>Exchanges</w:t>
            </w:r>
          </w:p>
        </w:tc>
        <w:tc>
          <w:tcPr>
            <w:tcW w:w="820" w:type="dxa"/>
            <w:vAlign w:val="bottom"/>
            <w:gridSpan w:val="2"/>
          </w:tcPr>
          <w:p>
            <w:pPr>
              <w:jc w:val="right"/>
              <w:ind w:right="240"/>
              <w:spacing w:after="0"/>
              <w:rPr>
                <w:sz w:val="20"/>
                <w:szCs w:val="20"/>
                <w:color w:val="auto"/>
              </w:rPr>
            </w:pPr>
            <w:r>
              <w:rPr>
                <w:rFonts w:ascii="Arial" w:cs="Arial" w:eastAsia="Arial" w:hAnsi="Arial"/>
                <w:sz w:val="18"/>
                <w:szCs w:val="18"/>
                <w:color w:val="auto"/>
              </w:rPr>
              <w:t>9%</w:t>
            </w:r>
          </w:p>
        </w:tc>
        <w:tc>
          <w:tcPr>
            <w:tcW w:w="540" w:type="dxa"/>
            <w:vAlign w:val="bottom"/>
            <w:gridSpan w:val="2"/>
          </w:tcPr>
          <w:p>
            <w:pPr>
              <w:jc w:val="right"/>
              <w:ind w:right="2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Real Estate</w:t>
            </w:r>
          </w:p>
        </w:tc>
        <w:tc>
          <w:tcPr>
            <w:tcW w:w="820" w:type="dxa"/>
            <w:vAlign w:val="bottom"/>
            <w:tcBorders>
              <w:right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65%</w:t>
            </w: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460" w:type="dxa"/>
            <w:vAlign w:val="bottom"/>
            <w:gridSpan w:val="2"/>
          </w:tcPr>
          <w:p>
            <w:pPr>
              <w:spacing w:after="0"/>
              <w:rPr>
                <w:sz w:val="20"/>
                <w:szCs w:val="20"/>
                <w:color w:val="auto"/>
              </w:rPr>
            </w:pPr>
            <w:r>
              <w:rPr>
                <w:rFonts w:ascii="Arial" w:cs="Arial" w:eastAsia="Arial" w:hAnsi="Arial"/>
                <w:sz w:val="18"/>
                <w:szCs w:val="18"/>
                <w:color w:val="auto"/>
              </w:rPr>
              <w:t>Unallocated—corporate, as a percentage of total revenue</w:t>
            </w:r>
          </w:p>
        </w:tc>
        <w:tc>
          <w:tcPr>
            <w:tcW w:w="8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540" w:type="dxa"/>
            <w:vAlign w:val="bottom"/>
            <w:gridSpan w:val="2"/>
          </w:tcPr>
          <w:p>
            <w:pPr>
              <w:jc w:val="right"/>
              <w:ind w:right="2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bl>
    <w:p>
      <w:pPr>
        <w:spacing w:after="0" w:line="201" w:lineRule="exact"/>
        <w:rPr>
          <w:sz w:val="20"/>
          <w:szCs w:val="20"/>
          <w:color w:val="auto"/>
        </w:rPr>
      </w:pPr>
    </w:p>
    <w:p>
      <w:pPr>
        <w:ind w:right="280" w:firstLine="351"/>
        <w:spacing w:after="0" w:line="259" w:lineRule="auto"/>
        <w:rPr>
          <w:sz w:val="20"/>
          <w:szCs w:val="20"/>
          <w:color w:val="auto"/>
        </w:rPr>
      </w:pPr>
      <w:r>
        <w:rPr>
          <w:rFonts w:ascii="Arial" w:cs="Arial" w:eastAsia="Arial" w:hAnsi="Arial"/>
          <w:sz w:val="18"/>
          <w:szCs w:val="18"/>
          <w:color w:val="auto"/>
        </w:rPr>
        <w:t>Cost of revenue consists primarily of costs associated with loan originations, compensation and other employee related costs (including stock-based compensation) related to customer call centers, real estate network support staff and loan officers, as well as credit scoring fees, consumer incentive costs, real estate agent commissions and website network hosting and server fees.</w:t>
      </w:r>
    </w:p>
    <w:p>
      <w:pPr>
        <w:spacing w:after="0" w:line="194" w:lineRule="exact"/>
        <w:rPr>
          <w:sz w:val="20"/>
          <w:szCs w:val="20"/>
          <w:color w:val="auto"/>
        </w:rPr>
      </w:pPr>
    </w:p>
    <w:p>
      <w:pPr>
        <w:ind w:firstLine="351"/>
        <w:spacing w:after="0" w:line="291" w:lineRule="auto"/>
        <w:rPr>
          <w:sz w:val="20"/>
          <w:szCs w:val="20"/>
          <w:color w:val="auto"/>
        </w:rPr>
      </w:pPr>
      <w:r>
        <w:rPr>
          <w:rFonts w:ascii="Arial" w:cs="Arial" w:eastAsia="Arial" w:hAnsi="Arial"/>
          <w:sz w:val="16"/>
          <w:szCs w:val="16"/>
          <w:color w:val="auto"/>
        </w:rPr>
        <w:t>Cost of revenue in 2010 decreased from 2009 primarily due to decreases of $1.5 million in costs associated with loan originations at LendingTree Loans, $0.6 million in consumer incentive rebates related to decreased closings at the Exchanges and in Real Estate, and $2.7 million in commissions paid to real estate agents as a result of decreased closings, offset by an increase of $1.0 million in compensation costs at LendingTree Loans. The decreases in the cost of loan originations are primarily due to a change in the fee structure in October 2009 whereby the origination fee charged to the borrower was reduced and no longer covered certain origination costs that were previously paid and recorded as expense by LendingTree Loans. Under the current fee structure, these origination costs are passed through to the borrower directly.</w:t>
      </w:r>
    </w:p>
    <w:p>
      <w:pPr>
        <w:spacing w:after="0" w:line="174"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For the nine months ended September 30, 2010 compared to the nine months ended September 30, 2009:</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300" w:type="dxa"/>
            <w:vAlign w:val="bottom"/>
          </w:tcPr>
          <w:p>
            <w:pPr>
              <w:spacing w:after="0"/>
              <w:rPr>
                <w:sz w:val="14"/>
                <w:szCs w:val="14"/>
                <w:color w:val="auto"/>
              </w:rPr>
            </w:pPr>
          </w:p>
        </w:tc>
        <w:tc>
          <w:tcPr>
            <w:tcW w:w="31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2160" w:type="dxa"/>
            <w:vAlign w:val="bottom"/>
            <w:tcBorders>
              <w:bottom w:val="single" w:sz="8" w:color="auto"/>
            </w:tcBorders>
            <w:gridSpan w:val="6"/>
          </w:tcPr>
          <w:p>
            <w:pPr>
              <w:jc w:val="right"/>
              <w:ind w:right="80"/>
              <w:spacing w:after="0"/>
              <w:rPr>
                <w:sz w:val="20"/>
                <w:szCs w:val="20"/>
                <w:color w:val="auto"/>
              </w:rPr>
            </w:pPr>
            <w:r>
              <w:rPr>
                <w:rFonts w:ascii="Arial" w:cs="Arial" w:eastAsia="Arial" w:hAnsi="Arial"/>
                <w:sz w:val="14"/>
                <w:szCs w:val="14"/>
                <w:b w:val="1"/>
                <w:bCs w:val="1"/>
                <w:color w:val="auto"/>
                <w:w w:val="89"/>
              </w:rPr>
              <w:t>Nine Months Ended September 30,</w:t>
            </w:r>
          </w:p>
        </w:tc>
        <w:tc>
          <w:tcPr>
            <w:tcW w:w="14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300" w:type="dxa"/>
            <w:vAlign w:val="bottom"/>
          </w:tcPr>
          <w:p>
            <w:pPr>
              <w:spacing w:after="0"/>
              <w:rPr>
                <w:sz w:val="12"/>
                <w:szCs w:val="12"/>
                <w:color w:val="auto"/>
              </w:rPr>
            </w:pPr>
          </w:p>
        </w:tc>
        <w:tc>
          <w:tcPr>
            <w:tcW w:w="3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ind w:left="60"/>
              <w:spacing w:after="0" w:line="142" w:lineRule="exact"/>
              <w:rPr>
                <w:sz w:val="20"/>
                <w:szCs w:val="20"/>
                <w:color w:val="auto"/>
              </w:rPr>
            </w:pPr>
            <w:r>
              <w:rPr>
                <w:rFonts w:ascii="Arial" w:cs="Arial" w:eastAsia="Arial" w:hAnsi="Arial"/>
                <w:sz w:val="14"/>
                <w:szCs w:val="14"/>
                <w:b w:val="1"/>
                <w:bCs w:val="1"/>
                <w:color w:val="auto"/>
              </w:rPr>
              <w:t>2010</w:t>
            </w:r>
          </w:p>
        </w:tc>
        <w:tc>
          <w:tcPr>
            <w:tcW w:w="160" w:type="dxa"/>
            <w:vAlign w:val="bottom"/>
          </w:tcPr>
          <w:p>
            <w:pPr>
              <w:spacing w:after="0"/>
              <w:rPr>
                <w:sz w:val="12"/>
                <w:szCs w:val="12"/>
                <w:color w:val="auto"/>
              </w:rPr>
            </w:pPr>
          </w:p>
        </w:tc>
        <w:tc>
          <w:tcPr>
            <w:tcW w:w="20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w:t>
            </w:r>
          </w:p>
        </w:tc>
        <w:tc>
          <w:tcPr>
            <w:tcW w:w="740" w:type="dxa"/>
            <w:vAlign w:val="bottom"/>
            <w:gridSpan w:val="2"/>
          </w:tcPr>
          <w:p>
            <w:pPr>
              <w:jc w:val="right"/>
              <w:ind w:right="212"/>
              <w:spacing w:after="0" w:line="142" w:lineRule="exact"/>
              <w:rPr>
                <w:sz w:val="20"/>
                <w:szCs w:val="20"/>
                <w:color w:val="auto"/>
              </w:rPr>
            </w:pPr>
            <w:r>
              <w:rPr>
                <w:rFonts w:ascii="Arial" w:cs="Arial" w:eastAsia="Arial" w:hAnsi="Arial"/>
                <w:sz w:val="14"/>
                <w:szCs w:val="14"/>
                <w:b w:val="1"/>
                <w:bCs w:val="1"/>
                <w:color w:val="auto"/>
                <w:w w:val="85"/>
              </w:rPr>
              <w:t>Change</w:t>
            </w:r>
          </w:p>
        </w:tc>
        <w:tc>
          <w:tcPr>
            <w:tcW w:w="1060" w:type="dxa"/>
            <w:vAlign w:val="bottom"/>
            <w:gridSpan w:val="2"/>
          </w:tcPr>
          <w:p>
            <w:pPr>
              <w:jc w:val="right"/>
              <w:ind w:right="380"/>
              <w:spacing w:after="0" w:line="142" w:lineRule="exact"/>
              <w:rPr>
                <w:sz w:val="20"/>
                <w:szCs w:val="20"/>
                <w:color w:val="auto"/>
              </w:rPr>
            </w:pPr>
            <w:r>
              <w:rPr>
                <w:rFonts w:ascii="Arial" w:cs="Arial" w:eastAsia="Arial" w:hAnsi="Arial"/>
                <w:sz w:val="14"/>
                <w:szCs w:val="14"/>
                <w:b w:val="1"/>
                <w:bCs w:val="1"/>
                <w:color w:val="auto"/>
                <w:w w:val="97"/>
              </w:rPr>
              <w:t>% Change</w:t>
            </w:r>
          </w:p>
        </w:tc>
        <w:tc>
          <w:tcPr>
            <w:tcW w:w="140" w:type="dxa"/>
            <w:vAlign w:val="bottom"/>
          </w:tcPr>
          <w:p>
            <w:pPr>
              <w:spacing w:after="0"/>
              <w:rPr>
                <w:sz w:val="12"/>
                <w:szCs w:val="12"/>
                <w:color w:val="auto"/>
              </w:rPr>
            </w:pPr>
          </w:p>
        </w:tc>
        <w:tc>
          <w:tcPr>
            <w:tcW w:w="560" w:type="dxa"/>
            <w:vAlign w:val="bottom"/>
          </w:tcPr>
          <w:p>
            <w:pPr>
              <w:jc w:val="right"/>
              <w:ind w:right="135"/>
              <w:spacing w:after="0" w:line="142" w:lineRule="exact"/>
              <w:rPr>
                <w:sz w:val="20"/>
                <w:szCs w:val="20"/>
                <w:color w:val="auto"/>
              </w:rPr>
            </w:pPr>
            <w:r>
              <w:rPr>
                <w:rFonts w:ascii="Arial" w:cs="Arial" w:eastAsia="Arial" w:hAnsi="Arial"/>
                <w:sz w:val="14"/>
                <w:szCs w:val="14"/>
                <w:b w:val="1"/>
                <w:bCs w:val="1"/>
                <w:color w:val="auto"/>
              </w:rPr>
              <w:t>2009</w:t>
            </w:r>
          </w:p>
        </w:tc>
        <w:tc>
          <w:tcPr>
            <w:tcW w:w="16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300" w:type="dxa"/>
            <w:vAlign w:val="bottom"/>
          </w:tcPr>
          <w:p>
            <w:pPr>
              <w:spacing w:after="0"/>
              <w:rPr>
                <w:sz w:val="12"/>
                <w:szCs w:val="12"/>
                <w:color w:val="auto"/>
              </w:rPr>
            </w:pPr>
          </w:p>
        </w:tc>
        <w:tc>
          <w:tcPr>
            <w:tcW w:w="312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9"/>
              </w:rPr>
              <w:t>(Dollars</w:t>
            </w:r>
          </w:p>
        </w:tc>
        <w:tc>
          <w:tcPr>
            <w:tcW w:w="160" w:type="dxa"/>
            <w:vAlign w:val="bottom"/>
          </w:tcPr>
          <w:p>
            <w:pPr>
              <w:jc w:val="right"/>
              <w:spacing w:after="0" w:line="142" w:lineRule="exact"/>
              <w:rPr>
                <w:sz w:val="20"/>
                <w:szCs w:val="20"/>
                <w:color w:val="auto"/>
              </w:rPr>
            </w:pPr>
            <w:r>
              <w:rPr>
                <w:rFonts w:ascii="Arial" w:cs="Arial" w:eastAsia="Arial" w:hAnsi="Arial"/>
                <w:sz w:val="14"/>
                <w:szCs w:val="14"/>
                <w:b w:val="1"/>
                <w:bCs w:val="1"/>
                <w:color w:val="auto"/>
                <w:w w:val="79"/>
              </w:rPr>
              <w:t>in</w:t>
            </w:r>
          </w:p>
        </w:tc>
        <w:tc>
          <w:tcPr>
            <w:tcW w:w="760" w:type="dxa"/>
            <w:vAlign w:val="bottom"/>
            <w:tcBorders>
              <w:top w:val="single" w:sz="8" w:color="auto"/>
            </w:tcBorders>
          </w:tcPr>
          <w:p>
            <w:pPr>
              <w:jc w:val="right"/>
              <w:ind w:right="57"/>
              <w:spacing w:after="0" w:line="142" w:lineRule="exact"/>
              <w:rPr>
                <w:sz w:val="20"/>
                <w:szCs w:val="20"/>
                <w:color w:val="auto"/>
              </w:rPr>
            </w:pPr>
            <w:r>
              <w:rPr>
                <w:rFonts w:ascii="Arial" w:cs="Arial" w:eastAsia="Arial" w:hAnsi="Arial"/>
                <w:sz w:val="14"/>
                <w:szCs w:val="14"/>
                <w:b w:val="1"/>
                <w:bCs w:val="1"/>
                <w:color w:val="auto"/>
                <w:w w:val="79"/>
              </w:rPr>
              <w:t>thousands)</w:t>
            </w:r>
          </w:p>
        </w:tc>
        <w:tc>
          <w:tcPr>
            <w:tcW w:w="30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300" w:type="dxa"/>
            <w:vAlign w:val="bottom"/>
          </w:tcPr>
          <w:p>
            <w:pPr>
              <w:spacing w:after="0"/>
              <w:rPr>
                <w:sz w:val="18"/>
                <w:szCs w:val="18"/>
                <w:color w:val="auto"/>
              </w:rPr>
            </w:pPr>
          </w:p>
        </w:tc>
        <w:tc>
          <w:tcPr>
            <w:tcW w:w="3120" w:type="dxa"/>
            <w:vAlign w:val="bottom"/>
            <w:shd w:val="clear" w:color="auto" w:fill="CCEEFF"/>
          </w:tcPr>
          <w:p>
            <w:pPr>
              <w:spacing w:after="0"/>
              <w:rPr>
                <w:sz w:val="20"/>
                <w:szCs w:val="20"/>
                <w:color w:val="auto"/>
              </w:rPr>
            </w:pPr>
            <w:r>
              <w:rPr>
                <w:rFonts w:ascii="Arial" w:cs="Arial" w:eastAsia="Arial" w:hAnsi="Arial"/>
                <w:sz w:val="18"/>
                <w:szCs w:val="18"/>
                <w:color w:val="auto"/>
              </w:rPr>
              <w:t>LendingTree Loans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ind w:right="92"/>
              <w:spacing w:after="0"/>
              <w:rPr>
                <w:sz w:val="20"/>
                <w:szCs w:val="20"/>
                <w:color w:val="auto"/>
              </w:rPr>
            </w:pPr>
            <w:r>
              <w:rPr>
                <w:rFonts w:ascii="Arial" w:cs="Arial" w:eastAsia="Arial" w:hAnsi="Arial"/>
                <w:sz w:val="18"/>
                <w:szCs w:val="18"/>
                <w:color w:val="auto"/>
                <w:w w:val="94"/>
              </w:rPr>
              <w:t>30,752</w:t>
            </w: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w w:val="79"/>
              </w:rPr>
              <w:t>$</w:t>
            </w:r>
          </w:p>
        </w:tc>
        <w:tc>
          <w:tcPr>
            <w:tcW w:w="740" w:type="dxa"/>
            <w:vAlign w:val="bottom"/>
            <w:gridSpan w:val="2"/>
            <w:shd w:val="clear" w:color="auto" w:fill="CCEEFF"/>
          </w:tcPr>
          <w:p>
            <w:pPr>
              <w:jc w:val="right"/>
              <w:ind w:right="32"/>
              <w:spacing w:after="0"/>
              <w:rPr>
                <w:sz w:val="20"/>
                <w:szCs w:val="20"/>
                <w:color w:val="auto"/>
              </w:rPr>
            </w:pPr>
            <w:r>
              <w:rPr>
                <w:rFonts w:ascii="Arial" w:cs="Arial" w:eastAsia="Arial" w:hAnsi="Arial"/>
                <w:sz w:val="18"/>
                <w:szCs w:val="18"/>
                <w:color w:val="auto"/>
              </w:rPr>
              <w:t>(7,685)</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8"/>
              </w:rPr>
              <w:t>38,437</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00" w:type="dxa"/>
            <w:vAlign w:val="bottom"/>
          </w:tcPr>
          <w:p>
            <w:pPr>
              <w:spacing w:after="0"/>
              <w:rPr>
                <w:sz w:val="18"/>
                <w:szCs w:val="18"/>
                <w:color w:val="auto"/>
              </w:rPr>
            </w:pPr>
          </w:p>
        </w:tc>
        <w:tc>
          <w:tcPr>
            <w:tcW w:w="3120" w:type="dxa"/>
            <w:vAlign w:val="bottom"/>
          </w:tcPr>
          <w:p>
            <w:pPr>
              <w:spacing w:after="0"/>
              <w:rPr>
                <w:sz w:val="20"/>
                <w:szCs w:val="20"/>
                <w:color w:val="auto"/>
              </w:rPr>
            </w:pPr>
            <w:r>
              <w:rPr>
                <w:rFonts w:ascii="Arial" w:cs="Arial" w:eastAsia="Arial" w:hAnsi="Arial"/>
                <w:sz w:val="18"/>
                <w:szCs w:val="18"/>
                <w:color w:val="auto"/>
              </w:rPr>
              <w:t>Exchanges</w:t>
            </w:r>
          </w:p>
        </w:tc>
        <w:tc>
          <w:tcPr>
            <w:tcW w:w="160" w:type="dxa"/>
            <w:vAlign w:val="bottom"/>
          </w:tcPr>
          <w:p>
            <w:pPr>
              <w:spacing w:after="0"/>
              <w:rPr>
                <w:sz w:val="18"/>
                <w:szCs w:val="18"/>
                <w:color w:val="auto"/>
              </w:rPr>
            </w:pPr>
          </w:p>
        </w:tc>
        <w:tc>
          <w:tcPr>
            <w:tcW w:w="700" w:type="dxa"/>
            <w:vAlign w:val="bottom"/>
            <w:gridSpan w:val="2"/>
          </w:tcPr>
          <w:p>
            <w:pPr>
              <w:jc w:val="right"/>
              <w:ind w:right="92"/>
              <w:spacing w:after="0"/>
              <w:rPr>
                <w:sz w:val="20"/>
                <w:szCs w:val="20"/>
                <w:color w:val="auto"/>
              </w:rPr>
            </w:pPr>
            <w:r>
              <w:rPr>
                <w:rFonts w:ascii="Arial" w:cs="Arial" w:eastAsia="Arial" w:hAnsi="Arial"/>
                <w:sz w:val="18"/>
                <w:szCs w:val="18"/>
                <w:color w:val="auto"/>
              </w:rPr>
              <w:t>3,180</w:t>
            </w:r>
          </w:p>
        </w:tc>
        <w:tc>
          <w:tcPr>
            <w:tcW w:w="200" w:type="dxa"/>
            <w:vAlign w:val="bottom"/>
          </w:tcPr>
          <w:p>
            <w:pPr>
              <w:spacing w:after="0"/>
              <w:rPr>
                <w:sz w:val="18"/>
                <w:szCs w:val="18"/>
                <w:color w:val="auto"/>
              </w:rPr>
            </w:pPr>
          </w:p>
        </w:tc>
        <w:tc>
          <w:tcPr>
            <w:tcW w:w="740" w:type="dxa"/>
            <w:vAlign w:val="bottom"/>
            <w:gridSpan w:val="2"/>
          </w:tcPr>
          <w:p>
            <w:pPr>
              <w:jc w:val="right"/>
              <w:ind w:right="32"/>
              <w:spacing w:after="0"/>
              <w:rPr>
                <w:sz w:val="20"/>
                <w:szCs w:val="20"/>
                <w:color w:val="auto"/>
              </w:rPr>
            </w:pPr>
            <w:r>
              <w:rPr>
                <w:rFonts w:ascii="Arial" w:cs="Arial" w:eastAsia="Arial" w:hAnsi="Arial"/>
                <w:sz w:val="18"/>
                <w:szCs w:val="18"/>
                <w:color w:val="auto"/>
              </w:rPr>
              <w:t>(1,247)</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(41)%</w:t>
            </w:r>
          </w:p>
        </w:tc>
        <w:tc>
          <w:tcPr>
            <w:tcW w:w="14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rPr>
              <w:t>4,427</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00" w:type="dxa"/>
            <w:vAlign w:val="bottom"/>
          </w:tcPr>
          <w:p>
            <w:pPr>
              <w:spacing w:after="0"/>
              <w:rPr>
                <w:sz w:val="18"/>
                <w:szCs w:val="18"/>
                <w:color w:val="auto"/>
              </w:rPr>
            </w:pPr>
          </w:p>
        </w:tc>
        <w:tc>
          <w:tcPr>
            <w:tcW w:w="3120" w:type="dxa"/>
            <w:vAlign w:val="bottom"/>
            <w:shd w:val="clear" w:color="auto" w:fill="CCEEFF"/>
          </w:tcPr>
          <w:p>
            <w:pPr>
              <w:spacing w:after="0"/>
              <w:rPr>
                <w:sz w:val="20"/>
                <w:szCs w:val="20"/>
                <w:color w:val="auto"/>
              </w:rPr>
            </w:pPr>
            <w:r>
              <w:rPr>
                <w:rFonts w:ascii="Arial" w:cs="Arial" w:eastAsia="Arial" w:hAnsi="Arial"/>
                <w:sz w:val="18"/>
                <w:szCs w:val="18"/>
                <w:color w:val="auto"/>
              </w:rPr>
              <w:t>Real Estate</w:t>
            </w: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92"/>
              <w:spacing w:after="0"/>
              <w:rPr>
                <w:sz w:val="20"/>
                <w:szCs w:val="20"/>
                <w:color w:val="auto"/>
              </w:rPr>
            </w:pPr>
            <w:r>
              <w:rPr>
                <w:rFonts w:ascii="Arial" w:cs="Arial" w:eastAsia="Arial" w:hAnsi="Arial"/>
                <w:sz w:val="18"/>
                <w:szCs w:val="18"/>
                <w:color w:val="auto"/>
              </w:rPr>
              <w:t>7,312</w:t>
            </w:r>
          </w:p>
        </w:tc>
        <w:tc>
          <w:tcPr>
            <w:tcW w:w="2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32"/>
              <w:spacing w:after="0"/>
              <w:rPr>
                <w:sz w:val="20"/>
                <w:szCs w:val="20"/>
                <w:color w:val="auto"/>
              </w:rPr>
            </w:pPr>
            <w:r>
              <w:rPr>
                <w:rFonts w:ascii="Arial" w:cs="Arial" w:eastAsia="Arial" w:hAnsi="Arial"/>
                <w:sz w:val="18"/>
                <w:szCs w:val="18"/>
                <w:color w:val="auto"/>
              </w:rPr>
              <w:t>(6,400)</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(47)%</w:t>
            </w: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8"/>
              </w:rPr>
              <w:t>13,712</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300" w:type="dxa"/>
            <w:vAlign w:val="bottom"/>
          </w:tcPr>
          <w:p>
            <w:pPr>
              <w:spacing w:after="0"/>
              <w:rPr>
                <w:sz w:val="19"/>
                <w:szCs w:val="19"/>
                <w:color w:val="auto"/>
              </w:rPr>
            </w:pPr>
          </w:p>
        </w:tc>
        <w:tc>
          <w:tcPr>
            <w:tcW w:w="3120" w:type="dxa"/>
            <w:vAlign w:val="bottom"/>
          </w:tcPr>
          <w:p>
            <w:pPr>
              <w:spacing w:after="0"/>
              <w:rPr>
                <w:sz w:val="20"/>
                <w:szCs w:val="20"/>
                <w:color w:val="auto"/>
              </w:rPr>
            </w:pPr>
            <w:r>
              <w:rPr>
                <w:rFonts w:ascii="Arial" w:cs="Arial" w:eastAsia="Arial" w:hAnsi="Arial"/>
                <w:sz w:val="18"/>
                <w:szCs w:val="18"/>
                <w:color w:val="auto"/>
              </w:rPr>
              <w:t>Unallocated—corporate</w:t>
            </w:r>
          </w:p>
        </w:tc>
        <w:tc>
          <w:tcPr>
            <w:tcW w:w="160" w:type="dxa"/>
            <w:vAlign w:val="bottom"/>
          </w:tcPr>
          <w:p>
            <w:pPr>
              <w:spacing w:after="0"/>
              <w:rPr>
                <w:sz w:val="19"/>
                <w:szCs w:val="19"/>
                <w:color w:val="auto"/>
              </w:rPr>
            </w:pPr>
          </w:p>
        </w:tc>
        <w:tc>
          <w:tcPr>
            <w:tcW w:w="700" w:type="dxa"/>
            <w:vAlign w:val="bottom"/>
            <w:gridSpan w:val="2"/>
          </w:tcPr>
          <w:p>
            <w:pPr>
              <w:jc w:val="right"/>
              <w:ind w:right="92"/>
              <w:spacing w:after="0"/>
              <w:rPr>
                <w:sz w:val="20"/>
                <w:szCs w:val="20"/>
                <w:color w:val="auto"/>
              </w:rPr>
            </w:pPr>
            <w:r>
              <w:rPr>
                <w:rFonts w:ascii="Arial" w:cs="Arial" w:eastAsia="Arial" w:hAnsi="Arial"/>
                <w:sz w:val="18"/>
                <w:szCs w:val="18"/>
                <w:color w:val="auto"/>
              </w:rPr>
              <w:t>474</w:t>
            </w:r>
          </w:p>
        </w:tc>
        <w:tc>
          <w:tcPr>
            <w:tcW w:w="200" w:type="dxa"/>
            <w:vAlign w:val="bottom"/>
          </w:tcPr>
          <w:p>
            <w:pPr>
              <w:spacing w:after="0"/>
              <w:rPr>
                <w:sz w:val="19"/>
                <w:szCs w:val="19"/>
                <w:color w:val="auto"/>
              </w:rPr>
            </w:pPr>
          </w:p>
        </w:tc>
        <w:tc>
          <w:tcPr>
            <w:tcW w:w="740" w:type="dxa"/>
            <w:vAlign w:val="bottom"/>
            <w:gridSpan w:val="2"/>
          </w:tcPr>
          <w:p>
            <w:pPr>
              <w:jc w:val="right"/>
              <w:ind w:right="32"/>
              <w:spacing w:after="0"/>
              <w:rPr>
                <w:sz w:val="20"/>
                <w:szCs w:val="20"/>
                <w:color w:val="auto"/>
              </w:rPr>
            </w:pPr>
            <w:r>
              <w:rPr>
                <w:rFonts w:ascii="Arial" w:cs="Arial" w:eastAsia="Arial" w:hAnsi="Arial"/>
                <w:sz w:val="18"/>
                <w:szCs w:val="18"/>
                <w:color w:val="auto"/>
              </w:rPr>
              <w:t>(1,153)</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(71)%</w:t>
            </w:r>
          </w:p>
        </w:tc>
        <w:tc>
          <w:tcPr>
            <w:tcW w:w="140" w:type="dxa"/>
            <w:vAlign w:val="bottom"/>
          </w:tcPr>
          <w:p>
            <w:pPr>
              <w:spacing w:after="0"/>
              <w:rPr>
                <w:sz w:val="19"/>
                <w:szCs w:val="19"/>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rPr>
              <w:t>1,627</w:t>
            </w:r>
          </w:p>
        </w:tc>
        <w:tc>
          <w:tcPr>
            <w:tcW w:w="2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300" w:type="dxa"/>
            <w:vAlign w:val="bottom"/>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300" w:type="dxa"/>
            <w:vAlign w:val="bottom"/>
          </w:tcPr>
          <w:p>
            <w:pPr>
              <w:spacing w:after="0"/>
              <w:rPr>
                <w:sz w:val="18"/>
                <w:szCs w:val="18"/>
                <w:color w:val="auto"/>
              </w:rPr>
            </w:pPr>
          </w:p>
        </w:tc>
        <w:tc>
          <w:tcPr>
            <w:tcW w:w="3120" w:type="dxa"/>
            <w:vAlign w:val="bottom"/>
            <w:shd w:val="clear" w:color="auto" w:fill="CCEEFF"/>
          </w:tcPr>
          <w:p>
            <w:pPr>
              <w:spacing w:after="0"/>
              <w:rPr>
                <w:sz w:val="20"/>
                <w:szCs w:val="20"/>
                <w:color w:val="auto"/>
              </w:rPr>
            </w:pPr>
            <w:r>
              <w:rPr>
                <w:rFonts w:ascii="Arial" w:cs="Arial" w:eastAsia="Arial" w:hAnsi="Arial"/>
                <w:sz w:val="18"/>
                <w:szCs w:val="18"/>
                <w:color w:val="auto"/>
              </w:rPr>
              <w:t>Cost of revenue</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ind w:right="92"/>
              <w:spacing w:after="0"/>
              <w:rPr>
                <w:sz w:val="20"/>
                <w:szCs w:val="20"/>
                <w:color w:val="auto"/>
              </w:rPr>
            </w:pPr>
            <w:r>
              <w:rPr>
                <w:rFonts w:ascii="Arial" w:cs="Arial" w:eastAsia="Arial" w:hAnsi="Arial"/>
                <w:sz w:val="18"/>
                <w:szCs w:val="18"/>
                <w:color w:val="auto"/>
                <w:w w:val="94"/>
              </w:rPr>
              <w:t>41,718</w:t>
            </w: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w w:val="79"/>
              </w:rPr>
              <w:t>$</w:t>
            </w:r>
          </w:p>
        </w:tc>
        <w:tc>
          <w:tcPr>
            <w:tcW w:w="740" w:type="dxa"/>
            <w:vAlign w:val="bottom"/>
            <w:gridSpan w:val="2"/>
            <w:shd w:val="clear" w:color="auto" w:fill="CCEEFF"/>
          </w:tcPr>
          <w:p>
            <w:pPr>
              <w:jc w:val="right"/>
              <w:ind w:right="32"/>
              <w:spacing w:after="0"/>
              <w:rPr>
                <w:sz w:val="20"/>
                <w:szCs w:val="20"/>
                <w:color w:val="auto"/>
              </w:rPr>
            </w:pPr>
            <w:r>
              <w:rPr>
                <w:rFonts w:ascii="Arial" w:cs="Arial" w:eastAsia="Arial" w:hAnsi="Arial"/>
                <w:sz w:val="18"/>
                <w:szCs w:val="18"/>
                <w:color w:val="auto"/>
                <w:w w:val="92"/>
              </w:rPr>
              <w:t>(16,485)</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8"/>
              </w:rPr>
              <w:t>58,203</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5420" w:type="dxa"/>
            <w:vAlign w:val="bottom"/>
            <w:gridSpan w:val="2"/>
            <w:vMerge w:val="restart"/>
          </w:tcPr>
          <w:p>
            <w:pPr>
              <w:ind w:left="2300"/>
              <w:spacing w:after="0"/>
              <w:rPr>
                <w:sz w:val="20"/>
                <w:szCs w:val="20"/>
                <w:color w:val="auto"/>
              </w:rPr>
            </w:pPr>
            <w:r>
              <w:rPr>
                <w:rFonts w:ascii="Arial" w:cs="Arial" w:eastAsia="Arial" w:hAnsi="Arial"/>
                <w:sz w:val="18"/>
                <w:szCs w:val="18"/>
                <w:color w:val="auto"/>
              </w:rPr>
              <w:t>As a percentage of total revenue</w:t>
            </w:r>
          </w:p>
        </w:tc>
        <w:tc>
          <w:tcPr>
            <w:tcW w:w="1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gridSpan w:val="2"/>
            <w:vMerge w:val="restart"/>
          </w:tcPr>
          <w:p>
            <w:pPr>
              <w:jc w:val="right"/>
              <w:ind w:right="100"/>
              <w:spacing w:after="0"/>
              <w:rPr>
                <w:sz w:val="20"/>
                <w:szCs w:val="20"/>
                <w:color w:val="auto"/>
              </w:rPr>
            </w:pPr>
            <w:r>
              <w:rPr>
                <w:rFonts w:ascii="Arial" w:cs="Arial" w:eastAsia="Arial" w:hAnsi="Arial"/>
                <w:sz w:val="18"/>
                <w:szCs w:val="18"/>
                <w:color w:val="auto"/>
              </w:rPr>
              <w:t>(6)%</w:t>
            </w:r>
          </w:p>
        </w:tc>
        <w:tc>
          <w:tcPr>
            <w:tcW w:w="1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22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420" w:type="dxa"/>
            <w:vAlign w:val="bottom"/>
            <w:gridSpan w:val="2"/>
            <w:vMerge w:val="continue"/>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60" w:type="dxa"/>
            <w:vAlign w:val="bottom"/>
            <w:gridSpan w:val="2"/>
            <w:vMerge w:val="continue"/>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420" w:type="dxa"/>
            <w:vAlign w:val="bottom"/>
            <w:gridSpan w:val="2"/>
            <w:vMerge w:val="continue"/>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gridSpan w:val="2"/>
          </w:tcPr>
          <w:p>
            <w:pPr>
              <w:jc w:val="right"/>
              <w:spacing w:after="0" w:line="203" w:lineRule="exact"/>
              <w:rPr>
                <w:sz w:val="20"/>
                <w:szCs w:val="20"/>
                <w:color w:val="auto"/>
              </w:rPr>
            </w:pPr>
            <w:r>
              <w:rPr>
                <w:rFonts w:ascii="Arial" w:cs="Arial" w:eastAsia="Arial" w:hAnsi="Arial"/>
                <w:sz w:val="18"/>
                <w:szCs w:val="18"/>
                <w:color w:val="auto"/>
              </w:rPr>
              <w:t>28%</w:t>
            </w:r>
          </w:p>
        </w:tc>
        <w:tc>
          <w:tcPr>
            <w:tcW w:w="2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gridSpan w:val="2"/>
            <w:vMerge w:val="continue"/>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gridSpan w:val="2"/>
          </w:tcPr>
          <w:p>
            <w:pPr>
              <w:jc w:val="right"/>
              <w:ind w:right="20"/>
              <w:spacing w:after="0" w:line="203" w:lineRule="exact"/>
              <w:rPr>
                <w:sz w:val="20"/>
                <w:szCs w:val="20"/>
                <w:color w:val="auto"/>
              </w:rPr>
            </w:pPr>
            <w:r>
              <w:rPr>
                <w:rFonts w:ascii="Arial" w:cs="Arial" w:eastAsia="Arial" w:hAnsi="Arial"/>
                <w:sz w:val="18"/>
                <w:szCs w:val="18"/>
                <w:color w:val="auto"/>
              </w:rPr>
              <w:t>34%</w:t>
            </w:r>
          </w:p>
        </w:tc>
        <w:tc>
          <w:tcPr>
            <w:tcW w:w="2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24"/>
        </w:trPr>
        <w:tc>
          <w:tcPr>
            <w:tcW w:w="2300" w:type="dxa"/>
            <w:vAlign w:val="bottom"/>
          </w:tcPr>
          <w:p>
            <w:pPr>
              <w:spacing w:after="0"/>
              <w:rPr>
                <w:sz w:val="24"/>
                <w:szCs w:val="24"/>
                <w:color w:val="auto"/>
              </w:rPr>
            </w:pPr>
          </w:p>
        </w:tc>
        <w:tc>
          <w:tcPr>
            <w:tcW w:w="3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ind w:left="40"/>
              <w:spacing w:after="0"/>
              <w:rPr>
                <w:sz w:val="20"/>
                <w:szCs w:val="20"/>
                <w:color w:val="auto"/>
              </w:rPr>
            </w:pPr>
            <w:r>
              <w:rPr>
                <w:rFonts w:ascii="Arial" w:cs="Arial" w:eastAsia="Arial" w:hAnsi="Arial"/>
                <w:sz w:val="18"/>
                <w:szCs w:val="18"/>
                <w:color w:val="auto"/>
              </w:rPr>
              <w:t>41</w:t>
            </w: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2300" w:type="dxa"/>
            <w:vAlign w:val="bottom"/>
            <w:tcBorders>
              <w:bottom w:val="single" w:sz="8" w:color="808080"/>
            </w:tcBorders>
          </w:tcPr>
          <w:p>
            <w:pPr>
              <w:spacing w:after="0"/>
              <w:rPr>
                <w:sz w:val="19"/>
                <w:szCs w:val="19"/>
                <w:color w:val="auto"/>
              </w:rPr>
            </w:pPr>
          </w:p>
        </w:tc>
        <w:tc>
          <w:tcPr>
            <w:tcW w:w="312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54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58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760" w:type="dxa"/>
            <w:vAlign w:val="bottom"/>
            <w:tcBorders>
              <w:bottom w:val="single" w:sz="8" w:color="808080"/>
            </w:tcBorders>
          </w:tcPr>
          <w:p>
            <w:pPr>
              <w:spacing w:after="0"/>
              <w:rPr>
                <w:sz w:val="19"/>
                <w:szCs w:val="19"/>
                <w:color w:val="auto"/>
              </w:rPr>
            </w:pPr>
          </w:p>
        </w:tc>
        <w:tc>
          <w:tcPr>
            <w:tcW w:w="30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56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228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42" w:name="page43"/>
    <w:bookmarkEnd w:id="4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8" w:lineRule="exact"/>
        <w:rPr>
          <w:sz w:val="20"/>
          <w:szCs w:val="20"/>
          <w:color w:val="auto"/>
        </w:rPr>
      </w:pPr>
    </w:p>
    <w:tbl>
      <w:tblPr>
        <w:tblLayout w:type="fixed"/>
        <w:tblInd w:w="23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3240" w:type="dxa"/>
            <w:vAlign w:val="bottom"/>
          </w:tcPr>
          <w:p>
            <w:pPr>
              <w:spacing w:after="0"/>
              <w:rPr>
                <w:sz w:val="14"/>
                <w:szCs w:val="14"/>
                <w:color w:val="auto"/>
              </w:rPr>
            </w:pPr>
          </w:p>
        </w:tc>
        <w:tc>
          <w:tcPr>
            <w:tcW w:w="1280" w:type="dxa"/>
            <w:vAlign w:val="bottom"/>
            <w:gridSpan w:val="5"/>
          </w:tcPr>
          <w:p>
            <w:pPr>
              <w:jc w:val="center"/>
              <w:ind w:right="160"/>
              <w:spacing w:after="0"/>
              <w:rPr>
                <w:sz w:val="20"/>
                <w:szCs w:val="20"/>
                <w:color w:val="auto"/>
              </w:rPr>
            </w:pPr>
            <w:r>
              <w:rPr>
                <w:rFonts w:ascii="Arial" w:cs="Arial" w:eastAsia="Arial" w:hAnsi="Arial"/>
                <w:sz w:val="14"/>
                <w:szCs w:val="14"/>
                <w:b w:val="1"/>
                <w:bCs w:val="1"/>
                <w:color w:val="auto"/>
                <w:w w:val="90"/>
              </w:rPr>
              <w:t>Nine Months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300" w:type="dxa"/>
            <w:vAlign w:val="bottom"/>
          </w:tcPr>
          <w:p>
            <w:pPr>
              <w:spacing w:after="0"/>
              <w:rPr>
                <w:sz w:val="12"/>
                <w:szCs w:val="12"/>
                <w:color w:val="auto"/>
              </w:rPr>
            </w:pPr>
          </w:p>
        </w:tc>
        <w:tc>
          <w:tcPr>
            <w:tcW w:w="3240" w:type="dxa"/>
            <w:vAlign w:val="bottom"/>
          </w:tcPr>
          <w:p>
            <w:pPr>
              <w:spacing w:after="0"/>
              <w:rPr>
                <w:sz w:val="12"/>
                <w:szCs w:val="12"/>
                <w:color w:val="auto"/>
              </w:rPr>
            </w:pPr>
          </w:p>
        </w:tc>
        <w:tc>
          <w:tcPr>
            <w:tcW w:w="760" w:type="dxa"/>
            <w:vAlign w:val="bottom"/>
            <w:gridSpan w:val="3"/>
          </w:tcPr>
          <w:p>
            <w:pPr>
              <w:jc w:val="center"/>
              <w:ind w:left="282"/>
              <w:spacing w:after="0" w:line="149" w:lineRule="exact"/>
              <w:rPr>
                <w:sz w:val="20"/>
                <w:szCs w:val="20"/>
                <w:color w:val="auto"/>
              </w:rPr>
            </w:pPr>
            <w:r>
              <w:rPr>
                <w:rFonts w:ascii="Arial" w:cs="Arial" w:eastAsia="Arial" w:hAnsi="Arial"/>
                <w:sz w:val="14"/>
                <w:szCs w:val="14"/>
                <w:b w:val="1"/>
                <w:bCs w:val="1"/>
                <w:color w:val="auto"/>
                <w:w w:val="84"/>
              </w:rPr>
              <w:t>Ended</w:t>
            </w:r>
          </w:p>
        </w:tc>
        <w:tc>
          <w:tcPr>
            <w:tcW w:w="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55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As a Percentage of Segment Revenue</w:t>
            </w:r>
          </w:p>
        </w:tc>
        <w:tc>
          <w:tcPr>
            <w:tcW w:w="1280" w:type="dxa"/>
            <w:vAlign w:val="bottom"/>
            <w:gridSpan w:val="5"/>
          </w:tcPr>
          <w:p>
            <w:pPr>
              <w:jc w:val="center"/>
              <w:ind w:right="140"/>
              <w:spacing w:after="0"/>
              <w:rPr>
                <w:sz w:val="20"/>
                <w:szCs w:val="20"/>
                <w:color w:val="auto"/>
              </w:rPr>
            </w:pPr>
            <w:r>
              <w:rPr>
                <w:rFonts w:ascii="Arial" w:cs="Arial" w:eastAsia="Arial" w:hAnsi="Arial"/>
                <w:sz w:val="14"/>
                <w:szCs w:val="14"/>
                <w:b w:val="1"/>
                <w:bCs w:val="1"/>
                <w:color w:val="auto"/>
                <w:w w:val="85"/>
              </w:rPr>
              <w:t>September 30,</w:t>
            </w:r>
          </w:p>
        </w:tc>
        <w:tc>
          <w:tcPr>
            <w:tcW w:w="0" w:type="dxa"/>
            <w:vAlign w:val="bottom"/>
          </w:tcPr>
          <w:p>
            <w:pPr>
              <w:spacing w:after="0"/>
              <w:rPr>
                <w:sz w:val="1"/>
                <w:szCs w:val="1"/>
                <w:color w:val="auto"/>
              </w:rPr>
            </w:pPr>
          </w:p>
        </w:tc>
      </w:tr>
      <w:tr>
        <w:trPr>
          <w:trHeight w:val="142"/>
        </w:trPr>
        <w:tc>
          <w:tcPr>
            <w:tcW w:w="5560" w:type="dxa"/>
            <w:vAlign w:val="bottom"/>
            <w:gridSpan w:val="3"/>
            <w:vMerge w:val="continue"/>
          </w:tcPr>
          <w:p>
            <w:pPr>
              <w:spacing w:after="0"/>
              <w:rPr>
                <w:sz w:val="12"/>
                <w:szCs w:val="12"/>
                <w:color w:val="auto"/>
              </w:rPr>
            </w:pPr>
          </w:p>
        </w:tc>
        <w:tc>
          <w:tcPr>
            <w:tcW w:w="440" w:type="dxa"/>
            <w:vAlign w:val="bottom"/>
            <w:tcBorders>
              <w:top w:val="single" w:sz="8" w:color="auto"/>
            </w:tcBorders>
          </w:tcPr>
          <w:p>
            <w:pPr>
              <w:jc w:val="right"/>
              <w:ind w:right="2"/>
              <w:spacing w:after="0" w:line="142" w:lineRule="exact"/>
              <w:rPr>
                <w:sz w:val="20"/>
                <w:szCs w:val="20"/>
                <w:color w:val="auto"/>
              </w:rPr>
            </w:pPr>
            <w:r>
              <w:rPr>
                <w:rFonts w:ascii="Arial" w:cs="Arial" w:eastAsia="Arial" w:hAnsi="Arial"/>
                <w:sz w:val="14"/>
                <w:szCs w:val="14"/>
                <w:b w:val="1"/>
                <w:bCs w:val="1"/>
                <w:color w:val="auto"/>
              </w:rPr>
              <w:t>2010</w:t>
            </w:r>
          </w:p>
        </w:tc>
        <w:tc>
          <w:tcPr>
            <w:tcW w:w="24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36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3"/>
              </w:rPr>
              <w:t>2009</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2300" w:type="dxa"/>
            <w:vAlign w:val="bottom"/>
            <w:shd w:val="clear" w:color="auto" w:fill="000000"/>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2300" w:type="dxa"/>
            <w:vAlign w:val="bottom"/>
            <w:shd w:val="clear" w:color="auto" w:fill="CCEEFF"/>
          </w:tcPr>
          <w:p>
            <w:pPr>
              <w:spacing w:after="0"/>
              <w:rPr>
                <w:sz w:val="20"/>
                <w:szCs w:val="20"/>
                <w:color w:val="auto"/>
              </w:rPr>
            </w:pPr>
            <w:r>
              <w:rPr>
                <w:rFonts w:ascii="Arial" w:cs="Arial" w:eastAsia="Arial" w:hAnsi="Arial"/>
                <w:sz w:val="18"/>
                <w:szCs w:val="18"/>
                <w:color w:val="auto"/>
              </w:rPr>
              <w:t>LendingTree Loans</w:t>
            </w:r>
          </w:p>
        </w:tc>
        <w:tc>
          <w:tcPr>
            <w:tcW w:w="32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w:t>
            </w:r>
          </w:p>
        </w:tc>
        <w:tc>
          <w:tcPr>
            <w:tcW w:w="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gridSpan w:val="2"/>
          </w:tcPr>
          <w:p>
            <w:pPr>
              <w:spacing w:after="0"/>
              <w:rPr>
                <w:sz w:val="20"/>
                <w:szCs w:val="20"/>
                <w:color w:val="auto"/>
              </w:rPr>
            </w:pPr>
            <w:r>
              <w:rPr>
                <w:rFonts w:ascii="Arial" w:cs="Arial" w:eastAsia="Arial" w:hAnsi="Arial"/>
                <w:sz w:val="18"/>
                <w:szCs w:val="18"/>
                <w:color w:val="auto"/>
              </w:rPr>
              <w:t>Exchanges</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7%</w:t>
            </w:r>
          </w:p>
        </w:tc>
        <w:tc>
          <w:tcPr>
            <w:tcW w:w="80" w:type="dxa"/>
            <w:vAlign w:val="bottom"/>
          </w:tcPr>
          <w:p>
            <w:pPr>
              <w:spacing w:after="0"/>
              <w:rPr>
                <w:sz w:val="18"/>
                <w:szCs w:val="18"/>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Real Estate</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62%</w:t>
            </w:r>
          </w:p>
        </w:tc>
        <w:tc>
          <w:tcPr>
            <w:tcW w:w="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540" w:type="dxa"/>
            <w:vAlign w:val="bottom"/>
            <w:gridSpan w:val="2"/>
          </w:tcPr>
          <w:p>
            <w:pPr>
              <w:spacing w:after="0"/>
              <w:rPr>
                <w:sz w:val="20"/>
                <w:szCs w:val="20"/>
                <w:color w:val="auto"/>
              </w:rPr>
            </w:pPr>
            <w:r>
              <w:rPr>
                <w:rFonts w:ascii="Arial" w:cs="Arial" w:eastAsia="Arial" w:hAnsi="Arial"/>
                <w:sz w:val="18"/>
                <w:szCs w:val="18"/>
                <w:color w:val="auto"/>
              </w:rPr>
              <w:t>Unallocated—corporate, as a percentage of total revenue</w:t>
            </w:r>
          </w:p>
        </w:tc>
        <w:tc>
          <w:tcPr>
            <w:tcW w:w="76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bl>
    <w:p>
      <w:pPr>
        <w:spacing w:after="0" w:line="201" w:lineRule="exact"/>
        <w:rPr>
          <w:sz w:val="20"/>
          <w:szCs w:val="20"/>
          <w:color w:val="auto"/>
        </w:rPr>
      </w:pPr>
    </w:p>
    <w:p>
      <w:pPr>
        <w:ind w:firstLine="351"/>
        <w:spacing w:after="0" w:line="318" w:lineRule="auto"/>
        <w:rPr>
          <w:sz w:val="20"/>
          <w:szCs w:val="20"/>
          <w:color w:val="auto"/>
        </w:rPr>
      </w:pPr>
      <w:r>
        <w:rPr>
          <w:rFonts w:ascii="Arial" w:cs="Arial" w:eastAsia="Arial" w:hAnsi="Arial"/>
          <w:sz w:val="15"/>
          <w:szCs w:val="15"/>
          <w:color w:val="auto"/>
        </w:rPr>
        <w:t>Cost of revenue in 2010 decreased from 2009 primarily due to decreases of $7.5 million in costs associated with loan originations at LendingTree Loans, $2.6 million in compensation and other employee related costs, $2.0 million in consumer incentive rebates related to decreased closings at the Exchanges and in Real Estate, and $4.9 million in commissions paid to real estate agents. The decreases in the cost of loan originations are primarily due to a change in the fee structure in October 2009 whereby the origination fee charged to the borrower was reduced and no longer covered certain origination costs that were previously paid and recorded as expense by LendingTree Loans. Under the current fee structure, these origination costs are passed through to the borrower directly.</w:t>
      </w:r>
    </w:p>
    <w:p>
      <w:pPr>
        <w:spacing w:after="0" w:line="154"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Selling and marketing expense</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For the three months ended September 30, 2010 compared to the three months ended September 30, 2009:</w:t>
      </w:r>
    </w:p>
    <w:p>
      <w:pPr>
        <w:spacing w:after="0" w:line="275" w:lineRule="exact"/>
        <w:rPr>
          <w:sz w:val="20"/>
          <w:szCs w:val="20"/>
          <w:color w:val="auto"/>
        </w:rPr>
      </w:pPr>
    </w:p>
    <w:tbl>
      <w:tblPr>
        <w:tblLayout w:type="fixed"/>
        <w:tblInd w:w="2300" w:type="dxa"/>
        <w:tblCellMar>
          <w:top w:w="0" w:type="dxa"/>
          <w:left w:w="0" w:type="dxa"/>
          <w:bottom w:w="0" w:type="dxa"/>
          <w:right w:w="0" w:type="dxa"/>
        </w:tblCellMar>
      </w:tblPr>
      <w:tr>
        <w:trPr>
          <w:trHeight w:val="161"/>
        </w:trPr>
        <w:tc>
          <w:tcPr>
            <w:tcW w:w="31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2100" w:type="dxa"/>
            <w:vAlign w:val="bottom"/>
            <w:tcBorders>
              <w:bottom w:val="single" w:sz="8" w:color="auto"/>
            </w:tcBorders>
            <w:gridSpan w:val="6"/>
          </w:tcPr>
          <w:p>
            <w:pPr>
              <w:jc w:val="right"/>
              <w:ind w:right="20"/>
              <w:spacing w:after="0"/>
              <w:rPr>
                <w:sz w:val="20"/>
                <w:szCs w:val="20"/>
                <w:color w:val="auto"/>
              </w:rPr>
            </w:pPr>
            <w:r>
              <w:rPr>
                <w:rFonts w:ascii="Arial" w:cs="Arial" w:eastAsia="Arial" w:hAnsi="Arial"/>
                <w:sz w:val="14"/>
                <w:szCs w:val="14"/>
                <w:b w:val="1"/>
                <w:bCs w:val="1"/>
                <w:color w:val="auto"/>
                <w:w w:val="86"/>
              </w:rPr>
              <w:t>Three Months Ended September 30,</w:t>
            </w:r>
          </w:p>
        </w:tc>
        <w:tc>
          <w:tcPr>
            <w:tcW w:w="14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jc w:val="right"/>
              <w:ind w:right="135"/>
              <w:spacing w:after="0" w:line="142" w:lineRule="exact"/>
              <w:rPr>
                <w:sz w:val="20"/>
                <w:szCs w:val="20"/>
                <w:color w:val="auto"/>
              </w:rPr>
            </w:pPr>
            <w:r>
              <w:rPr>
                <w:rFonts w:ascii="Arial" w:cs="Arial" w:eastAsia="Arial" w:hAnsi="Arial"/>
                <w:sz w:val="14"/>
                <w:szCs w:val="14"/>
                <w:b w:val="1"/>
                <w:bCs w:val="1"/>
                <w:color w:val="auto"/>
                <w:w w:val="96"/>
              </w:rPr>
              <w:t>2010</w:t>
            </w:r>
          </w:p>
        </w:tc>
        <w:tc>
          <w:tcPr>
            <w:tcW w:w="160" w:type="dxa"/>
            <w:vAlign w:val="bottom"/>
          </w:tcPr>
          <w:p>
            <w:pPr>
              <w:spacing w:after="0"/>
              <w:rPr>
                <w:sz w:val="12"/>
                <w:szCs w:val="12"/>
                <w:color w:val="auto"/>
              </w:rPr>
            </w:pPr>
          </w:p>
        </w:tc>
        <w:tc>
          <w:tcPr>
            <w:tcW w:w="18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w:t>
            </w:r>
          </w:p>
        </w:tc>
        <w:tc>
          <w:tcPr>
            <w:tcW w:w="700" w:type="dxa"/>
            <w:vAlign w:val="bottom"/>
            <w:gridSpan w:val="2"/>
          </w:tcPr>
          <w:p>
            <w:pPr>
              <w:jc w:val="right"/>
              <w:ind w:right="172"/>
              <w:spacing w:after="0" w:line="142" w:lineRule="exact"/>
              <w:rPr>
                <w:sz w:val="20"/>
                <w:szCs w:val="20"/>
                <w:color w:val="auto"/>
              </w:rPr>
            </w:pPr>
            <w:r>
              <w:rPr>
                <w:rFonts w:ascii="Arial" w:cs="Arial" w:eastAsia="Arial" w:hAnsi="Arial"/>
                <w:sz w:val="14"/>
                <w:szCs w:val="14"/>
                <w:b w:val="1"/>
                <w:bCs w:val="1"/>
                <w:color w:val="auto"/>
                <w:w w:val="85"/>
              </w:rPr>
              <w:t>Change</w:t>
            </w:r>
          </w:p>
        </w:tc>
        <w:tc>
          <w:tcPr>
            <w:tcW w:w="1060" w:type="dxa"/>
            <w:vAlign w:val="bottom"/>
            <w:gridSpan w:val="2"/>
          </w:tcPr>
          <w:p>
            <w:pPr>
              <w:jc w:val="right"/>
              <w:ind w:right="380"/>
              <w:spacing w:after="0" w:line="142" w:lineRule="exact"/>
              <w:rPr>
                <w:sz w:val="20"/>
                <w:szCs w:val="20"/>
                <w:color w:val="auto"/>
              </w:rPr>
            </w:pPr>
            <w:r>
              <w:rPr>
                <w:rFonts w:ascii="Arial" w:cs="Arial" w:eastAsia="Arial" w:hAnsi="Arial"/>
                <w:sz w:val="14"/>
                <w:szCs w:val="14"/>
                <w:b w:val="1"/>
                <w:bCs w:val="1"/>
                <w:color w:val="auto"/>
                <w:w w:val="97"/>
              </w:rPr>
              <w:t>% Change</w:t>
            </w:r>
          </w:p>
        </w:tc>
        <w:tc>
          <w:tcPr>
            <w:tcW w:w="140" w:type="dxa"/>
            <w:vAlign w:val="bottom"/>
          </w:tcPr>
          <w:p>
            <w:pPr>
              <w:spacing w:after="0"/>
              <w:rPr>
                <w:sz w:val="12"/>
                <w:szCs w:val="12"/>
                <w:color w:val="auto"/>
              </w:rPr>
            </w:pPr>
          </w:p>
        </w:tc>
        <w:tc>
          <w:tcPr>
            <w:tcW w:w="560" w:type="dxa"/>
            <w:vAlign w:val="bottom"/>
          </w:tcPr>
          <w:p>
            <w:pPr>
              <w:jc w:val="right"/>
              <w:ind w:right="135"/>
              <w:spacing w:after="0" w:line="142" w:lineRule="exact"/>
              <w:rPr>
                <w:sz w:val="20"/>
                <w:szCs w:val="20"/>
                <w:color w:val="auto"/>
              </w:rPr>
            </w:pPr>
            <w:r>
              <w:rPr>
                <w:rFonts w:ascii="Arial" w:cs="Arial" w:eastAsia="Arial" w:hAnsi="Arial"/>
                <w:sz w:val="14"/>
                <w:szCs w:val="14"/>
                <w:b w:val="1"/>
                <w:bCs w:val="1"/>
                <w:color w:val="auto"/>
              </w:rPr>
              <w:t>2009</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18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9"/>
              </w:rPr>
              <w:t>(Dollars</w:t>
            </w:r>
          </w:p>
        </w:tc>
        <w:tc>
          <w:tcPr>
            <w:tcW w:w="160" w:type="dxa"/>
            <w:vAlign w:val="bottom"/>
          </w:tcPr>
          <w:p>
            <w:pPr>
              <w:jc w:val="right"/>
              <w:spacing w:after="0" w:line="142" w:lineRule="exact"/>
              <w:rPr>
                <w:sz w:val="20"/>
                <w:szCs w:val="20"/>
                <w:color w:val="auto"/>
              </w:rPr>
            </w:pPr>
            <w:r>
              <w:rPr>
                <w:rFonts w:ascii="Arial" w:cs="Arial" w:eastAsia="Arial" w:hAnsi="Arial"/>
                <w:sz w:val="14"/>
                <w:szCs w:val="14"/>
                <w:b w:val="1"/>
                <w:bCs w:val="1"/>
                <w:color w:val="auto"/>
                <w:w w:val="96"/>
              </w:rPr>
              <w:t>in</w:t>
            </w:r>
          </w:p>
        </w:tc>
        <w:tc>
          <w:tcPr>
            <w:tcW w:w="760" w:type="dxa"/>
            <w:vAlign w:val="bottom"/>
            <w:tcBorders>
              <w:top w:val="single" w:sz="8" w:color="auto"/>
            </w:tcBorders>
          </w:tcPr>
          <w:p>
            <w:pPr>
              <w:jc w:val="right"/>
              <w:ind w:right="37"/>
              <w:spacing w:after="0" w:line="142" w:lineRule="exact"/>
              <w:rPr>
                <w:sz w:val="20"/>
                <w:szCs w:val="20"/>
                <w:color w:val="auto"/>
              </w:rPr>
            </w:pPr>
            <w:r>
              <w:rPr>
                <w:rFonts w:ascii="Arial" w:cs="Arial" w:eastAsia="Arial" w:hAnsi="Arial"/>
                <w:sz w:val="14"/>
                <w:szCs w:val="14"/>
                <w:b w:val="1"/>
                <w:bCs w:val="1"/>
                <w:color w:val="auto"/>
                <w:w w:val="82"/>
              </w:rPr>
              <w:t>thousands)</w:t>
            </w:r>
          </w:p>
        </w:tc>
        <w:tc>
          <w:tcPr>
            <w:tcW w:w="30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3180" w:type="dxa"/>
            <w:vAlign w:val="bottom"/>
            <w:shd w:val="clear" w:color="auto" w:fill="CCEEFF"/>
          </w:tcPr>
          <w:p>
            <w:pPr>
              <w:spacing w:after="0"/>
              <w:rPr>
                <w:sz w:val="20"/>
                <w:szCs w:val="20"/>
                <w:color w:val="auto"/>
              </w:rPr>
            </w:pPr>
            <w:r>
              <w:rPr>
                <w:rFonts w:ascii="Arial" w:cs="Arial" w:eastAsia="Arial" w:hAnsi="Arial"/>
                <w:sz w:val="18"/>
                <w:szCs w:val="18"/>
                <w:color w:val="auto"/>
              </w:rPr>
              <w:t>LendingTree Loans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ind w:right="92"/>
              <w:spacing w:after="0"/>
              <w:rPr>
                <w:sz w:val="20"/>
                <w:szCs w:val="20"/>
                <w:color w:val="auto"/>
              </w:rPr>
            </w:pPr>
            <w:r>
              <w:rPr>
                <w:rFonts w:ascii="Arial" w:cs="Arial" w:eastAsia="Arial" w:hAnsi="Arial"/>
                <w:sz w:val="18"/>
                <w:szCs w:val="18"/>
                <w:color w:val="auto"/>
              </w:rPr>
              <w:t>4,432</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ind w:right="92"/>
              <w:spacing w:after="0"/>
              <w:rPr>
                <w:sz w:val="20"/>
                <w:szCs w:val="20"/>
                <w:color w:val="auto"/>
              </w:rPr>
            </w:pPr>
            <w:r>
              <w:rPr>
                <w:rFonts w:ascii="Arial" w:cs="Arial" w:eastAsia="Arial" w:hAnsi="Arial"/>
                <w:sz w:val="18"/>
                <w:szCs w:val="18"/>
                <w:color w:val="auto"/>
              </w:rPr>
              <w:t>1,197</w:t>
            </w: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37%</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3,235</w:t>
            </w:r>
          </w:p>
        </w:tc>
        <w:tc>
          <w:tcPr>
            <w:tcW w:w="0" w:type="dxa"/>
            <w:vAlign w:val="bottom"/>
          </w:tcPr>
          <w:p>
            <w:pPr>
              <w:spacing w:after="0"/>
              <w:rPr>
                <w:sz w:val="1"/>
                <w:szCs w:val="1"/>
                <w:color w:val="auto"/>
              </w:rPr>
            </w:pPr>
          </w:p>
        </w:tc>
      </w:tr>
      <w:tr>
        <w:trPr>
          <w:trHeight w:val="216"/>
        </w:trPr>
        <w:tc>
          <w:tcPr>
            <w:tcW w:w="3180" w:type="dxa"/>
            <w:vAlign w:val="bottom"/>
          </w:tcPr>
          <w:p>
            <w:pPr>
              <w:spacing w:after="0"/>
              <w:rPr>
                <w:sz w:val="20"/>
                <w:szCs w:val="20"/>
                <w:color w:val="auto"/>
              </w:rPr>
            </w:pPr>
            <w:r>
              <w:rPr>
                <w:rFonts w:ascii="Arial" w:cs="Arial" w:eastAsia="Arial" w:hAnsi="Arial"/>
                <w:sz w:val="18"/>
                <w:szCs w:val="18"/>
                <w:color w:val="auto"/>
              </w:rPr>
              <w:t>Exchanges</w:t>
            </w:r>
          </w:p>
        </w:tc>
        <w:tc>
          <w:tcPr>
            <w:tcW w:w="160" w:type="dxa"/>
            <w:vAlign w:val="bottom"/>
          </w:tcPr>
          <w:p>
            <w:pPr>
              <w:spacing w:after="0"/>
              <w:rPr>
                <w:sz w:val="18"/>
                <w:szCs w:val="18"/>
                <w:color w:val="auto"/>
              </w:rPr>
            </w:pPr>
          </w:p>
        </w:tc>
        <w:tc>
          <w:tcPr>
            <w:tcW w:w="700" w:type="dxa"/>
            <w:vAlign w:val="bottom"/>
            <w:gridSpan w:val="2"/>
          </w:tcPr>
          <w:p>
            <w:pPr>
              <w:jc w:val="right"/>
              <w:ind w:right="92"/>
              <w:spacing w:after="0"/>
              <w:rPr>
                <w:sz w:val="20"/>
                <w:szCs w:val="20"/>
                <w:color w:val="auto"/>
              </w:rPr>
            </w:pPr>
            <w:r>
              <w:rPr>
                <w:rFonts w:ascii="Arial" w:cs="Arial" w:eastAsia="Arial" w:hAnsi="Arial"/>
                <w:sz w:val="18"/>
                <w:szCs w:val="18"/>
                <w:color w:val="auto"/>
                <w:w w:val="94"/>
              </w:rPr>
              <w:t>12,944</w:t>
            </w:r>
          </w:p>
        </w:tc>
        <w:tc>
          <w:tcPr>
            <w:tcW w:w="180" w:type="dxa"/>
            <w:vAlign w:val="bottom"/>
          </w:tcPr>
          <w:p>
            <w:pPr>
              <w:spacing w:after="0"/>
              <w:rPr>
                <w:sz w:val="18"/>
                <w:szCs w:val="18"/>
                <w:color w:val="auto"/>
              </w:rPr>
            </w:pPr>
          </w:p>
        </w:tc>
        <w:tc>
          <w:tcPr>
            <w:tcW w:w="700" w:type="dxa"/>
            <w:vAlign w:val="bottom"/>
            <w:gridSpan w:val="2"/>
          </w:tcPr>
          <w:p>
            <w:pPr>
              <w:jc w:val="right"/>
              <w:ind w:right="32"/>
              <w:spacing w:after="0"/>
              <w:rPr>
                <w:sz w:val="20"/>
                <w:szCs w:val="20"/>
                <w:color w:val="auto"/>
              </w:rPr>
            </w:pPr>
            <w:r>
              <w:rPr>
                <w:rFonts w:ascii="Arial" w:cs="Arial" w:eastAsia="Arial" w:hAnsi="Arial"/>
                <w:sz w:val="18"/>
                <w:szCs w:val="18"/>
                <w:color w:val="auto"/>
              </w:rPr>
              <w:t>(34)</w:t>
            </w: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w w:val="98"/>
              </w:rPr>
              <w:t>12,978</w:t>
            </w:r>
          </w:p>
        </w:tc>
        <w:tc>
          <w:tcPr>
            <w:tcW w:w="0" w:type="dxa"/>
            <w:vAlign w:val="bottom"/>
          </w:tcPr>
          <w:p>
            <w:pPr>
              <w:spacing w:after="0"/>
              <w:rPr>
                <w:sz w:val="1"/>
                <w:szCs w:val="1"/>
                <w:color w:val="auto"/>
              </w:rPr>
            </w:pPr>
          </w:p>
        </w:tc>
      </w:tr>
      <w:tr>
        <w:trPr>
          <w:trHeight w:val="216"/>
        </w:trPr>
        <w:tc>
          <w:tcPr>
            <w:tcW w:w="3180" w:type="dxa"/>
            <w:vAlign w:val="bottom"/>
            <w:shd w:val="clear" w:color="auto" w:fill="CCEEFF"/>
          </w:tcPr>
          <w:p>
            <w:pPr>
              <w:spacing w:after="0"/>
              <w:rPr>
                <w:sz w:val="20"/>
                <w:szCs w:val="20"/>
                <w:color w:val="auto"/>
              </w:rPr>
            </w:pPr>
            <w:r>
              <w:rPr>
                <w:rFonts w:ascii="Arial" w:cs="Arial" w:eastAsia="Arial" w:hAnsi="Arial"/>
                <w:sz w:val="18"/>
                <w:szCs w:val="18"/>
                <w:color w:val="auto"/>
              </w:rPr>
              <w:t>Real Estate</w:t>
            </w: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92"/>
              <w:spacing w:after="0"/>
              <w:rPr>
                <w:sz w:val="20"/>
                <w:szCs w:val="20"/>
                <w:color w:val="auto"/>
              </w:rPr>
            </w:pPr>
            <w:r>
              <w:rPr>
                <w:rFonts w:ascii="Arial" w:cs="Arial" w:eastAsia="Arial" w:hAnsi="Arial"/>
                <w:sz w:val="18"/>
                <w:szCs w:val="18"/>
                <w:color w:val="auto"/>
              </w:rPr>
              <w:t>454</w:t>
            </w:r>
          </w:p>
        </w:tc>
        <w:tc>
          <w:tcPr>
            <w:tcW w:w="1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32"/>
              <w:spacing w:after="0"/>
              <w:rPr>
                <w:sz w:val="20"/>
                <w:szCs w:val="20"/>
                <w:color w:val="auto"/>
              </w:rPr>
            </w:pPr>
            <w:r>
              <w:rPr>
                <w:rFonts w:ascii="Arial" w:cs="Arial" w:eastAsia="Arial" w:hAnsi="Arial"/>
                <w:sz w:val="18"/>
                <w:szCs w:val="18"/>
                <w:color w:val="auto"/>
              </w:rPr>
              <w:t>(767)</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(63)%</w:t>
            </w: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1,221</w:t>
            </w:r>
          </w:p>
        </w:tc>
        <w:tc>
          <w:tcPr>
            <w:tcW w:w="0" w:type="dxa"/>
            <w:vAlign w:val="bottom"/>
          </w:tcPr>
          <w:p>
            <w:pPr>
              <w:spacing w:after="0"/>
              <w:rPr>
                <w:sz w:val="1"/>
                <w:szCs w:val="1"/>
                <w:color w:val="auto"/>
              </w:rPr>
            </w:pPr>
          </w:p>
        </w:tc>
      </w:tr>
      <w:tr>
        <w:trPr>
          <w:trHeight w:val="222"/>
        </w:trPr>
        <w:tc>
          <w:tcPr>
            <w:tcW w:w="3180" w:type="dxa"/>
            <w:vAlign w:val="bottom"/>
          </w:tcPr>
          <w:p>
            <w:pPr>
              <w:spacing w:after="0"/>
              <w:rPr>
                <w:sz w:val="20"/>
                <w:szCs w:val="20"/>
                <w:color w:val="auto"/>
              </w:rPr>
            </w:pPr>
            <w:r>
              <w:rPr>
                <w:rFonts w:ascii="Arial" w:cs="Arial" w:eastAsia="Arial" w:hAnsi="Arial"/>
                <w:sz w:val="18"/>
                <w:szCs w:val="18"/>
                <w:color w:val="auto"/>
              </w:rPr>
              <w:t>Inter-segment marketing</w:t>
            </w:r>
          </w:p>
        </w:tc>
        <w:tc>
          <w:tcPr>
            <w:tcW w:w="160" w:type="dxa"/>
            <w:vAlign w:val="bottom"/>
          </w:tcPr>
          <w:p>
            <w:pPr>
              <w:spacing w:after="0"/>
              <w:rPr>
                <w:sz w:val="19"/>
                <w:szCs w:val="19"/>
                <w:color w:val="auto"/>
              </w:rPr>
            </w:pPr>
          </w:p>
        </w:tc>
        <w:tc>
          <w:tcPr>
            <w:tcW w:w="700" w:type="dxa"/>
            <w:vAlign w:val="bottom"/>
            <w:gridSpan w:val="2"/>
          </w:tcPr>
          <w:p>
            <w:pPr>
              <w:jc w:val="right"/>
              <w:ind w:right="92"/>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700" w:type="dxa"/>
            <w:vAlign w:val="bottom"/>
            <w:gridSpan w:val="2"/>
          </w:tcPr>
          <w:p>
            <w:pPr>
              <w:jc w:val="right"/>
              <w:ind w:right="32"/>
              <w:spacing w:after="0"/>
              <w:rPr>
                <w:sz w:val="20"/>
                <w:szCs w:val="20"/>
                <w:color w:val="auto"/>
              </w:rPr>
            </w:pPr>
            <w:r>
              <w:rPr>
                <w:rFonts w:ascii="Arial" w:cs="Arial" w:eastAsia="Arial" w:hAnsi="Arial"/>
                <w:sz w:val="18"/>
                <w:szCs w:val="18"/>
                <w:color w:val="auto"/>
              </w:rPr>
              <w:t>(1)</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(100)%</w:t>
            </w:r>
          </w:p>
        </w:tc>
        <w:tc>
          <w:tcPr>
            <w:tcW w:w="140" w:type="dxa"/>
            <w:vAlign w:val="bottom"/>
          </w:tcPr>
          <w:p>
            <w:pPr>
              <w:spacing w:after="0"/>
              <w:rPr>
                <w:sz w:val="19"/>
                <w:szCs w:val="19"/>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
        </w:trPr>
        <w:tc>
          <w:tcPr>
            <w:tcW w:w="3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3180" w:type="dxa"/>
            <w:vAlign w:val="bottom"/>
            <w:shd w:val="clear" w:color="auto" w:fill="CCEEFF"/>
          </w:tcPr>
          <w:p>
            <w:pPr>
              <w:spacing w:after="0"/>
              <w:rPr>
                <w:sz w:val="20"/>
                <w:szCs w:val="20"/>
                <w:color w:val="auto"/>
              </w:rPr>
            </w:pPr>
            <w:r>
              <w:rPr>
                <w:rFonts w:ascii="Arial" w:cs="Arial" w:eastAsia="Arial" w:hAnsi="Arial"/>
                <w:sz w:val="18"/>
                <w:szCs w:val="18"/>
                <w:color w:val="auto"/>
              </w:rPr>
              <w:t>Selling and marketing expense</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ind w:right="92"/>
              <w:spacing w:after="0"/>
              <w:rPr>
                <w:sz w:val="20"/>
                <w:szCs w:val="20"/>
                <w:color w:val="auto"/>
              </w:rPr>
            </w:pPr>
            <w:r>
              <w:rPr>
                <w:rFonts w:ascii="Arial" w:cs="Arial" w:eastAsia="Arial" w:hAnsi="Arial"/>
                <w:sz w:val="18"/>
                <w:szCs w:val="18"/>
                <w:color w:val="auto"/>
                <w:w w:val="94"/>
              </w:rPr>
              <w:t>17,830</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ind w:right="92"/>
              <w:spacing w:after="0"/>
              <w:rPr>
                <w:sz w:val="20"/>
                <w:szCs w:val="20"/>
                <w:color w:val="auto"/>
              </w:rPr>
            </w:pPr>
            <w:r>
              <w:rPr>
                <w:rFonts w:ascii="Arial" w:cs="Arial" w:eastAsia="Arial" w:hAnsi="Arial"/>
                <w:sz w:val="18"/>
                <w:szCs w:val="18"/>
                <w:color w:val="auto"/>
              </w:rPr>
              <w:t>395</w:t>
            </w: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8"/>
              </w:rPr>
              <w:t>17,435</w:t>
            </w:r>
          </w:p>
        </w:tc>
        <w:tc>
          <w:tcPr>
            <w:tcW w:w="0" w:type="dxa"/>
            <w:vAlign w:val="bottom"/>
          </w:tcPr>
          <w:p>
            <w:pPr>
              <w:spacing w:after="0"/>
              <w:rPr>
                <w:sz w:val="1"/>
                <w:szCs w:val="1"/>
                <w:color w:val="auto"/>
              </w:rPr>
            </w:pPr>
          </w:p>
        </w:tc>
      </w:tr>
      <w:tr>
        <w:trPr>
          <w:trHeight w:val="27"/>
        </w:trPr>
        <w:tc>
          <w:tcPr>
            <w:tcW w:w="3180" w:type="dxa"/>
            <w:vAlign w:val="bottom"/>
            <w:vMerge w:val="restart"/>
          </w:tcPr>
          <w:p>
            <w:pPr>
              <w:spacing w:after="0"/>
              <w:rPr>
                <w:sz w:val="20"/>
                <w:szCs w:val="20"/>
                <w:color w:val="auto"/>
              </w:rPr>
            </w:pPr>
            <w:r>
              <w:rPr>
                <w:rFonts w:ascii="Arial" w:cs="Arial" w:eastAsia="Arial" w:hAnsi="Arial"/>
                <w:sz w:val="18"/>
                <w:szCs w:val="18"/>
                <w:color w:val="auto"/>
              </w:rPr>
              <w:t>As a percentage of total revenue</w:t>
            </w:r>
          </w:p>
        </w:tc>
        <w:tc>
          <w:tcPr>
            <w:tcW w:w="1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3180" w:type="dxa"/>
            <w:vAlign w:val="bottom"/>
            <w:vMerge w:val="continue"/>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60" w:type="dxa"/>
            <w:vAlign w:val="bottom"/>
            <w:gridSpan w:val="2"/>
            <w:vMerge w:val="continue"/>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3180" w:type="dxa"/>
            <w:vAlign w:val="bottom"/>
            <w:vMerge w:val="continue"/>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gridSpan w:val="2"/>
          </w:tcPr>
          <w:p>
            <w:pPr>
              <w:jc w:val="right"/>
              <w:spacing w:after="0" w:line="203" w:lineRule="exact"/>
              <w:rPr>
                <w:sz w:val="20"/>
                <w:szCs w:val="20"/>
                <w:color w:val="auto"/>
              </w:rPr>
            </w:pPr>
            <w:r>
              <w:rPr>
                <w:rFonts w:ascii="Arial" w:cs="Arial" w:eastAsia="Arial" w:hAnsi="Arial"/>
                <w:sz w:val="18"/>
                <w:szCs w:val="18"/>
                <w:color w:val="auto"/>
              </w:rPr>
              <w:t>34%</w:t>
            </w:r>
          </w:p>
        </w:tc>
        <w:tc>
          <w:tcPr>
            <w:tcW w:w="1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gridSpan w:val="2"/>
            <w:vMerge w:val="continue"/>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gridSpan w:val="2"/>
          </w:tcPr>
          <w:p>
            <w:pPr>
              <w:jc w:val="right"/>
              <w:ind w:right="20"/>
              <w:spacing w:after="0" w:line="203" w:lineRule="exact"/>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tbl>
      <w:tblPr>
        <w:tblLayout w:type="fixed"/>
        <w:tblInd w:w="23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3240" w:type="dxa"/>
            <w:vAlign w:val="bottom"/>
          </w:tcPr>
          <w:p>
            <w:pPr>
              <w:spacing w:after="0"/>
              <w:rPr>
                <w:sz w:val="14"/>
                <w:szCs w:val="14"/>
                <w:color w:val="auto"/>
              </w:rPr>
            </w:pPr>
          </w:p>
        </w:tc>
        <w:tc>
          <w:tcPr>
            <w:tcW w:w="1280" w:type="dxa"/>
            <w:vAlign w:val="bottom"/>
            <w:gridSpan w:val="5"/>
          </w:tcPr>
          <w:p>
            <w:pPr>
              <w:jc w:val="center"/>
              <w:ind w:right="140"/>
              <w:spacing w:after="0"/>
              <w:rPr>
                <w:sz w:val="20"/>
                <w:szCs w:val="20"/>
                <w:color w:val="auto"/>
              </w:rPr>
            </w:pPr>
            <w:r>
              <w:rPr>
                <w:rFonts w:ascii="Arial" w:cs="Arial" w:eastAsia="Arial" w:hAnsi="Arial"/>
                <w:sz w:val="14"/>
                <w:szCs w:val="14"/>
                <w:b w:val="1"/>
                <w:bCs w:val="1"/>
                <w:color w:val="auto"/>
                <w:w w:val="89"/>
              </w:rPr>
              <w:t>Three Months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300" w:type="dxa"/>
            <w:vAlign w:val="bottom"/>
          </w:tcPr>
          <w:p>
            <w:pPr>
              <w:spacing w:after="0"/>
              <w:rPr>
                <w:sz w:val="12"/>
                <w:szCs w:val="12"/>
                <w:color w:val="auto"/>
              </w:rPr>
            </w:pPr>
          </w:p>
        </w:tc>
        <w:tc>
          <w:tcPr>
            <w:tcW w:w="3240" w:type="dxa"/>
            <w:vAlign w:val="bottom"/>
          </w:tcPr>
          <w:p>
            <w:pPr>
              <w:spacing w:after="0"/>
              <w:rPr>
                <w:sz w:val="12"/>
                <w:szCs w:val="12"/>
                <w:color w:val="auto"/>
              </w:rPr>
            </w:pPr>
          </w:p>
        </w:tc>
        <w:tc>
          <w:tcPr>
            <w:tcW w:w="760" w:type="dxa"/>
            <w:vAlign w:val="bottom"/>
            <w:gridSpan w:val="3"/>
          </w:tcPr>
          <w:p>
            <w:pPr>
              <w:jc w:val="center"/>
              <w:ind w:left="284"/>
              <w:spacing w:after="0" w:line="149" w:lineRule="exact"/>
              <w:rPr>
                <w:sz w:val="20"/>
                <w:szCs w:val="20"/>
                <w:color w:val="auto"/>
              </w:rPr>
            </w:pPr>
            <w:r>
              <w:rPr>
                <w:rFonts w:ascii="Arial" w:cs="Arial" w:eastAsia="Arial" w:hAnsi="Arial"/>
                <w:sz w:val="14"/>
                <w:szCs w:val="14"/>
                <w:b w:val="1"/>
                <w:bCs w:val="1"/>
                <w:color w:val="auto"/>
                <w:w w:val="84"/>
              </w:rPr>
              <w:t>Ended</w:t>
            </w:r>
          </w:p>
        </w:tc>
        <w:tc>
          <w:tcPr>
            <w:tcW w:w="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55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As a Percentage of Segment Revenue</w:t>
            </w:r>
          </w:p>
        </w:tc>
        <w:tc>
          <w:tcPr>
            <w:tcW w:w="1280" w:type="dxa"/>
            <w:vAlign w:val="bottom"/>
            <w:gridSpan w:val="5"/>
          </w:tcPr>
          <w:p>
            <w:pPr>
              <w:jc w:val="center"/>
              <w:ind w:right="140"/>
              <w:spacing w:after="0"/>
              <w:rPr>
                <w:sz w:val="20"/>
                <w:szCs w:val="20"/>
                <w:color w:val="auto"/>
              </w:rPr>
            </w:pPr>
            <w:r>
              <w:rPr>
                <w:rFonts w:ascii="Arial" w:cs="Arial" w:eastAsia="Arial" w:hAnsi="Arial"/>
                <w:sz w:val="14"/>
                <w:szCs w:val="14"/>
                <w:b w:val="1"/>
                <w:bCs w:val="1"/>
                <w:color w:val="auto"/>
                <w:w w:val="85"/>
              </w:rPr>
              <w:t>September 30,</w:t>
            </w:r>
          </w:p>
        </w:tc>
        <w:tc>
          <w:tcPr>
            <w:tcW w:w="0" w:type="dxa"/>
            <w:vAlign w:val="bottom"/>
          </w:tcPr>
          <w:p>
            <w:pPr>
              <w:spacing w:after="0"/>
              <w:rPr>
                <w:sz w:val="1"/>
                <w:szCs w:val="1"/>
                <w:color w:val="auto"/>
              </w:rPr>
            </w:pPr>
          </w:p>
        </w:tc>
      </w:tr>
      <w:tr>
        <w:trPr>
          <w:trHeight w:val="142"/>
        </w:trPr>
        <w:tc>
          <w:tcPr>
            <w:tcW w:w="5560" w:type="dxa"/>
            <w:vAlign w:val="bottom"/>
            <w:gridSpan w:val="3"/>
            <w:vMerge w:val="continue"/>
          </w:tcPr>
          <w:p>
            <w:pPr>
              <w:spacing w:after="0"/>
              <w:rPr>
                <w:sz w:val="12"/>
                <w:szCs w:val="12"/>
                <w:color w:val="auto"/>
              </w:rPr>
            </w:pPr>
          </w:p>
        </w:tc>
        <w:tc>
          <w:tcPr>
            <w:tcW w:w="440" w:type="dxa"/>
            <w:vAlign w:val="bottom"/>
            <w:tcBorders>
              <w:top w:val="single" w:sz="8" w:color="auto"/>
            </w:tcBorders>
          </w:tcPr>
          <w:p>
            <w:pPr>
              <w:jc w:val="right"/>
              <w:ind w:right="4"/>
              <w:spacing w:after="0" w:line="142" w:lineRule="exact"/>
              <w:rPr>
                <w:sz w:val="20"/>
                <w:szCs w:val="20"/>
                <w:color w:val="auto"/>
              </w:rPr>
            </w:pPr>
            <w:r>
              <w:rPr>
                <w:rFonts w:ascii="Arial" w:cs="Arial" w:eastAsia="Arial" w:hAnsi="Arial"/>
                <w:sz w:val="14"/>
                <w:szCs w:val="14"/>
                <w:b w:val="1"/>
                <w:bCs w:val="1"/>
                <w:color w:val="auto"/>
              </w:rPr>
              <w:t>2010</w:t>
            </w:r>
          </w:p>
        </w:tc>
        <w:tc>
          <w:tcPr>
            <w:tcW w:w="24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36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3"/>
              </w:rPr>
              <w:t>2009</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2300" w:type="dxa"/>
            <w:vAlign w:val="bottom"/>
            <w:shd w:val="clear" w:color="auto" w:fill="000000"/>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2300" w:type="dxa"/>
            <w:vAlign w:val="bottom"/>
            <w:shd w:val="clear" w:color="auto" w:fill="CCEEFF"/>
          </w:tcPr>
          <w:p>
            <w:pPr>
              <w:spacing w:after="0"/>
              <w:rPr>
                <w:sz w:val="20"/>
                <w:szCs w:val="20"/>
                <w:color w:val="auto"/>
              </w:rPr>
            </w:pPr>
            <w:r>
              <w:rPr>
                <w:rFonts w:ascii="Arial" w:cs="Arial" w:eastAsia="Arial" w:hAnsi="Arial"/>
                <w:sz w:val="18"/>
                <w:szCs w:val="18"/>
                <w:color w:val="auto"/>
              </w:rPr>
              <w:t>LendingTree Loans</w:t>
            </w:r>
          </w:p>
        </w:tc>
        <w:tc>
          <w:tcPr>
            <w:tcW w:w="32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w:t>
            </w:r>
          </w:p>
        </w:tc>
        <w:tc>
          <w:tcPr>
            <w:tcW w:w="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gridSpan w:val="2"/>
          </w:tcPr>
          <w:p>
            <w:pPr>
              <w:spacing w:after="0"/>
              <w:rPr>
                <w:sz w:val="20"/>
                <w:szCs w:val="20"/>
                <w:color w:val="auto"/>
              </w:rPr>
            </w:pPr>
            <w:r>
              <w:rPr>
                <w:rFonts w:ascii="Arial" w:cs="Arial" w:eastAsia="Arial" w:hAnsi="Arial"/>
                <w:sz w:val="18"/>
                <w:szCs w:val="18"/>
                <w:color w:val="auto"/>
              </w:rPr>
              <w:t>Exchanges</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85%</w:t>
            </w:r>
          </w:p>
        </w:tc>
        <w:tc>
          <w:tcPr>
            <w:tcW w:w="80" w:type="dxa"/>
            <w:vAlign w:val="bottom"/>
          </w:tcPr>
          <w:p>
            <w:pPr>
              <w:spacing w:after="0"/>
              <w:rPr>
                <w:sz w:val="18"/>
                <w:szCs w:val="18"/>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Real Estate</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w:t>
            </w:r>
          </w:p>
        </w:tc>
        <w:tc>
          <w:tcPr>
            <w:tcW w:w="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bl>
    <w:p>
      <w:pPr>
        <w:spacing w:after="0" w:line="208" w:lineRule="exact"/>
        <w:rPr>
          <w:sz w:val="20"/>
          <w:szCs w:val="20"/>
          <w:color w:val="auto"/>
        </w:rPr>
      </w:pPr>
    </w:p>
    <w:p>
      <w:pPr>
        <w:ind w:right="120" w:firstLine="351"/>
        <w:spacing w:after="0" w:line="335" w:lineRule="auto"/>
        <w:rPr>
          <w:sz w:val="20"/>
          <w:szCs w:val="20"/>
          <w:color w:val="auto"/>
        </w:rPr>
      </w:pPr>
      <w:r>
        <w:rPr>
          <w:rFonts w:ascii="Arial" w:cs="Arial" w:eastAsia="Arial" w:hAnsi="Arial"/>
          <w:sz w:val="15"/>
          <w:szCs w:val="15"/>
          <w:color w:val="auto"/>
        </w:rPr>
        <w:t>Selling and marketing expense consists primarily of advertising and promotional expenditures, fees paid to lead sources and compensation and other employee related costs (including stock-based compensation) for personnel engaged in the sales function. Advertising and promotional expenditures primarily include online marketing, as well as television, print and radio spending. Advertising production costs are expensed in the period the related ad is first run.</w:t>
      </w:r>
    </w:p>
    <w:p>
      <w:pPr>
        <w:spacing w:after="0" w:line="142" w:lineRule="exact"/>
        <w:rPr>
          <w:sz w:val="20"/>
          <w:szCs w:val="20"/>
          <w:color w:val="auto"/>
        </w:rPr>
      </w:pPr>
    </w:p>
    <w:p>
      <w:pPr>
        <w:jc w:val="both"/>
        <w:ind w:right="20" w:firstLine="351"/>
        <w:spacing w:after="0" w:line="370" w:lineRule="auto"/>
        <w:rPr>
          <w:sz w:val="20"/>
          <w:szCs w:val="20"/>
          <w:color w:val="auto"/>
        </w:rPr>
      </w:pPr>
      <w:r>
        <w:rPr>
          <w:rFonts w:ascii="Arial" w:cs="Arial" w:eastAsia="Arial" w:hAnsi="Arial"/>
          <w:sz w:val="15"/>
          <w:szCs w:val="15"/>
          <w:color w:val="auto"/>
        </w:rPr>
        <w:t>During the third quarter of 2010, the Company changed its accounting policy for inter-segment revenue and inter-segment marketing expense between the LendingTree Loans and Exchanges segments. This change only impacts the segment results, and does not impact the consolidated financial results of Tree.com.</w:t>
      </w:r>
    </w:p>
    <w:p>
      <w:pPr>
        <w:spacing w:after="0" w:line="116" w:lineRule="exact"/>
        <w:rPr>
          <w:sz w:val="20"/>
          <w:szCs w:val="20"/>
          <w:color w:val="auto"/>
        </w:rPr>
      </w:pPr>
    </w:p>
    <w:p>
      <w:pPr>
        <w:ind w:right="60" w:firstLine="351"/>
        <w:spacing w:after="0" w:line="332" w:lineRule="auto"/>
        <w:rPr>
          <w:sz w:val="20"/>
          <w:szCs w:val="20"/>
          <w:color w:val="auto"/>
        </w:rPr>
      </w:pPr>
      <w:r>
        <w:rPr>
          <w:rFonts w:ascii="Arial" w:cs="Arial" w:eastAsia="Arial" w:hAnsi="Arial"/>
          <w:sz w:val="16"/>
          <w:szCs w:val="16"/>
          <w:color w:val="auto"/>
        </w:rPr>
        <w:t>Marketing expense for the Exchanges is primarily the building and maintaining of the Company's core brands, using both online and offline spending, and generates leads not only for the Exchanges but for other segments as well. Previously, marketing expense for LendingTree Loans was primarily</w:t>
      </w:r>
    </w:p>
    <w:p>
      <w:pPr>
        <w:spacing w:after="0" w:line="13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60"/>
          </w:cols>
          <w:pgMar w:left="240" w:top="131" w:right="399" w:bottom="1440" w:gutter="0" w:footer="0" w:header="0"/>
        </w:sectPr>
      </w:pPr>
    </w:p>
    <w:bookmarkStart w:id="43" w:name="page44"/>
    <w:bookmarkEnd w:id="4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both"/>
        <w:ind w:right="300"/>
        <w:spacing w:after="0" w:line="335" w:lineRule="auto"/>
        <w:rPr>
          <w:sz w:val="20"/>
          <w:szCs w:val="20"/>
          <w:color w:val="auto"/>
        </w:rPr>
      </w:pPr>
      <w:r>
        <w:rPr>
          <w:rFonts w:ascii="Arial" w:cs="Arial" w:eastAsia="Arial" w:hAnsi="Arial"/>
          <w:sz w:val="15"/>
          <w:szCs w:val="15"/>
          <w:color w:val="auto"/>
        </w:rPr>
        <w:t>comprised of inter-segment purchases of leads from the Exchanges, leveraging the LendingTree and GetSmart brands. The Exchanges received inter-segment revenue for the sale of these leads, and that revenue and the related marketing expense at LendingTree Loans would then be eliminated in consolidation of the total Company results. Advertising for Real Estate primarily consists of lead generation through online spending, as well as lead purchases from Exchanges.</w:t>
      </w:r>
    </w:p>
    <w:p>
      <w:pPr>
        <w:spacing w:after="0" w:line="142" w:lineRule="exact"/>
        <w:rPr>
          <w:sz w:val="20"/>
          <w:szCs w:val="20"/>
          <w:color w:val="auto"/>
        </w:rPr>
      </w:pPr>
    </w:p>
    <w:p>
      <w:pPr>
        <w:ind w:right="20" w:firstLine="348"/>
        <w:spacing w:after="0" w:line="298" w:lineRule="auto"/>
        <w:rPr>
          <w:sz w:val="20"/>
          <w:szCs w:val="20"/>
          <w:color w:val="auto"/>
        </w:rPr>
      </w:pPr>
      <w:r>
        <w:rPr>
          <w:rFonts w:ascii="Arial" w:cs="Arial" w:eastAsia="Arial" w:hAnsi="Arial"/>
          <w:sz w:val="16"/>
          <w:szCs w:val="16"/>
          <w:color w:val="auto"/>
        </w:rPr>
        <w:t>The Company now uses a cost sharing approach for these marketing expenses, whereby LendingTree Loans and the Exchanges share the marketing expense on a pro rata basis, based on the quantity of leads received by each segment. There is no longer inter-segment revenue or inter-segment marketing expense related to these leads. Management believes that this cost sharing approach is preferable because it more closely aligns the overall goals of the Company with the goals of segment management, and will ultimately drive the Company to better performance.</w:t>
      </w:r>
    </w:p>
    <w:p>
      <w:pPr>
        <w:spacing w:after="0" w:line="167" w:lineRule="exact"/>
        <w:rPr>
          <w:sz w:val="20"/>
          <w:szCs w:val="20"/>
          <w:color w:val="auto"/>
        </w:rPr>
      </w:pPr>
    </w:p>
    <w:p>
      <w:pPr>
        <w:ind w:left="360"/>
        <w:spacing w:after="0"/>
        <w:rPr>
          <w:sz w:val="20"/>
          <w:szCs w:val="20"/>
          <w:color w:val="auto"/>
        </w:rPr>
      </w:pPr>
      <w:r>
        <w:rPr>
          <w:rFonts w:ascii="Arial" w:cs="Arial" w:eastAsia="Arial" w:hAnsi="Arial"/>
          <w:sz w:val="18"/>
          <w:szCs w:val="18"/>
          <w:color w:val="auto"/>
        </w:rPr>
        <w:t>Segment reporting results for prior periods reflect the policy change noted above.</w:t>
      </w:r>
    </w:p>
    <w:p>
      <w:pPr>
        <w:spacing w:after="0" w:line="225" w:lineRule="exact"/>
        <w:rPr>
          <w:sz w:val="20"/>
          <w:szCs w:val="20"/>
          <w:color w:val="auto"/>
        </w:rPr>
      </w:pPr>
    </w:p>
    <w:p>
      <w:pPr>
        <w:ind w:firstLine="351"/>
        <w:spacing w:after="0" w:line="259" w:lineRule="auto"/>
        <w:rPr>
          <w:sz w:val="20"/>
          <w:szCs w:val="20"/>
          <w:color w:val="auto"/>
        </w:rPr>
      </w:pPr>
      <w:r>
        <w:rPr>
          <w:rFonts w:ascii="Arial" w:cs="Arial" w:eastAsia="Arial" w:hAnsi="Arial"/>
          <w:sz w:val="18"/>
          <w:szCs w:val="18"/>
          <w:color w:val="auto"/>
        </w:rPr>
        <w:t>Overall selling and marketing expense in 2010 increased from 2009 primarily due to an increase of $0.6 million in advertising and promotional expenditures. In 2010, Tree.com increased its online marketing advertising by $0.5 million, from $10.5 million in 2009 to $11.0 million in 2010, while broadcast advertising decreased from $4.1 million in 2009 to $3.8 million in 2010.</w:t>
      </w:r>
    </w:p>
    <w:p>
      <w:pPr>
        <w:spacing w:after="0" w:line="194" w:lineRule="exact"/>
        <w:rPr>
          <w:sz w:val="20"/>
          <w:szCs w:val="20"/>
          <w:color w:val="auto"/>
        </w:rPr>
      </w:pPr>
    </w:p>
    <w:p>
      <w:pPr>
        <w:ind w:right="460" w:firstLine="348"/>
        <w:spacing w:after="0" w:line="332" w:lineRule="auto"/>
        <w:rPr>
          <w:sz w:val="20"/>
          <w:szCs w:val="20"/>
          <w:color w:val="auto"/>
        </w:rPr>
      </w:pPr>
      <w:r>
        <w:rPr>
          <w:rFonts w:ascii="Arial" w:cs="Arial" w:eastAsia="Arial" w:hAnsi="Arial"/>
          <w:sz w:val="16"/>
          <w:szCs w:val="16"/>
          <w:color w:val="auto"/>
        </w:rPr>
        <w:t>Tree.com anticipates that it will continue to adjust selling and marketing expenditures generally in relation to revenue producing opportunities and that selling and marketing will continue to represent a high percentage of revenue as it continues to promote its brands both online and offline.</w:t>
      </w:r>
    </w:p>
    <w:p>
      <w:pPr>
        <w:spacing w:after="0" w:line="139"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For the nine months ended September 30, 2010 compared to the nine months ended September 30, 2009:</w:t>
      </w:r>
    </w:p>
    <w:p>
      <w:pPr>
        <w:spacing w:after="0" w:line="275" w:lineRule="exact"/>
        <w:rPr>
          <w:sz w:val="20"/>
          <w:szCs w:val="20"/>
          <w:color w:val="auto"/>
        </w:rPr>
      </w:pPr>
    </w:p>
    <w:tbl>
      <w:tblPr>
        <w:tblLayout w:type="fixed"/>
        <w:tblInd w:w="2300" w:type="dxa"/>
        <w:tblCellMar>
          <w:top w:w="0" w:type="dxa"/>
          <w:left w:w="0" w:type="dxa"/>
          <w:bottom w:w="0" w:type="dxa"/>
          <w:right w:w="0" w:type="dxa"/>
        </w:tblCellMar>
      </w:tblPr>
      <w:tr>
        <w:trPr>
          <w:trHeight w:val="161"/>
        </w:trPr>
        <w:tc>
          <w:tcPr>
            <w:tcW w:w="31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2100" w:type="dxa"/>
            <w:vAlign w:val="bottom"/>
            <w:tcBorders>
              <w:bottom w:val="single" w:sz="8" w:color="auto"/>
            </w:tcBorders>
            <w:gridSpan w:val="6"/>
          </w:tcPr>
          <w:p>
            <w:pPr>
              <w:jc w:val="right"/>
              <w:ind w:right="40"/>
              <w:spacing w:after="0"/>
              <w:rPr>
                <w:sz w:val="20"/>
                <w:szCs w:val="20"/>
                <w:color w:val="auto"/>
              </w:rPr>
            </w:pPr>
            <w:r>
              <w:rPr>
                <w:rFonts w:ascii="Arial" w:cs="Arial" w:eastAsia="Arial" w:hAnsi="Arial"/>
                <w:sz w:val="14"/>
                <w:szCs w:val="14"/>
                <w:b w:val="1"/>
                <w:bCs w:val="1"/>
                <w:color w:val="auto"/>
                <w:w w:val="88"/>
              </w:rPr>
              <w:t>Nine Months Ended September 30,</w:t>
            </w:r>
          </w:p>
        </w:tc>
        <w:tc>
          <w:tcPr>
            <w:tcW w:w="14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jc w:val="right"/>
              <w:ind w:right="135"/>
              <w:spacing w:after="0" w:line="142" w:lineRule="exact"/>
              <w:rPr>
                <w:sz w:val="20"/>
                <w:szCs w:val="20"/>
                <w:color w:val="auto"/>
              </w:rPr>
            </w:pPr>
            <w:r>
              <w:rPr>
                <w:rFonts w:ascii="Arial" w:cs="Arial" w:eastAsia="Arial" w:hAnsi="Arial"/>
                <w:sz w:val="14"/>
                <w:szCs w:val="14"/>
                <w:b w:val="1"/>
                <w:bCs w:val="1"/>
                <w:color w:val="auto"/>
                <w:w w:val="96"/>
              </w:rPr>
              <w:t>2010</w:t>
            </w:r>
          </w:p>
        </w:tc>
        <w:tc>
          <w:tcPr>
            <w:tcW w:w="160" w:type="dxa"/>
            <w:vAlign w:val="bottom"/>
          </w:tcPr>
          <w:p>
            <w:pPr>
              <w:spacing w:after="0"/>
              <w:rPr>
                <w:sz w:val="12"/>
                <w:szCs w:val="12"/>
                <w:color w:val="auto"/>
              </w:rPr>
            </w:pPr>
          </w:p>
        </w:tc>
        <w:tc>
          <w:tcPr>
            <w:tcW w:w="18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w:t>
            </w:r>
          </w:p>
        </w:tc>
        <w:tc>
          <w:tcPr>
            <w:tcW w:w="700" w:type="dxa"/>
            <w:vAlign w:val="bottom"/>
            <w:gridSpan w:val="2"/>
          </w:tcPr>
          <w:p>
            <w:pPr>
              <w:jc w:val="right"/>
              <w:ind w:right="172"/>
              <w:spacing w:after="0" w:line="142" w:lineRule="exact"/>
              <w:rPr>
                <w:sz w:val="20"/>
                <w:szCs w:val="20"/>
                <w:color w:val="auto"/>
              </w:rPr>
            </w:pPr>
            <w:r>
              <w:rPr>
                <w:rFonts w:ascii="Arial" w:cs="Arial" w:eastAsia="Arial" w:hAnsi="Arial"/>
                <w:sz w:val="14"/>
                <w:szCs w:val="14"/>
                <w:b w:val="1"/>
                <w:bCs w:val="1"/>
                <w:color w:val="auto"/>
                <w:w w:val="85"/>
              </w:rPr>
              <w:t>Change</w:t>
            </w:r>
          </w:p>
        </w:tc>
        <w:tc>
          <w:tcPr>
            <w:tcW w:w="1060" w:type="dxa"/>
            <w:vAlign w:val="bottom"/>
            <w:gridSpan w:val="2"/>
          </w:tcPr>
          <w:p>
            <w:pPr>
              <w:jc w:val="right"/>
              <w:ind w:right="380"/>
              <w:spacing w:after="0" w:line="142" w:lineRule="exact"/>
              <w:rPr>
                <w:sz w:val="20"/>
                <w:szCs w:val="20"/>
                <w:color w:val="auto"/>
              </w:rPr>
            </w:pPr>
            <w:r>
              <w:rPr>
                <w:rFonts w:ascii="Arial" w:cs="Arial" w:eastAsia="Arial" w:hAnsi="Arial"/>
                <w:sz w:val="14"/>
                <w:szCs w:val="14"/>
                <w:b w:val="1"/>
                <w:bCs w:val="1"/>
                <w:color w:val="auto"/>
                <w:w w:val="97"/>
              </w:rPr>
              <w:t>% Change</w:t>
            </w:r>
          </w:p>
        </w:tc>
        <w:tc>
          <w:tcPr>
            <w:tcW w:w="140" w:type="dxa"/>
            <w:vAlign w:val="bottom"/>
          </w:tcPr>
          <w:p>
            <w:pPr>
              <w:spacing w:after="0"/>
              <w:rPr>
                <w:sz w:val="12"/>
                <w:szCs w:val="12"/>
                <w:color w:val="auto"/>
              </w:rPr>
            </w:pPr>
          </w:p>
        </w:tc>
        <w:tc>
          <w:tcPr>
            <w:tcW w:w="560" w:type="dxa"/>
            <w:vAlign w:val="bottom"/>
          </w:tcPr>
          <w:p>
            <w:pPr>
              <w:jc w:val="right"/>
              <w:ind w:right="135"/>
              <w:spacing w:after="0" w:line="142" w:lineRule="exact"/>
              <w:rPr>
                <w:sz w:val="20"/>
                <w:szCs w:val="20"/>
                <w:color w:val="auto"/>
              </w:rPr>
            </w:pPr>
            <w:r>
              <w:rPr>
                <w:rFonts w:ascii="Arial" w:cs="Arial" w:eastAsia="Arial" w:hAnsi="Arial"/>
                <w:sz w:val="14"/>
                <w:szCs w:val="14"/>
                <w:b w:val="1"/>
                <w:bCs w:val="1"/>
                <w:color w:val="auto"/>
              </w:rPr>
              <w:t>2009</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18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9"/>
              </w:rPr>
              <w:t>(Dollars</w:t>
            </w:r>
          </w:p>
        </w:tc>
        <w:tc>
          <w:tcPr>
            <w:tcW w:w="160" w:type="dxa"/>
            <w:vAlign w:val="bottom"/>
          </w:tcPr>
          <w:p>
            <w:pPr>
              <w:jc w:val="right"/>
              <w:spacing w:after="0" w:line="142" w:lineRule="exact"/>
              <w:rPr>
                <w:sz w:val="20"/>
                <w:szCs w:val="20"/>
                <w:color w:val="auto"/>
              </w:rPr>
            </w:pPr>
            <w:r>
              <w:rPr>
                <w:rFonts w:ascii="Arial" w:cs="Arial" w:eastAsia="Arial" w:hAnsi="Arial"/>
                <w:sz w:val="14"/>
                <w:szCs w:val="14"/>
                <w:b w:val="1"/>
                <w:bCs w:val="1"/>
                <w:color w:val="auto"/>
                <w:w w:val="96"/>
              </w:rPr>
              <w:t>in</w:t>
            </w:r>
          </w:p>
        </w:tc>
        <w:tc>
          <w:tcPr>
            <w:tcW w:w="760" w:type="dxa"/>
            <w:vAlign w:val="bottom"/>
            <w:tcBorders>
              <w:top w:val="single" w:sz="8" w:color="auto"/>
            </w:tcBorders>
          </w:tcPr>
          <w:p>
            <w:pPr>
              <w:jc w:val="right"/>
              <w:ind w:right="37"/>
              <w:spacing w:after="0" w:line="142" w:lineRule="exact"/>
              <w:rPr>
                <w:sz w:val="20"/>
                <w:szCs w:val="20"/>
                <w:color w:val="auto"/>
              </w:rPr>
            </w:pPr>
            <w:r>
              <w:rPr>
                <w:rFonts w:ascii="Arial" w:cs="Arial" w:eastAsia="Arial" w:hAnsi="Arial"/>
                <w:sz w:val="14"/>
                <w:szCs w:val="14"/>
                <w:b w:val="1"/>
                <w:bCs w:val="1"/>
                <w:color w:val="auto"/>
                <w:w w:val="82"/>
              </w:rPr>
              <w:t>thousands)</w:t>
            </w:r>
          </w:p>
        </w:tc>
        <w:tc>
          <w:tcPr>
            <w:tcW w:w="30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3180" w:type="dxa"/>
            <w:vAlign w:val="bottom"/>
            <w:shd w:val="clear" w:color="auto" w:fill="CCEEFF"/>
          </w:tcPr>
          <w:p>
            <w:pPr>
              <w:spacing w:after="0"/>
              <w:rPr>
                <w:sz w:val="20"/>
                <w:szCs w:val="20"/>
                <w:color w:val="auto"/>
              </w:rPr>
            </w:pPr>
            <w:r>
              <w:rPr>
                <w:rFonts w:ascii="Arial" w:cs="Arial" w:eastAsia="Arial" w:hAnsi="Arial"/>
                <w:sz w:val="18"/>
                <w:szCs w:val="18"/>
                <w:color w:val="auto"/>
              </w:rPr>
              <w:t>LendingTree Loans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ind w:right="92"/>
              <w:spacing w:after="0"/>
              <w:rPr>
                <w:sz w:val="20"/>
                <w:szCs w:val="20"/>
                <w:color w:val="auto"/>
              </w:rPr>
            </w:pPr>
            <w:r>
              <w:rPr>
                <w:rFonts w:ascii="Arial" w:cs="Arial" w:eastAsia="Arial" w:hAnsi="Arial"/>
                <w:sz w:val="18"/>
                <w:szCs w:val="18"/>
                <w:color w:val="auto"/>
                <w:w w:val="94"/>
              </w:rPr>
              <w:t>14,597</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ind w:right="92"/>
              <w:spacing w:after="0"/>
              <w:rPr>
                <w:sz w:val="20"/>
                <w:szCs w:val="20"/>
                <w:color w:val="auto"/>
              </w:rPr>
            </w:pPr>
            <w:r>
              <w:rPr>
                <w:rFonts w:ascii="Arial" w:cs="Arial" w:eastAsia="Arial" w:hAnsi="Arial"/>
                <w:sz w:val="18"/>
                <w:szCs w:val="18"/>
                <w:color w:val="auto"/>
              </w:rPr>
              <w:t>7,720</w:t>
            </w: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112%</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6,877</w:t>
            </w:r>
          </w:p>
        </w:tc>
        <w:tc>
          <w:tcPr>
            <w:tcW w:w="0" w:type="dxa"/>
            <w:vAlign w:val="bottom"/>
          </w:tcPr>
          <w:p>
            <w:pPr>
              <w:spacing w:after="0"/>
              <w:rPr>
                <w:sz w:val="1"/>
                <w:szCs w:val="1"/>
                <w:color w:val="auto"/>
              </w:rPr>
            </w:pPr>
          </w:p>
        </w:tc>
      </w:tr>
      <w:tr>
        <w:trPr>
          <w:trHeight w:val="216"/>
        </w:trPr>
        <w:tc>
          <w:tcPr>
            <w:tcW w:w="3180" w:type="dxa"/>
            <w:vAlign w:val="bottom"/>
          </w:tcPr>
          <w:p>
            <w:pPr>
              <w:spacing w:after="0"/>
              <w:rPr>
                <w:sz w:val="20"/>
                <w:szCs w:val="20"/>
                <w:color w:val="auto"/>
              </w:rPr>
            </w:pPr>
            <w:r>
              <w:rPr>
                <w:rFonts w:ascii="Arial" w:cs="Arial" w:eastAsia="Arial" w:hAnsi="Arial"/>
                <w:sz w:val="18"/>
                <w:szCs w:val="18"/>
                <w:color w:val="auto"/>
              </w:rPr>
              <w:t>Exchanges</w:t>
            </w:r>
          </w:p>
        </w:tc>
        <w:tc>
          <w:tcPr>
            <w:tcW w:w="160" w:type="dxa"/>
            <w:vAlign w:val="bottom"/>
          </w:tcPr>
          <w:p>
            <w:pPr>
              <w:spacing w:after="0"/>
              <w:rPr>
                <w:sz w:val="18"/>
                <w:szCs w:val="18"/>
                <w:color w:val="auto"/>
              </w:rPr>
            </w:pPr>
          </w:p>
        </w:tc>
        <w:tc>
          <w:tcPr>
            <w:tcW w:w="700" w:type="dxa"/>
            <w:vAlign w:val="bottom"/>
            <w:gridSpan w:val="2"/>
          </w:tcPr>
          <w:p>
            <w:pPr>
              <w:jc w:val="right"/>
              <w:ind w:right="92"/>
              <w:spacing w:after="0"/>
              <w:rPr>
                <w:sz w:val="20"/>
                <w:szCs w:val="20"/>
                <w:color w:val="auto"/>
              </w:rPr>
            </w:pPr>
            <w:r>
              <w:rPr>
                <w:rFonts w:ascii="Arial" w:cs="Arial" w:eastAsia="Arial" w:hAnsi="Arial"/>
                <w:sz w:val="18"/>
                <w:szCs w:val="18"/>
                <w:color w:val="auto"/>
                <w:w w:val="94"/>
              </w:rPr>
              <w:t>38,885</w:t>
            </w:r>
          </w:p>
        </w:tc>
        <w:tc>
          <w:tcPr>
            <w:tcW w:w="180" w:type="dxa"/>
            <w:vAlign w:val="bottom"/>
          </w:tcPr>
          <w:p>
            <w:pPr>
              <w:spacing w:after="0"/>
              <w:rPr>
                <w:sz w:val="18"/>
                <w:szCs w:val="18"/>
                <w:color w:val="auto"/>
              </w:rPr>
            </w:pPr>
          </w:p>
        </w:tc>
        <w:tc>
          <w:tcPr>
            <w:tcW w:w="700" w:type="dxa"/>
            <w:vAlign w:val="bottom"/>
            <w:gridSpan w:val="2"/>
          </w:tcPr>
          <w:p>
            <w:pPr>
              <w:jc w:val="right"/>
              <w:ind w:right="92"/>
              <w:spacing w:after="0"/>
              <w:rPr>
                <w:sz w:val="20"/>
                <w:szCs w:val="20"/>
                <w:color w:val="auto"/>
              </w:rPr>
            </w:pPr>
            <w:r>
              <w:rPr>
                <w:rFonts w:ascii="Arial" w:cs="Arial" w:eastAsia="Arial" w:hAnsi="Arial"/>
                <w:sz w:val="18"/>
                <w:szCs w:val="18"/>
                <w:color w:val="auto"/>
              </w:rPr>
              <w:t>4,540</w:t>
            </w: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13%</w:t>
            </w:r>
          </w:p>
        </w:tc>
        <w:tc>
          <w:tcPr>
            <w:tcW w:w="14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w w:val="98"/>
              </w:rPr>
              <w:t>34,345</w:t>
            </w:r>
          </w:p>
        </w:tc>
        <w:tc>
          <w:tcPr>
            <w:tcW w:w="0" w:type="dxa"/>
            <w:vAlign w:val="bottom"/>
          </w:tcPr>
          <w:p>
            <w:pPr>
              <w:spacing w:after="0"/>
              <w:rPr>
                <w:sz w:val="1"/>
                <w:szCs w:val="1"/>
                <w:color w:val="auto"/>
              </w:rPr>
            </w:pPr>
          </w:p>
        </w:tc>
      </w:tr>
      <w:tr>
        <w:trPr>
          <w:trHeight w:val="216"/>
        </w:trPr>
        <w:tc>
          <w:tcPr>
            <w:tcW w:w="3180" w:type="dxa"/>
            <w:vAlign w:val="bottom"/>
            <w:shd w:val="clear" w:color="auto" w:fill="CCEEFF"/>
          </w:tcPr>
          <w:p>
            <w:pPr>
              <w:spacing w:after="0"/>
              <w:rPr>
                <w:sz w:val="20"/>
                <w:szCs w:val="20"/>
                <w:color w:val="auto"/>
              </w:rPr>
            </w:pPr>
            <w:r>
              <w:rPr>
                <w:rFonts w:ascii="Arial" w:cs="Arial" w:eastAsia="Arial" w:hAnsi="Arial"/>
                <w:sz w:val="18"/>
                <w:szCs w:val="18"/>
                <w:color w:val="auto"/>
              </w:rPr>
              <w:t>Real Estate</w:t>
            </w: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92"/>
              <w:spacing w:after="0"/>
              <w:rPr>
                <w:sz w:val="20"/>
                <w:szCs w:val="20"/>
                <w:color w:val="auto"/>
              </w:rPr>
            </w:pPr>
            <w:r>
              <w:rPr>
                <w:rFonts w:ascii="Arial" w:cs="Arial" w:eastAsia="Arial" w:hAnsi="Arial"/>
                <w:sz w:val="18"/>
                <w:szCs w:val="18"/>
                <w:color w:val="auto"/>
              </w:rPr>
              <w:t>1,537</w:t>
            </w:r>
          </w:p>
        </w:tc>
        <w:tc>
          <w:tcPr>
            <w:tcW w:w="1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32"/>
              <w:spacing w:after="0"/>
              <w:rPr>
                <w:sz w:val="20"/>
                <w:szCs w:val="20"/>
                <w:color w:val="auto"/>
              </w:rPr>
            </w:pPr>
            <w:r>
              <w:rPr>
                <w:rFonts w:ascii="Arial" w:cs="Arial" w:eastAsia="Arial" w:hAnsi="Arial"/>
                <w:sz w:val="18"/>
                <w:szCs w:val="18"/>
                <w:color w:val="auto"/>
              </w:rPr>
              <w:t>(2,382)</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(61)%</w:t>
            </w: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3,919</w:t>
            </w:r>
          </w:p>
        </w:tc>
        <w:tc>
          <w:tcPr>
            <w:tcW w:w="0" w:type="dxa"/>
            <w:vAlign w:val="bottom"/>
          </w:tcPr>
          <w:p>
            <w:pPr>
              <w:spacing w:after="0"/>
              <w:rPr>
                <w:sz w:val="1"/>
                <w:szCs w:val="1"/>
                <w:color w:val="auto"/>
              </w:rPr>
            </w:pPr>
          </w:p>
        </w:tc>
      </w:tr>
      <w:tr>
        <w:trPr>
          <w:trHeight w:val="222"/>
        </w:trPr>
        <w:tc>
          <w:tcPr>
            <w:tcW w:w="3180" w:type="dxa"/>
            <w:vAlign w:val="bottom"/>
          </w:tcPr>
          <w:p>
            <w:pPr>
              <w:spacing w:after="0"/>
              <w:rPr>
                <w:sz w:val="20"/>
                <w:szCs w:val="20"/>
                <w:color w:val="auto"/>
              </w:rPr>
            </w:pPr>
            <w:r>
              <w:rPr>
                <w:rFonts w:ascii="Arial" w:cs="Arial" w:eastAsia="Arial" w:hAnsi="Arial"/>
                <w:sz w:val="18"/>
                <w:szCs w:val="18"/>
                <w:color w:val="auto"/>
              </w:rPr>
              <w:t>Inter-segment marketing</w:t>
            </w:r>
          </w:p>
        </w:tc>
        <w:tc>
          <w:tcPr>
            <w:tcW w:w="160" w:type="dxa"/>
            <w:vAlign w:val="bottom"/>
          </w:tcPr>
          <w:p>
            <w:pPr>
              <w:spacing w:after="0"/>
              <w:rPr>
                <w:sz w:val="19"/>
                <w:szCs w:val="19"/>
                <w:color w:val="auto"/>
              </w:rPr>
            </w:pPr>
          </w:p>
        </w:tc>
        <w:tc>
          <w:tcPr>
            <w:tcW w:w="700" w:type="dxa"/>
            <w:vAlign w:val="bottom"/>
            <w:gridSpan w:val="2"/>
          </w:tcPr>
          <w:p>
            <w:pPr>
              <w:jc w:val="right"/>
              <w:ind w:right="92"/>
              <w:spacing w:after="0"/>
              <w:rPr>
                <w:sz w:val="20"/>
                <w:szCs w:val="20"/>
                <w:color w:val="auto"/>
              </w:rPr>
            </w:pPr>
            <w:r>
              <w:rPr>
                <w:rFonts w:ascii="Arial" w:cs="Arial" w:eastAsia="Arial" w:hAnsi="Arial"/>
                <w:sz w:val="18"/>
                <w:szCs w:val="18"/>
                <w:color w:val="auto"/>
              </w:rPr>
              <w:t>16</w:t>
            </w:r>
          </w:p>
        </w:tc>
        <w:tc>
          <w:tcPr>
            <w:tcW w:w="180" w:type="dxa"/>
            <w:vAlign w:val="bottom"/>
          </w:tcPr>
          <w:p>
            <w:pPr>
              <w:spacing w:after="0"/>
              <w:rPr>
                <w:sz w:val="19"/>
                <w:szCs w:val="19"/>
                <w:color w:val="auto"/>
              </w:rPr>
            </w:pPr>
          </w:p>
        </w:tc>
        <w:tc>
          <w:tcPr>
            <w:tcW w:w="700" w:type="dxa"/>
            <w:vAlign w:val="bottom"/>
            <w:gridSpan w:val="2"/>
          </w:tcPr>
          <w:p>
            <w:pPr>
              <w:jc w:val="right"/>
              <w:ind w:right="92"/>
              <w:spacing w:after="0"/>
              <w:rPr>
                <w:sz w:val="20"/>
                <w:szCs w:val="20"/>
                <w:color w:val="auto"/>
              </w:rPr>
            </w:pPr>
            <w:r>
              <w:rPr>
                <w:rFonts w:ascii="Arial" w:cs="Arial" w:eastAsia="Arial" w:hAnsi="Arial"/>
                <w:sz w:val="18"/>
                <w:szCs w:val="18"/>
                <w:color w:val="auto"/>
              </w:rPr>
              <w:t>8</w:t>
            </w: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109%</w:t>
            </w:r>
          </w:p>
        </w:tc>
        <w:tc>
          <w:tcPr>
            <w:tcW w:w="140" w:type="dxa"/>
            <w:vAlign w:val="bottom"/>
          </w:tcPr>
          <w:p>
            <w:pPr>
              <w:spacing w:after="0"/>
              <w:rPr>
                <w:sz w:val="19"/>
                <w:szCs w:val="19"/>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
        </w:trPr>
        <w:tc>
          <w:tcPr>
            <w:tcW w:w="3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3180" w:type="dxa"/>
            <w:vAlign w:val="bottom"/>
            <w:shd w:val="clear" w:color="auto" w:fill="CCEEFF"/>
          </w:tcPr>
          <w:p>
            <w:pPr>
              <w:spacing w:after="0"/>
              <w:rPr>
                <w:sz w:val="20"/>
                <w:szCs w:val="20"/>
                <w:color w:val="auto"/>
              </w:rPr>
            </w:pPr>
            <w:r>
              <w:rPr>
                <w:rFonts w:ascii="Arial" w:cs="Arial" w:eastAsia="Arial" w:hAnsi="Arial"/>
                <w:sz w:val="18"/>
                <w:szCs w:val="18"/>
                <w:color w:val="auto"/>
              </w:rPr>
              <w:t>Selling and marketing expense</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ind w:right="92"/>
              <w:spacing w:after="0"/>
              <w:rPr>
                <w:sz w:val="20"/>
                <w:szCs w:val="20"/>
                <w:color w:val="auto"/>
              </w:rPr>
            </w:pPr>
            <w:r>
              <w:rPr>
                <w:rFonts w:ascii="Arial" w:cs="Arial" w:eastAsia="Arial" w:hAnsi="Arial"/>
                <w:sz w:val="18"/>
                <w:szCs w:val="18"/>
                <w:color w:val="auto"/>
                <w:w w:val="94"/>
              </w:rPr>
              <w:t>55,035</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ind w:right="92"/>
              <w:spacing w:after="0"/>
              <w:rPr>
                <w:sz w:val="20"/>
                <w:szCs w:val="20"/>
                <w:color w:val="auto"/>
              </w:rPr>
            </w:pPr>
            <w:r>
              <w:rPr>
                <w:rFonts w:ascii="Arial" w:cs="Arial" w:eastAsia="Arial" w:hAnsi="Arial"/>
                <w:sz w:val="18"/>
                <w:szCs w:val="18"/>
                <w:color w:val="auto"/>
              </w:rPr>
              <w:t>9,886</w:t>
            </w: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22%</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8"/>
              </w:rPr>
              <w:t>45,149</w:t>
            </w:r>
          </w:p>
        </w:tc>
        <w:tc>
          <w:tcPr>
            <w:tcW w:w="0" w:type="dxa"/>
            <w:vAlign w:val="bottom"/>
          </w:tcPr>
          <w:p>
            <w:pPr>
              <w:spacing w:after="0"/>
              <w:rPr>
                <w:sz w:val="1"/>
                <w:szCs w:val="1"/>
                <w:color w:val="auto"/>
              </w:rPr>
            </w:pPr>
          </w:p>
        </w:tc>
      </w:tr>
      <w:tr>
        <w:trPr>
          <w:trHeight w:val="27"/>
        </w:trPr>
        <w:tc>
          <w:tcPr>
            <w:tcW w:w="3180" w:type="dxa"/>
            <w:vAlign w:val="bottom"/>
            <w:vMerge w:val="restart"/>
          </w:tcPr>
          <w:p>
            <w:pPr>
              <w:spacing w:after="0"/>
              <w:rPr>
                <w:sz w:val="20"/>
                <w:szCs w:val="20"/>
                <w:color w:val="auto"/>
              </w:rPr>
            </w:pPr>
            <w:r>
              <w:rPr>
                <w:rFonts w:ascii="Arial" w:cs="Arial" w:eastAsia="Arial" w:hAnsi="Arial"/>
                <w:sz w:val="18"/>
                <w:szCs w:val="18"/>
                <w:color w:val="auto"/>
              </w:rPr>
              <w:t>As a percentage of total revenue</w:t>
            </w:r>
          </w:p>
        </w:tc>
        <w:tc>
          <w:tcPr>
            <w:tcW w:w="1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10%</w:t>
            </w:r>
          </w:p>
        </w:tc>
        <w:tc>
          <w:tcPr>
            <w:tcW w:w="1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3180" w:type="dxa"/>
            <w:vAlign w:val="bottom"/>
            <w:vMerge w:val="continue"/>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60" w:type="dxa"/>
            <w:vAlign w:val="bottom"/>
            <w:gridSpan w:val="2"/>
            <w:vMerge w:val="continue"/>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3180" w:type="dxa"/>
            <w:vAlign w:val="bottom"/>
            <w:vMerge w:val="continue"/>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gridSpan w:val="2"/>
          </w:tcPr>
          <w:p>
            <w:pPr>
              <w:jc w:val="right"/>
              <w:spacing w:after="0" w:line="203" w:lineRule="exact"/>
              <w:rPr>
                <w:sz w:val="20"/>
                <w:szCs w:val="20"/>
                <w:color w:val="auto"/>
              </w:rPr>
            </w:pPr>
            <w:r>
              <w:rPr>
                <w:rFonts w:ascii="Arial" w:cs="Arial" w:eastAsia="Arial" w:hAnsi="Arial"/>
                <w:sz w:val="18"/>
                <w:szCs w:val="18"/>
                <w:color w:val="auto"/>
              </w:rPr>
              <w:t>37%</w:t>
            </w:r>
          </w:p>
        </w:tc>
        <w:tc>
          <w:tcPr>
            <w:tcW w:w="1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gridSpan w:val="2"/>
            <w:vMerge w:val="continue"/>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gridSpan w:val="2"/>
          </w:tcPr>
          <w:p>
            <w:pPr>
              <w:jc w:val="right"/>
              <w:ind w:right="20"/>
              <w:spacing w:after="0" w:line="203" w:lineRule="exact"/>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tbl>
      <w:tblPr>
        <w:tblLayout w:type="fixed"/>
        <w:tblInd w:w="23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3240" w:type="dxa"/>
            <w:vAlign w:val="bottom"/>
          </w:tcPr>
          <w:p>
            <w:pPr>
              <w:spacing w:after="0"/>
              <w:rPr>
                <w:sz w:val="14"/>
                <w:szCs w:val="14"/>
                <w:color w:val="auto"/>
              </w:rPr>
            </w:pPr>
          </w:p>
        </w:tc>
        <w:tc>
          <w:tcPr>
            <w:tcW w:w="1280" w:type="dxa"/>
            <w:vAlign w:val="bottom"/>
            <w:gridSpan w:val="5"/>
          </w:tcPr>
          <w:p>
            <w:pPr>
              <w:jc w:val="center"/>
              <w:ind w:right="160"/>
              <w:spacing w:after="0"/>
              <w:rPr>
                <w:sz w:val="20"/>
                <w:szCs w:val="20"/>
                <w:color w:val="auto"/>
              </w:rPr>
            </w:pPr>
            <w:r>
              <w:rPr>
                <w:rFonts w:ascii="Arial" w:cs="Arial" w:eastAsia="Arial" w:hAnsi="Arial"/>
                <w:sz w:val="14"/>
                <w:szCs w:val="14"/>
                <w:b w:val="1"/>
                <w:bCs w:val="1"/>
                <w:color w:val="auto"/>
                <w:w w:val="90"/>
              </w:rPr>
              <w:t>Nine Months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300" w:type="dxa"/>
            <w:vAlign w:val="bottom"/>
          </w:tcPr>
          <w:p>
            <w:pPr>
              <w:spacing w:after="0"/>
              <w:rPr>
                <w:sz w:val="12"/>
                <w:szCs w:val="12"/>
                <w:color w:val="auto"/>
              </w:rPr>
            </w:pPr>
          </w:p>
        </w:tc>
        <w:tc>
          <w:tcPr>
            <w:tcW w:w="3240" w:type="dxa"/>
            <w:vAlign w:val="bottom"/>
          </w:tcPr>
          <w:p>
            <w:pPr>
              <w:spacing w:after="0"/>
              <w:rPr>
                <w:sz w:val="12"/>
                <w:szCs w:val="12"/>
                <w:color w:val="auto"/>
              </w:rPr>
            </w:pPr>
          </w:p>
        </w:tc>
        <w:tc>
          <w:tcPr>
            <w:tcW w:w="760" w:type="dxa"/>
            <w:vAlign w:val="bottom"/>
            <w:gridSpan w:val="3"/>
          </w:tcPr>
          <w:p>
            <w:pPr>
              <w:jc w:val="center"/>
              <w:ind w:left="284"/>
              <w:spacing w:after="0" w:line="149" w:lineRule="exact"/>
              <w:rPr>
                <w:sz w:val="20"/>
                <w:szCs w:val="20"/>
                <w:color w:val="auto"/>
              </w:rPr>
            </w:pPr>
            <w:r>
              <w:rPr>
                <w:rFonts w:ascii="Arial" w:cs="Arial" w:eastAsia="Arial" w:hAnsi="Arial"/>
                <w:sz w:val="14"/>
                <w:szCs w:val="14"/>
                <w:b w:val="1"/>
                <w:bCs w:val="1"/>
                <w:color w:val="auto"/>
                <w:w w:val="84"/>
              </w:rPr>
              <w:t>Ended</w:t>
            </w:r>
          </w:p>
        </w:tc>
        <w:tc>
          <w:tcPr>
            <w:tcW w:w="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55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As a Percentage of Segment Revenue</w:t>
            </w:r>
          </w:p>
        </w:tc>
        <w:tc>
          <w:tcPr>
            <w:tcW w:w="1280" w:type="dxa"/>
            <w:vAlign w:val="bottom"/>
            <w:gridSpan w:val="5"/>
          </w:tcPr>
          <w:p>
            <w:pPr>
              <w:jc w:val="center"/>
              <w:ind w:right="140"/>
              <w:spacing w:after="0"/>
              <w:rPr>
                <w:sz w:val="20"/>
                <w:szCs w:val="20"/>
                <w:color w:val="auto"/>
              </w:rPr>
            </w:pPr>
            <w:r>
              <w:rPr>
                <w:rFonts w:ascii="Arial" w:cs="Arial" w:eastAsia="Arial" w:hAnsi="Arial"/>
                <w:sz w:val="14"/>
                <w:szCs w:val="14"/>
                <w:b w:val="1"/>
                <w:bCs w:val="1"/>
                <w:color w:val="auto"/>
                <w:w w:val="85"/>
              </w:rPr>
              <w:t>September 30,</w:t>
            </w:r>
          </w:p>
        </w:tc>
        <w:tc>
          <w:tcPr>
            <w:tcW w:w="0" w:type="dxa"/>
            <w:vAlign w:val="bottom"/>
          </w:tcPr>
          <w:p>
            <w:pPr>
              <w:spacing w:after="0"/>
              <w:rPr>
                <w:sz w:val="1"/>
                <w:szCs w:val="1"/>
                <w:color w:val="auto"/>
              </w:rPr>
            </w:pPr>
          </w:p>
        </w:tc>
      </w:tr>
      <w:tr>
        <w:trPr>
          <w:trHeight w:val="142"/>
        </w:trPr>
        <w:tc>
          <w:tcPr>
            <w:tcW w:w="5560" w:type="dxa"/>
            <w:vAlign w:val="bottom"/>
            <w:gridSpan w:val="3"/>
            <w:vMerge w:val="continue"/>
          </w:tcPr>
          <w:p>
            <w:pPr>
              <w:spacing w:after="0"/>
              <w:rPr>
                <w:sz w:val="12"/>
                <w:szCs w:val="12"/>
                <w:color w:val="auto"/>
              </w:rPr>
            </w:pPr>
          </w:p>
        </w:tc>
        <w:tc>
          <w:tcPr>
            <w:tcW w:w="440" w:type="dxa"/>
            <w:vAlign w:val="bottom"/>
            <w:tcBorders>
              <w:top w:val="single" w:sz="8" w:color="auto"/>
            </w:tcBorders>
          </w:tcPr>
          <w:p>
            <w:pPr>
              <w:jc w:val="right"/>
              <w:ind w:right="4"/>
              <w:spacing w:after="0" w:line="142" w:lineRule="exact"/>
              <w:rPr>
                <w:sz w:val="20"/>
                <w:szCs w:val="20"/>
                <w:color w:val="auto"/>
              </w:rPr>
            </w:pPr>
            <w:r>
              <w:rPr>
                <w:rFonts w:ascii="Arial" w:cs="Arial" w:eastAsia="Arial" w:hAnsi="Arial"/>
                <w:sz w:val="14"/>
                <w:szCs w:val="14"/>
                <w:b w:val="1"/>
                <w:bCs w:val="1"/>
                <w:color w:val="auto"/>
              </w:rPr>
              <w:t>2010</w:t>
            </w:r>
          </w:p>
        </w:tc>
        <w:tc>
          <w:tcPr>
            <w:tcW w:w="24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36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3"/>
              </w:rPr>
              <w:t>2009</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2300" w:type="dxa"/>
            <w:vAlign w:val="bottom"/>
            <w:shd w:val="clear" w:color="auto" w:fill="000000"/>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2300" w:type="dxa"/>
            <w:vAlign w:val="bottom"/>
            <w:shd w:val="clear" w:color="auto" w:fill="CCEEFF"/>
          </w:tcPr>
          <w:p>
            <w:pPr>
              <w:spacing w:after="0"/>
              <w:rPr>
                <w:sz w:val="20"/>
                <w:szCs w:val="20"/>
                <w:color w:val="auto"/>
              </w:rPr>
            </w:pPr>
            <w:r>
              <w:rPr>
                <w:rFonts w:ascii="Arial" w:cs="Arial" w:eastAsia="Arial" w:hAnsi="Arial"/>
                <w:sz w:val="18"/>
                <w:szCs w:val="18"/>
                <w:color w:val="auto"/>
              </w:rPr>
              <w:t>LendingTree Loans</w:t>
            </w:r>
          </w:p>
        </w:tc>
        <w:tc>
          <w:tcPr>
            <w:tcW w:w="32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w:t>
            </w:r>
          </w:p>
        </w:tc>
        <w:tc>
          <w:tcPr>
            <w:tcW w:w="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gridSpan w:val="2"/>
          </w:tcPr>
          <w:p>
            <w:pPr>
              <w:spacing w:after="0"/>
              <w:rPr>
                <w:sz w:val="20"/>
                <w:szCs w:val="20"/>
                <w:color w:val="auto"/>
              </w:rPr>
            </w:pPr>
            <w:r>
              <w:rPr>
                <w:rFonts w:ascii="Arial" w:cs="Arial" w:eastAsia="Arial" w:hAnsi="Arial"/>
                <w:sz w:val="18"/>
                <w:szCs w:val="18"/>
                <w:color w:val="auto"/>
              </w:rPr>
              <w:t>Exchanges</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81%</w:t>
            </w:r>
          </w:p>
        </w:tc>
        <w:tc>
          <w:tcPr>
            <w:tcW w:w="80" w:type="dxa"/>
            <w:vAlign w:val="bottom"/>
          </w:tcPr>
          <w:p>
            <w:pPr>
              <w:spacing w:after="0"/>
              <w:rPr>
                <w:sz w:val="18"/>
                <w:szCs w:val="18"/>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Real Estate</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w:t>
            </w:r>
          </w:p>
        </w:tc>
        <w:tc>
          <w:tcPr>
            <w:tcW w:w="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bl>
    <w:p>
      <w:pPr>
        <w:spacing w:after="0" w:line="208" w:lineRule="exact"/>
        <w:rPr>
          <w:sz w:val="20"/>
          <w:szCs w:val="20"/>
          <w:color w:val="auto"/>
        </w:rPr>
      </w:pPr>
    </w:p>
    <w:p>
      <w:pPr>
        <w:ind w:firstLine="351"/>
        <w:spacing w:after="0" w:line="259" w:lineRule="auto"/>
        <w:rPr>
          <w:sz w:val="20"/>
          <w:szCs w:val="20"/>
          <w:color w:val="auto"/>
        </w:rPr>
      </w:pPr>
      <w:r>
        <w:rPr>
          <w:rFonts w:ascii="Arial" w:cs="Arial" w:eastAsia="Arial" w:hAnsi="Arial"/>
          <w:sz w:val="18"/>
          <w:szCs w:val="18"/>
          <w:color w:val="auto"/>
        </w:rPr>
        <w:t>Overall selling and marketing expense in 2010 increased from 2009 primarily due to an increase of $9.6 million in advertising and promotional expenditures. In 2010, Tree.com increased its online marketing advertising by $9.9 million, from $24.7 million in 2009 to $34.6 million in 2010, while broadcast advertising decreased from $12.4 million in 2009 to $12.2 million in 2010.</w:t>
      </w:r>
    </w:p>
    <w:p>
      <w:pPr>
        <w:spacing w:after="0" w:line="194" w:lineRule="exact"/>
        <w:rPr>
          <w:sz w:val="20"/>
          <w:szCs w:val="20"/>
          <w:color w:val="auto"/>
        </w:rPr>
      </w:pPr>
    </w:p>
    <w:p>
      <w:pPr>
        <w:ind w:right="100" w:firstLine="348"/>
        <w:spacing w:after="0" w:line="298" w:lineRule="auto"/>
        <w:rPr>
          <w:sz w:val="20"/>
          <w:szCs w:val="20"/>
          <w:color w:val="auto"/>
        </w:rPr>
      </w:pPr>
      <w:r>
        <w:rPr>
          <w:rFonts w:ascii="Arial" w:cs="Arial" w:eastAsia="Arial" w:hAnsi="Arial"/>
          <w:sz w:val="16"/>
          <w:szCs w:val="16"/>
          <w:color w:val="auto"/>
        </w:rPr>
        <w:t>The overall increase from 2009 in both dollars and as a percentage of revenue is due to several factors. In 2009, Exchanges was able to decrease advertising spending as it experienced naturally higher consumer demand that was driven by the lower mortgage interest rate environment and improvements in organic traffic. Also, LendingTree Loans received "overflow" leads during the early part of 2009 from a partner that received more leads than its capacity could handle. Moving into 2010, while overall mortgage interest rates remained low, there was not the significant and swift decline in rates that was</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44" w:name="page45"/>
    <w:bookmarkEnd w:id="4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seen in 2009 that captured the attention of the consumer, so Exchanges responded by increasing advertising spending by 13% and generated a lower quantity of matched requests (an 11% decrease from the same period in 2009). This returned the marketing expense as a percentage of revenue to a more normalized level of 37% in 2010. This increase also directly impacts the allocated cost per lead for LendingTree Loans, which is reflected in the increase in marketing expense for that segment in the table above.</w:t>
      </w:r>
    </w:p>
    <w:p>
      <w:pPr>
        <w:spacing w:after="0" w:line="197"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General and administrative expense</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For the three months ended September 30, 2010 compared to the three months ended September 30, 2009:</w:t>
      </w:r>
    </w:p>
    <w:p>
      <w:pPr>
        <w:spacing w:after="0" w:line="275" w:lineRule="exact"/>
        <w:rPr>
          <w:sz w:val="20"/>
          <w:szCs w:val="20"/>
          <w:color w:val="auto"/>
        </w:rPr>
      </w:pPr>
    </w:p>
    <w:tbl>
      <w:tblPr>
        <w:tblLayout w:type="fixed"/>
        <w:tblInd w:w="2300" w:type="dxa"/>
        <w:tblCellMar>
          <w:top w:w="0" w:type="dxa"/>
          <w:left w:w="0" w:type="dxa"/>
          <w:bottom w:w="0" w:type="dxa"/>
          <w:right w:w="0" w:type="dxa"/>
        </w:tblCellMar>
      </w:tblPr>
      <w:tr>
        <w:trPr>
          <w:trHeight w:val="161"/>
        </w:trPr>
        <w:tc>
          <w:tcPr>
            <w:tcW w:w="32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760" w:type="dxa"/>
            <w:vAlign w:val="bottom"/>
            <w:tcBorders>
              <w:bottom w:val="single" w:sz="8" w:color="auto"/>
            </w:tcBorders>
            <w:gridSpan w:val="8"/>
          </w:tcPr>
          <w:p>
            <w:pPr>
              <w:jc w:val="right"/>
              <w:ind w:right="140"/>
              <w:spacing w:after="0"/>
              <w:rPr>
                <w:sz w:val="20"/>
                <w:szCs w:val="20"/>
                <w:color w:val="auto"/>
              </w:rPr>
            </w:pPr>
            <w:r>
              <w:rPr>
                <w:rFonts w:ascii="Arial" w:cs="Arial" w:eastAsia="Arial" w:hAnsi="Arial"/>
                <w:sz w:val="14"/>
                <w:szCs w:val="14"/>
                <w:b w:val="1"/>
                <w:bCs w:val="1"/>
                <w:color w:val="auto"/>
              </w:rPr>
              <w:t>Three Months Ended September 30,</w:t>
            </w:r>
          </w:p>
        </w:tc>
        <w:tc>
          <w:tcPr>
            <w:tcW w:w="56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r>
      <w:tr>
        <w:trPr>
          <w:trHeight w:val="142"/>
        </w:trPr>
        <w:tc>
          <w:tcPr>
            <w:tcW w:w="3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jc w:val="right"/>
              <w:ind w:right="118"/>
              <w:spacing w:after="0" w:line="142" w:lineRule="exact"/>
              <w:rPr>
                <w:sz w:val="20"/>
                <w:szCs w:val="20"/>
                <w:color w:val="auto"/>
              </w:rPr>
            </w:pPr>
            <w:r>
              <w:rPr>
                <w:rFonts w:ascii="Arial" w:cs="Arial" w:eastAsia="Arial" w:hAnsi="Arial"/>
                <w:sz w:val="14"/>
                <w:szCs w:val="14"/>
                <w:b w:val="1"/>
                <w:bCs w:val="1"/>
                <w:color w:val="auto"/>
              </w:rPr>
              <w:t>2010</w:t>
            </w:r>
          </w:p>
        </w:tc>
        <w:tc>
          <w:tcPr>
            <w:tcW w:w="160" w:type="dxa"/>
            <w:vAlign w:val="bottom"/>
          </w:tcPr>
          <w:p>
            <w:pPr>
              <w:spacing w:after="0"/>
              <w:rPr>
                <w:sz w:val="12"/>
                <w:szCs w:val="12"/>
                <w:color w:val="auto"/>
              </w:rPr>
            </w:pPr>
          </w:p>
        </w:tc>
        <w:tc>
          <w:tcPr>
            <w:tcW w:w="18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w:t>
            </w:r>
          </w:p>
        </w:tc>
        <w:tc>
          <w:tcPr>
            <w:tcW w:w="700" w:type="dxa"/>
            <w:vAlign w:val="bottom"/>
            <w:gridSpan w:val="2"/>
          </w:tcPr>
          <w:p>
            <w:pPr>
              <w:jc w:val="right"/>
              <w:ind w:right="172"/>
              <w:spacing w:after="0" w:line="142" w:lineRule="exact"/>
              <w:rPr>
                <w:sz w:val="20"/>
                <w:szCs w:val="20"/>
                <w:color w:val="auto"/>
              </w:rPr>
            </w:pPr>
            <w:r>
              <w:rPr>
                <w:rFonts w:ascii="Arial" w:cs="Arial" w:eastAsia="Arial" w:hAnsi="Arial"/>
                <w:sz w:val="14"/>
                <w:szCs w:val="14"/>
                <w:b w:val="1"/>
                <w:bCs w:val="1"/>
                <w:color w:val="auto"/>
                <w:w w:val="85"/>
              </w:rPr>
              <w:t>Change</w:t>
            </w:r>
          </w:p>
        </w:tc>
        <w:tc>
          <w:tcPr>
            <w:tcW w:w="1180" w:type="dxa"/>
            <w:vAlign w:val="bottom"/>
            <w:gridSpan w:val="3"/>
          </w:tcPr>
          <w:p>
            <w:pPr>
              <w:jc w:val="right"/>
              <w:ind w:right="480"/>
              <w:spacing w:after="0" w:line="142" w:lineRule="exact"/>
              <w:rPr>
                <w:sz w:val="20"/>
                <w:szCs w:val="20"/>
                <w:color w:val="auto"/>
              </w:rPr>
            </w:pPr>
            <w:r>
              <w:rPr>
                <w:rFonts w:ascii="Arial" w:cs="Arial" w:eastAsia="Arial" w:hAnsi="Arial"/>
                <w:sz w:val="14"/>
                <w:szCs w:val="14"/>
                <w:b w:val="1"/>
                <w:bCs w:val="1"/>
                <w:color w:val="auto"/>
              </w:rPr>
              <w:t>% Change</w:t>
            </w:r>
          </w:p>
        </w:tc>
        <w:tc>
          <w:tcPr>
            <w:tcW w:w="560" w:type="dxa"/>
            <w:vAlign w:val="bottom"/>
          </w:tcPr>
          <w:p>
            <w:pPr>
              <w:jc w:val="right"/>
              <w:ind w:right="136"/>
              <w:spacing w:after="0" w:line="142" w:lineRule="exact"/>
              <w:rPr>
                <w:sz w:val="20"/>
                <w:szCs w:val="20"/>
                <w:color w:val="auto"/>
              </w:rPr>
            </w:pPr>
            <w:r>
              <w:rPr>
                <w:rFonts w:ascii="Arial" w:cs="Arial" w:eastAsia="Arial" w:hAnsi="Arial"/>
                <w:sz w:val="14"/>
                <w:szCs w:val="14"/>
                <w:b w:val="1"/>
                <w:bCs w:val="1"/>
                <w:color w:val="auto"/>
              </w:rPr>
              <w:t>2009</w:t>
            </w:r>
          </w:p>
        </w:tc>
        <w:tc>
          <w:tcPr>
            <w:tcW w:w="160" w:type="dxa"/>
            <w:vAlign w:val="bottom"/>
          </w:tcPr>
          <w:p>
            <w:pPr>
              <w:spacing w:after="0"/>
              <w:rPr>
                <w:sz w:val="12"/>
                <w:szCs w:val="12"/>
                <w:color w:val="auto"/>
              </w:rPr>
            </w:pPr>
          </w:p>
        </w:tc>
      </w:tr>
      <w:tr>
        <w:trPr>
          <w:trHeight w:val="142"/>
        </w:trPr>
        <w:tc>
          <w:tcPr>
            <w:tcW w:w="320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5"/>
              </w:rPr>
              <w:t>(Dollars</w:t>
            </w:r>
          </w:p>
        </w:tc>
        <w:tc>
          <w:tcPr>
            <w:tcW w:w="160" w:type="dxa"/>
            <w:vAlign w:val="bottom"/>
          </w:tcPr>
          <w:p>
            <w:pPr>
              <w:jc w:val="right"/>
              <w:spacing w:after="0" w:line="142" w:lineRule="exact"/>
              <w:rPr>
                <w:sz w:val="20"/>
                <w:szCs w:val="20"/>
                <w:color w:val="auto"/>
              </w:rPr>
            </w:pPr>
            <w:r>
              <w:rPr>
                <w:rFonts w:ascii="Arial" w:cs="Arial" w:eastAsia="Arial" w:hAnsi="Arial"/>
                <w:sz w:val="14"/>
                <w:szCs w:val="14"/>
                <w:b w:val="1"/>
                <w:bCs w:val="1"/>
                <w:color w:val="auto"/>
                <w:w w:val="96"/>
              </w:rPr>
              <w:t>in</w:t>
            </w:r>
          </w:p>
        </w:tc>
        <w:tc>
          <w:tcPr>
            <w:tcW w:w="760" w:type="dxa"/>
            <w:vAlign w:val="bottom"/>
            <w:tcBorders>
              <w:top w:val="single" w:sz="8" w:color="auto"/>
            </w:tcBorders>
          </w:tcPr>
          <w:p>
            <w:pPr>
              <w:jc w:val="right"/>
              <w:ind w:right="38"/>
              <w:spacing w:after="0" w:line="142" w:lineRule="exact"/>
              <w:rPr>
                <w:sz w:val="20"/>
                <w:szCs w:val="20"/>
                <w:color w:val="auto"/>
              </w:rPr>
            </w:pPr>
            <w:r>
              <w:rPr>
                <w:rFonts w:ascii="Arial" w:cs="Arial" w:eastAsia="Arial" w:hAnsi="Arial"/>
                <w:sz w:val="14"/>
                <w:szCs w:val="14"/>
                <w:b w:val="1"/>
                <w:bCs w:val="1"/>
                <w:color w:val="auto"/>
                <w:w w:val="82"/>
              </w:rPr>
              <w:t>thousands)</w:t>
            </w:r>
          </w:p>
        </w:tc>
        <w:tc>
          <w:tcPr>
            <w:tcW w:w="28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r>
      <w:tr>
        <w:trPr>
          <w:trHeight w:val="216"/>
        </w:trPr>
        <w:tc>
          <w:tcPr>
            <w:tcW w:w="3200" w:type="dxa"/>
            <w:vAlign w:val="bottom"/>
            <w:shd w:val="clear" w:color="auto" w:fill="CCEEFF"/>
          </w:tcPr>
          <w:p>
            <w:pPr>
              <w:spacing w:after="0"/>
              <w:rPr>
                <w:sz w:val="20"/>
                <w:szCs w:val="20"/>
                <w:color w:val="auto"/>
              </w:rPr>
            </w:pPr>
            <w:r>
              <w:rPr>
                <w:rFonts w:ascii="Arial" w:cs="Arial" w:eastAsia="Arial" w:hAnsi="Arial"/>
                <w:sz w:val="18"/>
                <w:szCs w:val="18"/>
                <w:color w:val="auto"/>
              </w:rPr>
              <w:t>LendingTree Loans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6,714</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ind w:right="92"/>
              <w:spacing w:after="0"/>
              <w:rPr>
                <w:sz w:val="20"/>
                <w:szCs w:val="20"/>
                <w:color w:val="auto"/>
              </w:rPr>
            </w:pPr>
            <w:r>
              <w:rPr>
                <w:rFonts w:ascii="Arial" w:cs="Arial" w:eastAsia="Arial" w:hAnsi="Arial"/>
                <w:sz w:val="18"/>
                <w:szCs w:val="18"/>
                <w:color w:val="auto"/>
              </w:rPr>
              <w:t>1,444</w:t>
            </w:r>
          </w:p>
        </w:tc>
        <w:tc>
          <w:tcPr>
            <w:tcW w:w="11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27%  $</w:t>
            </w: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5,270</w:t>
            </w:r>
          </w:p>
        </w:tc>
      </w:tr>
      <w:tr>
        <w:trPr>
          <w:trHeight w:val="216"/>
        </w:trPr>
        <w:tc>
          <w:tcPr>
            <w:tcW w:w="3200" w:type="dxa"/>
            <w:vAlign w:val="bottom"/>
          </w:tcPr>
          <w:p>
            <w:pPr>
              <w:spacing w:after="0"/>
              <w:rPr>
                <w:sz w:val="20"/>
                <w:szCs w:val="20"/>
                <w:color w:val="auto"/>
              </w:rPr>
            </w:pPr>
            <w:r>
              <w:rPr>
                <w:rFonts w:ascii="Arial" w:cs="Arial" w:eastAsia="Arial" w:hAnsi="Arial"/>
                <w:sz w:val="18"/>
                <w:szCs w:val="18"/>
                <w:color w:val="auto"/>
              </w:rPr>
              <w:t>Exchanges</w:t>
            </w:r>
          </w:p>
        </w:tc>
        <w:tc>
          <w:tcPr>
            <w:tcW w:w="16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669</w:t>
            </w:r>
          </w:p>
        </w:tc>
        <w:tc>
          <w:tcPr>
            <w:tcW w:w="180" w:type="dxa"/>
            <w:vAlign w:val="bottom"/>
          </w:tcPr>
          <w:p>
            <w:pPr>
              <w:spacing w:after="0"/>
              <w:rPr>
                <w:sz w:val="18"/>
                <w:szCs w:val="18"/>
                <w:color w:val="auto"/>
              </w:rPr>
            </w:pPr>
          </w:p>
        </w:tc>
        <w:tc>
          <w:tcPr>
            <w:tcW w:w="700" w:type="dxa"/>
            <w:vAlign w:val="bottom"/>
            <w:gridSpan w:val="2"/>
          </w:tcPr>
          <w:p>
            <w:pPr>
              <w:jc w:val="right"/>
              <w:ind w:right="32"/>
              <w:spacing w:after="0"/>
              <w:rPr>
                <w:sz w:val="20"/>
                <w:szCs w:val="20"/>
                <w:color w:val="auto"/>
              </w:rPr>
            </w:pPr>
            <w:r>
              <w:rPr>
                <w:rFonts w:ascii="Arial" w:cs="Arial" w:eastAsia="Arial" w:hAnsi="Arial"/>
                <w:sz w:val="18"/>
                <w:szCs w:val="18"/>
                <w:color w:val="auto"/>
              </w:rPr>
              <w:t>(1,265)</w:t>
            </w: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(65)%</w:t>
            </w:r>
          </w:p>
        </w:tc>
        <w:tc>
          <w:tcPr>
            <w:tcW w:w="14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rPr>
              <w:t>1,934</w:t>
            </w:r>
          </w:p>
        </w:tc>
      </w:tr>
      <w:tr>
        <w:trPr>
          <w:trHeight w:val="216"/>
        </w:trPr>
        <w:tc>
          <w:tcPr>
            <w:tcW w:w="3200" w:type="dxa"/>
            <w:vAlign w:val="bottom"/>
            <w:shd w:val="clear" w:color="auto" w:fill="CCEEFF"/>
          </w:tcPr>
          <w:p>
            <w:pPr>
              <w:spacing w:after="0"/>
              <w:rPr>
                <w:sz w:val="20"/>
                <w:szCs w:val="20"/>
                <w:color w:val="auto"/>
              </w:rPr>
            </w:pPr>
            <w:r>
              <w:rPr>
                <w:rFonts w:ascii="Arial" w:cs="Arial" w:eastAsia="Arial" w:hAnsi="Arial"/>
                <w:sz w:val="18"/>
                <w:szCs w:val="18"/>
                <w:color w:val="auto"/>
              </w:rPr>
              <w:t>Real Estate</w:t>
            </w: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951</w:t>
            </w:r>
          </w:p>
        </w:tc>
        <w:tc>
          <w:tcPr>
            <w:tcW w:w="1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32"/>
              <w:spacing w:after="0"/>
              <w:rPr>
                <w:sz w:val="20"/>
                <w:szCs w:val="20"/>
                <w:color w:val="auto"/>
              </w:rPr>
            </w:pPr>
            <w:r>
              <w:rPr>
                <w:rFonts w:ascii="Arial" w:cs="Arial" w:eastAsia="Arial" w:hAnsi="Arial"/>
                <w:sz w:val="18"/>
                <w:szCs w:val="18"/>
                <w:color w:val="auto"/>
              </w:rPr>
              <w:t>(1,116)</w:t>
            </w: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(54)%</w:t>
            </w: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2,067</w:t>
            </w:r>
          </w:p>
        </w:tc>
      </w:tr>
      <w:tr>
        <w:trPr>
          <w:trHeight w:val="222"/>
        </w:trPr>
        <w:tc>
          <w:tcPr>
            <w:tcW w:w="3200" w:type="dxa"/>
            <w:vAlign w:val="bottom"/>
          </w:tcPr>
          <w:p>
            <w:pPr>
              <w:spacing w:after="0"/>
              <w:rPr>
                <w:sz w:val="20"/>
                <w:szCs w:val="20"/>
                <w:color w:val="auto"/>
              </w:rPr>
            </w:pPr>
            <w:r>
              <w:rPr>
                <w:rFonts w:ascii="Arial" w:cs="Arial" w:eastAsia="Arial" w:hAnsi="Arial"/>
                <w:sz w:val="18"/>
                <w:szCs w:val="18"/>
                <w:color w:val="auto"/>
              </w:rPr>
              <w:t>Unallocated—corporate</w:t>
            </w:r>
          </w:p>
        </w:tc>
        <w:tc>
          <w:tcPr>
            <w:tcW w:w="160" w:type="dxa"/>
            <w:vAlign w:val="bottom"/>
          </w:tcPr>
          <w:p>
            <w:pPr>
              <w:spacing w:after="0"/>
              <w:rPr>
                <w:sz w:val="19"/>
                <w:szCs w:val="19"/>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5,701</w:t>
            </w:r>
          </w:p>
        </w:tc>
        <w:tc>
          <w:tcPr>
            <w:tcW w:w="180" w:type="dxa"/>
            <w:vAlign w:val="bottom"/>
          </w:tcPr>
          <w:p>
            <w:pPr>
              <w:spacing w:after="0"/>
              <w:rPr>
                <w:sz w:val="19"/>
                <w:szCs w:val="19"/>
                <w:color w:val="auto"/>
              </w:rPr>
            </w:pPr>
          </w:p>
        </w:tc>
        <w:tc>
          <w:tcPr>
            <w:tcW w:w="700" w:type="dxa"/>
            <w:vAlign w:val="bottom"/>
            <w:gridSpan w:val="2"/>
          </w:tcPr>
          <w:p>
            <w:pPr>
              <w:jc w:val="right"/>
              <w:ind w:right="32"/>
              <w:spacing w:after="0"/>
              <w:rPr>
                <w:sz w:val="20"/>
                <w:szCs w:val="20"/>
                <w:color w:val="auto"/>
              </w:rPr>
            </w:pPr>
            <w:r>
              <w:rPr>
                <w:rFonts w:ascii="Arial" w:cs="Arial" w:eastAsia="Arial" w:hAnsi="Arial"/>
                <w:sz w:val="18"/>
                <w:szCs w:val="18"/>
                <w:color w:val="auto"/>
              </w:rPr>
              <w:t>(2,543)</w:t>
            </w: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(31)%</w:t>
            </w:r>
          </w:p>
        </w:tc>
        <w:tc>
          <w:tcPr>
            <w:tcW w:w="140" w:type="dxa"/>
            <w:vAlign w:val="bottom"/>
          </w:tcPr>
          <w:p>
            <w:pPr>
              <w:spacing w:after="0"/>
              <w:rPr>
                <w:sz w:val="19"/>
                <w:szCs w:val="19"/>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rPr>
              <w:t>8,244</w:t>
            </w:r>
          </w:p>
        </w:tc>
      </w:tr>
      <w:tr>
        <w:trPr>
          <w:trHeight w:val="21"/>
        </w:trPr>
        <w:tc>
          <w:tcPr>
            <w:tcW w:w="3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0"/>
        </w:trPr>
        <w:tc>
          <w:tcPr>
            <w:tcW w:w="320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 expense</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4"/>
              </w:rPr>
              <w:t>14,035</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ind w:right="32"/>
              <w:spacing w:after="0"/>
              <w:rPr>
                <w:sz w:val="20"/>
                <w:szCs w:val="20"/>
                <w:color w:val="auto"/>
              </w:rPr>
            </w:pPr>
            <w:r>
              <w:rPr>
                <w:rFonts w:ascii="Arial" w:cs="Arial" w:eastAsia="Arial" w:hAnsi="Arial"/>
                <w:sz w:val="18"/>
                <w:szCs w:val="18"/>
                <w:color w:val="auto"/>
              </w:rPr>
              <w:t>(3,480)</w:t>
            </w:r>
          </w:p>
        </w:tc>
        <w:tc>
          <w:tcPr>
            <w:tcW w:w="11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(20)% $</w:t>
            </w: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8"/>
              </w:rPr>
              <w:t>17,515</w:t>
            </w:r>
          </w:p>
        </w:tc>
      </w:tr>
      <w:tr>
        <w:trPr>
          <w:trHeight w:val="27"/>
        </w:trPr>
        <w:tc>
          <w:tcPr>
            <w:tcW w:w="32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r>
      <w:tr>
        <w:trPr>
          <w:trHeight w:val="20"/>
        </w:trPr>
        <w:tc>
          <w:tcPr>
            <w:tcW w:w="3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1" w:lineRule="exact"/>
        <w:rPr>
          <w:sz w:val="20"/>
          <w:szCs w:val="20"/>
          <w:color w:val="auto"/>
        </w:rPr>
      </w:pPr>
    </w:p>
    <w:tbl>
      <w:tblPr>
        <w:tblLayout w:type="fixed"/>
        <w:tblInd w:w="2300" w:type="dxa"/>
        <w:tblCellMar>
          <w:top w:w="0" w:type="dxa"/>
          <w:left w:w="0" w:type="dxa"/>
          <w:bottom w:w="0" w:type="dxa"/>
          <w:right w:w="0" w:type="dxa"/>
        </w:tblCellMar>
      </w:tblPr>
      <w:tr>
        <w:trPr>
          <w:trHeight w:val="222"/>
        </w:trPr>
        <w:tc>
          <w:tcPr>
            <w:tcW w:w="2320" w:type="dxa"/>
            <w:vAlign w:val="bottom"/>
            <w:gridSpan w:val="2"/>
          </w:tcPr>
          <w:p>
            <w:pPr>
              <w:spacing w:after="0"/>
              <w:rPr>
                <w:sz w:val="20"/>
                <w:szCs w:val="20"/>
                <w:color w:val="auto"/>
              </w:rPr>
            </w:pPr>
            <w:r>
              <w:rPr>
                <w:rFonts w:ascii="Arial" w:cs="Arial" w:eastAsia="Arial" w:hAnsi="Arial"/>
                <w:sz w:val="18"/>
                <w:szCs w:val="18"/>
                <w:color w:val="auto"/>
                <w:w w:val="88"/>
              </w:rPr>
              <w:t>As a percentage of total revenue</w:t>
            </w:r>
          </w:p>
        </w:tc>
        <w:tc>
          <w:tcPr>
            <w:tcW w:w="2480" w:type="dxa"/>
            <w:vAlign w:val="bottom"/>
          </w:tcPr>
          <w:p>
            <w:pPr>
              <w:jc w:val="right"/>
              <w:ind w:right="652"/>
              <w:spacing w:after="0"/>
              <w:rPr>
                <w:sz w:val="20"/>
                <w:szCs w:val="20"/>
                <w:color w:val="auto"/>
              </w:rPr>
            </w:pPr>
            <w:r>
              <w:rPr>
                <w:rFonts w:ascii="Arial" w:cs="Arial" w:eastAsia="Arial" w:hAnsi="Arial"/>
                <w:sz w:val="18"/>
                <w:szCs w:val="18"/>
                <w:color w:val="auto"/>
              </w:rPr>
              <w:t>26%</w:t>
            </w:r>
          </w:p>
        </w:tc>
        <w:tc>
          <w:tcPr>
            <w:tcW w:w="1200" w:type="dxa"/>
            <w:vAlign w:val="bottom"/>
            <w:gridSpan w:val="2"/>
          </w:tcPr>
          <w:p>
            <w:pPr>
              <w:jc w:val="right"/>
              <w:ind w:right="28"/>
              <w:spacing w:after="0"/>
              <w:rPr>
                <w:sz w:val="20"/>
                <w:szCs w:val="20"/>
                <w:color w:val="auto"/>
              </w:rPr>
            </w:pPr>
            <w:r>
              <w:rPr>
                <w:rFonts w:ascii="Arial" w:cs="Arial" w:eastAsia="Arial" w:hAnsi="Arial"/>
                <w:sz w:val="18"/>
                <w:szCs w:val="18"/>
                <w:color w:val="auto"/>
              </w:rPr>
              <w:t>(9)%</w:t>
            </w: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778"/>
        </w:trPr>
        <w:tc>
          <w:tcPr>
            <w:tcW w:w="2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24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80" w:type="dxa"/>
            <w:vAlign w:val="bottom"/>
            <w:gridSpan w:val="5"/>
          </w:tcPr>
          <w:p>
            <w:pPr>
              <w:jc w:val="center"/>
              <w:ind w:right="140"/>
              <w:spacing w:after="0"/>
              <w:rPr>
                <w:sz w:val="20"/>
                <w:szCs w:val="20"/>
                <w:color w:val="auto"/>
              </w:rPr>
            </w:pPr>
            <w:r>
              <w:rPr>
                <w:rFonts w:ascii="Arial" w:cs="Arial" w:eastAsia="Arial" w:hAnsi="Arial"/>
                <w:sz w:val="14"/>
                <w:szCs w:val="14"/>
                <w:b w:val="1"/>
                <w:bCs w:val="1"/>
                <w:color w:val="auto"/>
                <w:w w:val="89"/>
              </w:rPr>
              <w:t>Three Months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300" w:type="dxa"/>
            <w:vAlign w:val="bottom"/>
          </w:tcPr>
          <w:p>
            <w:pPr>
              <w:spacing w:after="0"/>
              <w:rPr>
                <w:sz w:val="12"/>
                <w:szCs w:val="12"/>
                <w:color w:val="auto"/>
              </w:rPr>
            </w:pPr>
          </w:p>
        </w:tc>
        <w:tc>
          <w:tcPr>
            <w:tcW w:w="24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60" w:type="dxa"/>
            <w:vAlign w:val="bottom"/>
            <w:gridSpan w:val="3"/>
          </w:tcPr>
          <w:p>
            <w:pPr>
              <w:jc w:val="center"/>
              <w:ind w:left="288"/>
              <w:spacing w:after="0" w:line="149" w:lineRule="exact"/>
              <w:rPr>
                <w:sz w:val="20"/>
                <w:szCs w:val="20"/>
                <w:color w:val="auto"/>
              </w:rPr>
            </w:pPr>
            <w:r>
              <w:rPr>
                <w:rFonts w:ascii="Arial" w:cs="Arial" w:eastAsia="Arial" w:hAnsi="Arial"/>
                <w:sz w:val="14"/>
                <w:szCs w:val="14"/>
                <w:b w:val="1"/>
                <w:bCs w:val="1"/>
                <w:color w:val="auto"/>
                <w:w w:val="84"/>
              </w:rPr>
              <w:t>Ended</w:t>
            </w:r>
          </w:p>
        </w:tc>
        <w:tc>
          <w:tcPr>
            <w:tcW w:w="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320" w:type="dxa"/>
            <w:vAlign w:val="bottom"/>
            <w:gridSpan w:val="2"/>
            <w:vMerge w:val="restart"/>
          </w:tcPr>
          <w:p>
            <w:pPr>
              <w:spacing w:after="0"/>
              <w:rPr>
                <w:sz w:val="20"/>
                <w:szCs w:val="20"/>
                <w:color w:val="auto"/>
              </w:rPr>
            </w:pPr>
            <w:r>
              <w:rPr>
                <w:rFonts w:ascii="Arial" w:cs="Arial" w:eastAsia="Arial" w:hAnsi="Arial"/>
                <w:sz w:val="14"/>
                <w:szCs w:val="14"/>
                <w:b w:val="1"/>
                <w:bCs w:val="1"/>
                <w:color w:val="auto"/>
                <w:w w:val="91"/>
              </w:rPr>
              <w:t>As a Percentage of Segment Revenue</w:t>
            </w:r>
          </w:p>
        </w:tc>
        <w:tc>
          <w:tcPr>
            <w:tcW w:w="24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80" w:type="dxa"/>
            <w:vAlign w:val="bottom"/>
            <w:gridSpan w:val="5"/>
          </w:tcPr>
          <w:p>
            <w:pPr>
              <w:jc w:val="center"/>
              <w:ind w:right="140"/>
              <w:spacing w:after="0"/>
              <w:rPr>
                <w:sz w:val="20"/>
                <w:szCs w:val="20"/>
                <w:color w:val="auto"/>
              </w:rPr>
            </w:pPr>
            <w:r>
              <w:rPr>
                <w:rFonts w:ascii="Arial" w:cs="Arial" w:eastAsia="Arial" w:hAnsi="Arial"/>
                <w:sz w:val="14"/>
                <w:szCs w:val="14"/>
                <w:b w:val="1"/>
                <w:bCs w:val="1"/>
                <w:color w:val="auto"/>
                <w:w w:val="85"/>
              </w:rPr>
              <w:t>September 30,</w:t>
            </w:r>
          </w:p>
        </w:tc>
        <w:tc>
          <w:tcPr>
            <w:tcW w:w="0" w:type="dxa"/>
            <w:vAlign w:val="bottom"/>
          </w:tcPr>
          <w:p>
            <w:pPr>
              <w:spacing w:after="0"/>
              <w:rPr>
                <w:sz w:val="1"/>
                <w:szCs w:val="1"/>
                <w:color w:val="auto"/>
              </w:rPr>
            </w:pPr>
          </w:p>
        </w:tc>
      </w:tr>
      <w:tr>
        <w:trPr>
          <w:trHeight w:val="142"/>
        </w:trPr>
        <w:tc>
          <w:tcPr>
            <w:tcW w:w="2320" w:type="dxa"/>
            <w:vAlign w:val="bottom"/>
            <w:gridSpan w:val="2"/>
            <w:vMerge w:val="continue"/>
          </w:tcPr>
          <w:p>
            <w:pPr>
              <w:spacing w:after="0"/>
              <w:rPr>
                <w:sz w:val="12"/>
                <w:szCs w:val="12"/>
                <w:color w:val="auto"/>
              </w:rPr>
            </w:pPr>
          </w:p>
        </w:tc>
        <w:tc>
          <w:tcPr>
            <w:tcW w:w="24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40" w:type="dxa"/>
            <w:vAlign w:val="bottom"/>
            <w:tcBorders>
              <w:top w:val="single" w:sz="8" w:color="auto"/>
            </w:tcBorders>
          </w:tcPr>
          <w:p>
            <w:pPr>
              <w:jc w:val="right"/>
              <w:ind w:right="8"/>
              <w:spacing w:after="0" w:line="142" w:lineRule="exact"/>
              <w:rPr>
                <w:sz w:val="20"/>
                <w:szCs w:val="20"/>
                <w:color w:val="auto"/>
              </w:rPr>
            </w:pPr>
            <w:r>
              <w:rPr>
                <w:rFonts w:ascii="Arial" w:cs="Arial" w:eastAsia="Arial" w:hAnsi="Arial"/>
                <w:sz w:val="14"/>
                <w:szCs w:val="14"/>
                <w:b w:val="1"/>
                <w:bCs w:val="1"/>
                <w:color w:val="auto"/>
              </w:rPr>
              <w:t>2010</w:t>
            </w:r>
          </w:p>
        </w:tc>
        <w:tc>
          <w:tcPr>
            <w:tcW w:w="24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36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3"/>
              </w:rPr>
              <w:t>2009</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2300" w:type="dxa"/>
            <w:vAlign w:val="bottom"/>
            <w:shd w:val="clear" w:color="auto" w:fill="000000"/>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2300" w:type="dxa"/>
            <w:vAlign w:val="bottom"/>
            <w:shd w:val="clear" w:color="auto" w:fill="CCEEFF"/>
          </w:tcPr>
          <w:p>
            <w:pPr>
              <w:spacing w:after="0"/>
              <w:rPr>
                <w:sz w:val="20"/>
                <w:szCs w:val="20"/>
                <w:color w:val="auto"/>
              </w:rPr>
            </w:pPr>
            <w:r>
              <w:rPr>
                <w:rFonts w:ascii="Arial" w:cs="Arial" w:eastAsia="Arial" w:hAnsi="Arial"/>
                <w:sz w:val="18"/>
                <w:szCs w:val="18"/>
                <w:color w:val="auto"/>
              </w:rPr>
              <w:t>LendingTree Loans</w:t>
            </w:r>
          </w:p>
        </w:tc>
        <w:tc>
          <w:tcPr>
            <w:tcW w:w="24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w:t>
            </w:r>
          </w:p>
        </w:tc>
        <w:tc>
          <w:tcPr>
            <w:tcW w:w="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00" w:type="dxa"/>
            <w:vAlign w:val="bottom"/>
          </w:tcPr>
          <w:p>
            <w:pPr>
              <w:spacing w:after="0"/>
              <w:rPr>
                <w:sz w:val="20"/>
                <w:szCs w:val="20"/>
                <w:color w:val="auto"/>
              </w:rPr>
            </w:pPr>
            <w:r>
              <w:rPr>
                <w:rFonts w:ascii="Arial" w:cs="Arial" w:eastAsia="Arial" w:hAnsi="Arial"/>
                <w:sz w:val="18"/>
                <w:szCs w:val="18"/>
                <w:color w:val="auto"/>
              </w:rPr>
              <w:t>Exchanges</w:t>
            </w:r>
          </w:p>
        </w:tc>
        <w:tc>
          <w:tcPr>
            <w:tcW w:w="2480" w:type="dxa"/>
            <w:vAlign w:val="bottom"/>
          </w:tcPr>
          <w:p>
            <w:pPr>
              <w:spacing w:after="0"/>
              <w:rPr>
                <w:sz w:val="18"/>
                <w:szCs w:val="18"/>
                <w:color w:val="auto"/>
              </w:rPr>
            </w:pPr>
          </w:p>
        </w:tc>
        <w:tc>
          <w:tcPr>
            <w:tcW w:w="1440" w:type="dxa"/>
            <w:vAlign w:val="bottom"/>
            <w:gridSpan w:val="3"/>
          </w:tcPr>
          <w:p>
            <w:pPr>
              <w:jc w:val="right"/>
              <w:ind w:right="100"/>
              <w:spacing w:after="0"/>
              <w:rPr>
                <w:sz w:val="20"/>
                <w:szCs w:val="20"/>
                <w:color w:val="auto"/>
              </w:rPr>
            </w:pPr>
            <w:r>
              <w:rPr>
                <w:rFonts w:ascii="Arial" w:cs="Arial" w:eastAsia="Arial" w:hAnsi="Arial"/>
                <w:sz w:val="18"/>
                <w:szCs w:val="18"/>
                <w:color w:val="auto"/>
              </w:rPr>
              <w:t>4%</w:t>
            </w:r>
          </w:p>
        </w:tc>
        <w:tc>
          <w:tcPr>
            <w:tcW w:w="80" w:type="dxa"/>
            <w:vAlign w:val="bottom"/>
          </w:tcPr>
          <w:p>
            <w:pPr>
              <w:spacing w:after="0"/>
              <w:rPr>
                <w:sz w:val="18"/>
                <w:szCs w:val="18"/>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00" w:type="dxa"/>
            <w:vAlign w:val="bottom"/>
            <w:shd w:val="clear" w:color="auto" w:fill="CCEEFF"/>
          </w:tcPr>
          <w:p>
            <w:pPr>
              <w:spacing w:after="0"/>
              <w:rPr>
                <w:sz w:val="20"/>
                <w:szCs w:val="20"/>
                <w:color w:val="auto"/>
              </w:rPr>
            </w:pPr>
            <w:r>
              <w:rPr>
                <w:rFonts w:ascii="Arial" w:cs="Arial" w:eastAsia="Arial" w:hAnsi="Arial"/>
                <w:sz w:val="18"/>
                <w:szCs w:val="18"/>
                <w:color w:val="auto"/>
              </w:rPr>
              <w:t>Real Estate</w:t>
            </w:r>
          </w:p>
        </w:tc>
        <w:tc>
          <w:tcPr>
            <w:tcW w:w="2480" w:type="dxa"/>
            <w:vAlign w:val="bottom"/>
            <w:shd w:val="clear" w:color="auto" w:fill="CCEEFF"/>
          </w:tcPr>
          <w:p>
            <w:pPr>
              <w:spacing w:after="0"/>
              <w:rPr>
                <w:sz w:val="18"/>
                <w:szCs w:val="18"/>
                <w:color w:val="auto"/>
              </w:rPr>
            </w:pPr>
          </w:p>
        </w:tc>
        <w:tc>
          <w:tcPr>
            <w:tcW w:w="14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30%</w:t>
            </w:r>
          </w:p>
        </w:tc>
        <w:tc>
          <w:tcPr>
            <w:tcW w:w="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780" w:type="dxa"/>
            <w:vAlign w:val="bottom"/>
            <w:gridSpan w:val="2"/>
          </w:tcPr>
          <w:p>
            <w:pPr>
              <w:spacing w:after="0"/>
              <w:rPr>
                <w:sz w:val="20"/>
                <w:szCs w:val="20"/>
                <w:color w:val="auto"/>
              </w:rPr>
            </w:pPr>
            <w:r>
              <w:rPr>
                <w:rFonts w:ascii="Arial" w:cs="Arial" w:eastAsia="Arial" w:hAnsi="Arial"/>
                <w:sz w:val="18"/>
                <w:szCs w:val="18"/>
                <w:color w:val="auto"/>
              </w:rPr>
              <w:t>Unallocated—corporate, as a percentage of total revenue</w:t>
            </w:r>
          </w:p>
        </w:tc>
        <w:tc>
          <w:tcPr>
            <w:tcW w:w="1440" w:type="dxa"/>
            <w:vAlign w:val="bottom"/>
            <w:gridSpan w:val="3"/>
          </w:tcPr>
          <w:p>
            <w:pPr>
              <w:jc w:val="right"/>
              <w:ind w:right="100"/>
              <w:spacing w:after="0"/>
              <w:rPr>
                <w:sz w:val="20"/>
                <w:szCs w:val="20"/>
                <w:color w:val="auto"/>
              </w:rPr>
            </w:pPr>
            <w:r>
              <w:rPr>
                <w:rFonts w:ascii="Arial" w:cs="Arial" w:eastAsia="Arial" w:hAnsi="Arial"/>
                <w:sz w:val="18"/>
                <w:szCs w:val="18"/>
                <w:color w:val="auto"/>
              </w:rPr>
              <w:t>11%</w:t>
            </w:r>
          </w:p>
        </w:tc>
        <w:tc>
          <w:tcPr>
            <w:tcW w:w="80" w:type="dxa"/>
            <w:vAlign w:val="bottom"/>
          </w:tcPr>
          <w:p>
            <w:pPr>
              <w:spacing w:after="0"/>
              <w:rPr>
                <w:sz w:val="19"/>
                <w:szCs w:val="19"/>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bl>
    <w:p>
      <w:pPr>
        <w:spacing w:after="0" w:line="201" w:lineRule="exact"/>
        <w:rPr>
          <w:sz w:val="20"/>
          <w:szCs w:val="20"/>
          <w:color w:val="auto"/>
        </w:rPr>
      </w:pPr>
    </w:p>
    <w:p>
      <w:pPr>
        <w:ind w:firstLine="351"/>
        <w:spacing w:after="0" w:line="259" w:lineRule="auto"/>
        <w:rPr>
          <w:sz w:val="20"/>
          <w:szCs w:val="20"/>
          <w:color w:val="auto"/>
        </w:rPr>
      </w:pPr>
      <w:r>
        <w:rPr>
          <w:rFonts w:ascii="Arial" w:cs="Arial" w:eastAsia="Arial" w:hAnsi="Arial"/>
          <w:sz w:val="18"/>
          <w:szCs w:val="18"/>
          <w:color w:val="auto"/>
        </w:rPr>
        <w:t>General and administrative expense consists primarily of compensation and other employee related costs (including stock-based compensation) for personnel engaged in finance, legal, tax, corporate information technology, human resources and executive management functions, as well as facilities and infrastructure costs and fees for professional services.</w:t>
      </w:r>
    </w:p>
    <w:p>
      <w:pPr>
        <w:spacing w:after="0" w:line="194" w:lineRule="exact"/>
        <w:rPr>
          <w:sz w:val="20"/>
          <w:szCs w:val="20"/>
          <w:color w:val="auto"/>
        </w:rPr>
      </w:pPr>
    </w:p>
    <w:p>
      <w:pPr>
        <w:ind w:firstLine="351"/>
        <w:spacing w:after="0" w:line="294" w:lineRule="auto"/>
        <w:rPr>
          <w:sz w:val="20"/>
          <w:szCs w:val="20"/>
          <w:color w:val="auto"/>
        </w:rPr>
      </w:pPr>
      <w:r>
        <w:rPr>
          <w:rFonts w:ascii="Arial" w:cs="Arial" w:eastAsia="Arial" w:hAnsi="Arial"/>
          <w:sz w:val="16"/>
          <w:szCs w:val="16"/>
          <w:color w:val="auto"/>
        </w:rPr>
        <w:t>General and administrative expense in 2010 decreased $3.5 million from 2009. This decrease reflects a $1.3 million reduction in litigation and regulatory costs and $0.4 million reduction in facilities costs due to lower headcount and occupying fewer facilities. The 2010 period also includes a $1.1 million negative expense related to post acquisition adjustments, with $0.9 million reflected in Exchanges and $0.2 million in Real Estate. These post acquisition adjustments are a result of the change in fair value of the estimated contingent consideration to be paid for business acquisitions that were completed in 2009. These adjustments are shown as negative expense within general and administrative expense, but are excluded from our definition of Adjusted EBITDA.</w:t>
      </w:r>
    </w:p>
    <w:p>
      <w:pPr>
        <w:spacing w:after="0" w:line="170" w:lineRule="exact"/>
        <w:rPr>
          <w:sz w:val="20"/>
          <w:szCs w:val="20"/>
          <w:color w:val="auto"/>
        </w:rPr>
      </w:pPr>
    </w:p>
    <w:p>
      <w:pPr>
        <w:ind w:right="1000" w:firstLine="351"/>
        <w:spacing w:after="0" w:line="268" w:lineRule="auto"/>
        <w:rPr>
          <w:sz w:val="20"/>
          <w:szCs w:val="20"/>
          <w:color w:val="auto"/>
        </w:rPr>
      </w:pPr>
      <w:r>
        <w:rPr>
          <w:rFonts w:ascii="Arial" w:cs="Arial" w:eastAsia="Arial" w:hAnsi="Arial"/>
          <w:sz w:val="18"/>
          <w:szCs w:val="18"/>
          <w:color w:val="auto"/>
        </w:rPr>
        <w:t>General and administrative expense within the LendingTree Loans segment increased $1.4 million primarily due to increases of $1.2 million in compensation and other employee related costs (excluding non-cash compensation) due to higher headcount.</w:t>
      </w:r>
    </w:p>
    <w:p>
      <w:pPr>
        <w:spacing w:after="0" w:line="186" w:lineRule="exact"/>
        <w:rPr>
          <w:sz w:val="20"/>
          <w:szCs w:val="20"/>
          <w:color w:val="auto"/>
        </w:rPr>
      </w:pPr>
    </w:p>
    <w:p>
      <w:pPr>
        <w:ind w:left="360"/>
        <w:spacing w:after="0"/>
        <w:rPr>
          <w:sz w:val="20"/>
          <w:szCs w:val="20"/>
          <w:color w:val="auto"/>
        </w:rPr>
      </w:pPr>
      <w:r>
        <w:rPr>
          <w:rFonts w:ascii="Arial" w:cs="Arial" w:eastAsia="Arial" w:hAnsi="Arial"/>
          <w:sz w:val="16"/>
          <w:szCs w:val="16"/>
          <w:color w:val="auto"/>
        </w:rPr>
        <w:t>General and administrative expense within the Exchanges segment decreased $1.3 million primarily due to the post acquisition expense discussed above.</w:t>
      </w:r>
    </w:p>
    <w:p>
      <w:pPr>
        <w:spacing w:after="0" w:line="248" w:lineRule="exact"/>
        <w:rPr>
          <w:sz w:val="20"/>
          <w:szCs w:val="20"/>
          <w:color w:val="auto"/>
        </w:rPr>
      </w:pPr>
    </w:p>
    <w:p>
      <w:pPr>
        <w:ind w:right="160" w:firstLine="351"/>
        <w:spacing w:after="0" w:line="332" w:lineRule="auto"/>
        <w:rPr>
          <w:sz w:val="20"/>
          <w:szCs w:val="20"/>
          <w:color w:val="auto"/>
        </w:rPr>
      </w:pPr>
      <w:r>
        <w:rPr>
          <w:rFonts w:ascii="Arial" w:cs="Arial" w:eastAsia="Arial" w:hAnsi="Arial"/>
          <w:sz w:val="16"/>
          <w:szCs w:val="16"/>
          <w:color w:val="auto"/>
        </w:rPr>
        <w:t>General and administrative expense within the Real Estate segment decreased $1.1 million primarily due to a decrease of $0.4 million in compensation and other employee related costs (excluding non-cash compensation) as a result of prior restructuring activities, a $0.2 million reduction</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45" w:name="page46"/>
    <w:bookmarkEnd w:id="4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color w:val="auto"/>
        </w:rPr>
        <w:t>in facilities costs due to lower headcount, occupying less office space and the post acquisition expense discussed above.</w:t>
      </w:r>
    </w:p>
    <w:p>
      <w:pPr>
        <w:spacing w:after="0" w:line="225" w:lineRule="exact"/>
        <w:rPr>
          <w:sz w:val="20"/>
          <w:szCs w:val="20"/>
          <w:color w:val="auto"/>
        </w:rPr>
      </w:pPr>
    </w:p>
    <w:p>
      <w:pPr>
        <w:ind w:right="240" w:firstLine="351"/>
        <w:spacing w:after="0" w:line="259" w:lineRule="auto"/>
        <w:rPr>
          <w:sz w:val="20"/>
          <w:szCs w:val="20"/>
          <w:color w:val="auto"/>
        </w:rPr>
      </w:pPr>
      <w:r>
        <w:rPr>
          <w:rFonts w:ascii="Arial" w:cs="Arial" w:eastAsia="Arial" w:hAnsi="Arial"/>
          <w:sz w:val="18"/>
          <w:szCs w:val="18"/>
          <w:color w:val="auto"/>
        </w:rPr>
        <w:t>General and administrative expense within the Unallocated—corporate segment decreased $2.5 million primarily due to a decrease of $0.3 million in compensation and other employee related costs (excluding non-cash compensation) as a result of prior restructuring activities and a decrease of $1.5 million in litigation and regulatory costs.</w:t>
      </w:r>
    </w:p>
    <w:p>
      <w:pPr>
        <w:spacing w:after="0" w:line="194"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For the nine months ended September 30, 2010 compared to the nine months ended September 30, 2009:</w:t>
      </w:r>
    </w:p>
    <w:p>
      <w:pPr>
        <w:spacing w:after="0" w:line="275" w:lineRule="exact"/>
        <w:rPr>
          <w:sz w:val="20"/>
          <w:szCs w:val="20"/>
          <w:color w:val="auto"/>
        </w:rPr>
      </w:pPr>
    </w:p>
    <w:tbl>
      <w:tblPr>
        <w:tblLayout w:type="fixed"/>
        <w:tblInd w:w="2300" w:type="dxa"/>
        <w:tblCellMar>
          <w:top w:w="0" w:type="dxa"/>
          <w:left w:w="0" w:type="dxa"/>
          <w:bottom w:w="0" w:type="dxa"/>
          <w:right w:w="0" w:type="dxa"/>
        </w:tblCellMar>
      </w:tblPr>
      <w:tr>
        <w:trPr>
          <w:trHeight w:val="161"/>
        </w:trPr>
        <w:tc>
          <w:tcPr>
            <w:tcW w:w="31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240" w:type="dxa"/>
            <w:vAlign w:val="bottom"/>
            <w:tcBorders>
              <w:bottom w:val="single" w:sz="8" w:color="auto"/>
            </w:tcBorders>
            <w:gridSpan w:val="7"/>
          </w:tcPr>
          <w:p>
            <w:pPr>
              <w:jc w:val="right"/>
              <w:ind w:right="200"/>
              <w:spacing w:after="0"/>
              <w:rPr>
                <w:sz w:val="20"/>
                <w:szCs w:val="20"/>
                <w:color w:val="auto"/>
              </w:rPr>
            </w:pPr>
            <w:r>
              <w:rPr>
                <w:rFonts w:ascii="Arial" w:cs="Arial" w:eastAsia="Arial" w:hAnsi="Arial"/>
                <w:sz w:val="14"/>
                <w:szCs w:val="14"/>
                <w:b w:val="1"/>
                <w:bCs w:val="1"/>
                <w:color w:val="auto"/>
                <w:w w:val="87"/>
              </w:rPr>
              <w:t>Nine Months Ended September 30,</w:t>
            </w:r>
          </w:p>
        </w:tc>
        <w:tc>
          <w:tcPr>
            <w:tcW w:w="56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r>
      <w:tr>
        <w:trPr>
          <w:trHeight w:val="142"/>
        </w:trPr>
        <w:tc>
          <w:tcPr>
            <w:tcW w:w="3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jc w:val="right"/>
              <w:ind w:right="136"/>
              <w:spacing w:after="0" w:line="142" w:lineRule="exact"/>
              <w:rPr>
                <w:sz w:val="20"/>
                <w:szCs w:val="20"/>
                <w:color w:val="auto"/>
              </w:rPr>
            </w:pPr>
            <w:r>
              <w:rPr>
                <w:rFonts w:ascii="Arial" w:cs="Arial" w:eastAsia="Arial" w:hAnsi="Arial"/>
                <w:sz w:val="14"/>
                <w:szCs w:val="14"/>
                <w:b w:val="1"/>
                <w:bCs w:val="1"/>
                <w:color w:val="auto"/>
              </w:rPr>
              <w:t>2010</w:t>
            </w:r>
          </w:p>
        </w:tc>
        <w:tc>
          <w:tcPr>
            <w:tcW w:w="20" w:type="dxa"/>
            <w:vAlign w:val="bottom"/>
          </w:tcPr>
          <w:p>
            <w:pPr>
              <w:spacing w:after="0"/>
              <w:rPr>
                <w:sz w:val="12"/>
                <w:szCs w:val="12"/>
                <w:color w:val="auto"/>
              </w:rPr>
            </w:pPr>
          </w:p>
        </w:tc>
        <w:tc>
          <w:tcPr>
            <w:tcW w:w="340" w:type="dxa"/>
            <w:vAlign w:val="bottom"/>
            <w:gridSpan w:val="2"/>
          </w:tcPr>
          <w:p>
            <w:pPr>
              <w:jc w:val="right"/>
              <w:ind w:right="20"/>
              <w:spacing w:after="0" w:line="142" w:lineRule="exact"/>
              <w:rPr>
                <w:sz w:val="20"/>
                <w:szCs w:val="20"/>
                <w:color w:val="auto"/>
              </w:rPr>
            </w:pPr>
            <w:r>
              <w:rPr>
                <w:rFonts w:ascii="Arial" w:cs="Arial" w:eastAsia="Arial" w:hAnsi="Arial"/>
                <w:sz w:val="14"/>
                <w:szCs w:val="14"/>
                <w:b w:val="1"/>
                <w:bCs w:val="1"/>
                <w:color w:val="auto"/>
              </w:rPr>
              <w:t>$</w:t>
            </w:r>
          </w:p>
        </w:tc>
        <w:tc>
          <w:tcPr>
            <w:tcW w:w="720" w:type="dxa"/>
            <w:vAlign w:val="bottom"/>
            <w:gridSpan w:val="2"/>
          </w:tcPr>
          <w:p>
            <w:pPr>
              <w:jc w:val="right"/>
              <w:ind w:right="198"/>
              <w:spacing w:after="0" w:line="142" w:lineRule="exact"/>
              <w:rPr>
                <w:sz w:val="20"/>
                <w:szCs w:val="20"/>
                <w:color w:val="auto"/>
              </w:rPr>
            </w:pPr>
            <w:r>
              <w:rPr>
                <w:rFonts w:ascii="Arial" w:cs="Arial" w:eastAsia="Arial" w:hAnsi="Arial"/>
                <w:sz w:val="14"/>
                <w:szCs w:val="14"/>
                <w:b w:val="1"/>
                <w:bCs w:val="1"/>
                <w:color w:val="auto"/>
                <w:w w:val="85"/>
              </w:rPr>
              <w:t>Change</w:t>
            </w:r>
          </w:p>
        </w:tc>
        <w:tc>
          <w:tcPr>
            <w:tcW w:w="1180" w:type="dxa"/>
            <w:vAlign w:val="bottom"/>
            <w:gridSpan w:val="3"/>
          </w:tcPr>
          <w:p>
            <w:pPr>
              <w:jc w:val="right"/>
              <w:ind w:right="480"/>
              <w:spacing w:after="0" w:line="142" w:lineRule="exact"/>
              <w:rPr>
                <w:sz w:val="20"/>
                <w:szCs w:val="20"/>
                <w:color w:val="auto"/>
              </w:rPr>
            </w:pPr>
            <w:r>
              <w:rPr>
                <w:rFonts w:ascii="Arial" w:cs="Arial" w:eastAsia="Arial" w:hAnsi="Arial"/>
                <w:sz w:val="14"/>
                <w:szCs w:val="14"/>
                <w:b w:val="1"/>
                <w:bCs w:val="1"/>
                <w:color w:val="auto"/>
              </w:rPr>
              <w:t>% Change</w:t>
            </w:r>
          </w:p>
        </w:tc>
        <w:tc>
          <w:tcPr>
            <w:tcW w:w="560" w:type="dxa"/>
            <w:vAlign w:val="bottom"/>
          </w:tcPr>
          <w:p>
            <w:pPr>
              <w:jc w:val="right"/>
              <w:ind w:right="136"/>
              <w:spacing w:after="0" w:line="142" w:lineRule="exact"/>
              <w:rPr>
                <w:sz w:val="20"/>
                <w:szCs w:val="20"/>
                <w:color w:val="auto"/>
              </w:rPr>
            </w:pPr>
            <w:r>
              <w:rPr>
                <w:rFonts w:ascii="Arial" w:cs="Arial" w:eastAsia="Arial" w:hAnsi="Arial"/>
                <w:sz w:val="14"/>
                <w:szCs w:val="14"/>
                <w:b w:val="1"/>
                <w:bCs w:val="1"/>
                <w:color w:val="auto"/>
              </w:rPr>
              <w:t>2009</w:t>
            </w:r>
          </w:p>
        </w:tc>
        <w:tc>
          <w:tcPr>
            <w:tcW w:w="160" w:type="dxa"/>
            <w:vAlign w:val="bottom"/>
          </w:tcPr>
          <w:p>
            <w:pPr>
              <w:spacing w:after="0"/>
              <w:rPr>
                <w:sz w:val="12"/>
                <w:szCs w:val="12"/>
                <w:color w:val="auto"/>
              </w:rPr>
            </w:pPr>
          </w:p>
        </w:tc>
      </w:tr>
      <w:tr>
        <w:trPr>
          <w:trHeight w:val="142"/>
        </w:trPr>
        <w:tc>
          <w:tcPr>
            <w:tcW w:w="316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5"/>
              </w:rPr>
              <w:t>(Dollars</w:t>
            </w:r>
          </w:p>
        </w:tc>
        <w:tc>
          <w:tcPr>
            <w:tcW w:w="160" w:type="dxa"/>
            <w:vAlign w:val="bottom"/>
          </w:tcPr>
          <w:p>
            <w:pPr>
              <w:jc w:val="right"/>
              <w:spacing w:after="0"/>
              <w:rPr>
                <w:sz w:val="20"/>
                <w:szCs w:val="20"/>
                <w:color w:val="auto"/>
              </w:rPr>
            </w:pPr>
            <w:r>
              <w:rPr>
                <w:rFonts w:ascii="Arial" w:cs="Arial" w:eastAsia="Arial" w:hAnsi="Arial"/>
                <w:sz w:val="12"/>
                <w:szCs w:val="12"/>
                <w:b w:val="1"/>
                <w:bCs w:val="1"/>
                <w:color w:val="auto"/>
                <w:w w:val="74"/>
              </w:rPr>
              <w:t>in</w:t>
            </w:r>
          </w:p>
        </w:tc>
        <w:tc>
          <w:tcPr>
            <w:tcW w:w="760" w:type="dxa"/>
            <w:vAlign w:val="bottom"/>
            <w:tcBorders>
              <w:top w:val="single" w:sz="8" w:color="auto"/>
            </w:tcBorders>
          </w:tcPr>
          <w:p>
            <w:pPr>
              <w:jc w:val="right"/>
              <w:ind w:right="58"/>
              <w:spacing w:after="0" w:line="142" w:lineRule="exact"/>
              <w:rPr>
                <w:sz w:val="20"/>
                <w:szCs w:val="20"/>
                <w:color w:val="auto"/>
              </w:rPr>
            </w:pPr>
            <w:r>
              <w:rPr>
                <w:rFonts w:ascii="Arial" w:cs="Arial" w:eastAsia="Arial" w:hAnsi="Arial"/>
                <w:sz w:val="14"/>
                <w:szCs w:val="14"/>
                <w:b w:val="1"/>
                <w:bCs w:val="1"/>
                <w:color w:val="auto"/>
                <w:w w:val="79"/>
              </w:rPr>
              <w:t>thousands)</w:t>
            </w:r>
          </w:p>
        </w:tc>
        <w:tc>
          <w:tcPr>
            <w:tcW w:w="28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r>
      <w:tr>
        <w:trPr>
          <w:trHeight w:val="216"/>
        </w:trPr>
        <w:tc>
          <w:tcPr>
            <w:tcW w:w="3160" w:type="dxa"/>
            <w:vAlign w:val="bottom"/>
            <w:shd w:val="clear" w:color="auto" w:fill="CCEEFF"/>
          </w:tcPr>
          <w:p>
            <w:pPr>
              <w:spacing w:after="0"/>
              <w:rPr>
                <w:sz w:val="20"/>
                <w:szCs w:val="20"/>
                <w:color w:val="auto"/>
              </w:rPr>
            </w:pPr>
            <w:r>
              <w:rPr>
                <w:rFonts w:ascii="Arial" w:cs="Arial" w:eastAsia="Arial" w:hAnsi="Arial"/>
                <w:sz w:val="18"/>
                <w:szCs w:val="18"/>
                <w:color w:val="auto"/>
              </w:rPr>
              <w:t>LendingTree Loans</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8"/>
              </w:rPr>
              <w:t>16,446</w:t>
            </w:r>
          </w:p>
        </w:tc>
        <w:tc>
          <w:tcPr>
            <w:tcW w:w="3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98"/>
              <w:spacing w:after="0"/>
              <w:rPr>
                <w:sz w:val="20"/>
                <w:szCs w:val="20"/>
                <w:color w:val="auto"/>
              </w:rPr>
            </w:pPr>
            <w:r>
              <w:rPr>
                <w:rFonts w:ascii="Arial" w:cs="Arial" w:eastAsia="Arial" w:hAnsi="Arial"/>
                <w:sz w:val="18"/>
                <w:szCs w:val="18"/>
                <w:color w:val="auto"/>
              </w:rPr>
              <w:t>288</w:t>
            </w:r>
          </w:p>
        </w:tc>
        <w:tc>
          <w:tcPr>
            <w:tcW w:w="11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2%  $</w:t>
            </w: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8"/>
              </w:rPr>
              <w:t>16,158</w:t>
            </w:r>
          </w:p>
        </w:tc>
      </w:tr>
      <w:tr>
        <w:trPr>
          <w:trHeight w:val="216"/>
        </w:trPr>
        <w:tc>
          <w:tcPr>
            <w:tcW w:w="3160" w:type="dxa"/>
            <w:vAlign w:val="bottom"/>
          </w:tcPr>
          <w:p>
            <w:pPr>
              <w:spacing w:after="0"/>
              <w:rPr>
                <w:sz w:val="20"/>
                <w:szCs w:val="20"/>
                <w:color w:val="auto"/>
              </w:rPr>
            </w:pPr>
            <w:r>
              <w:rPr>
                <w:rFonts w:ascii="Arial" w:cs="Arial" w:eastAsia="Arial" w:hAnsi="Arial"/>
                <w:sz w:val="18"/>
                <w:szCs w:val="18"/>
                <w:color w:val="auto"/>
              </w:rPr>
              <w:t>Exchanges</w:t>
            </w:r>
          </w:p>
        </w:tc>
        <w:tc>
          <w:tcPr>
            <w:tcW w:w="140" w:type="dxa"/>
            <w:vAlign w:val="bottom"/>
          </w:tcPr>
          <w:p>
            <w:pPr>
              <w:spacing w:after="0"/>
              <w:rPr>
                <w:sz w:val="18"/>
                <w:szCs w:val="18"/>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3,733</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gridSpan w:val="2"/>
          </w:tcPr>
          <w:p>
            <w:pPr>
              <w:jc w:val="right"/>
              <w:ind w:right="38"/>
              <w:spacing w:after="0"/>
              <w:rPr>
                <w:sz w:val="20"/>
                <w:szCs w:val="20"/>
                <w:color w:val="auto"/>
              </w:rPr>
            </w:pPr>
            <w:r>
              <w:rPr>
                <w:rFonts w:ascii="Arial" w:cs="Arial" w:eastAsia="Arial" w:hAnsi="Arial"/>
                <w:sz w:val="18"/>
                <w:szCs w:val="18"/>
                <w:color w:val="auto"/>
              </w:rPr>
              <w:t>(3,650)</w:t>
            </w: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(49)%</w:t>
            </w:r>
          </w:p>
        </w:tc>
        <w:tc>
          <w:tcPr>
            <w:tcW w:w="14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rPr>
              <w:t>7,383</w:t>
            </w:r>
          </w:p>
        </w:tc>
      </w:tr>
      <w:tr>
        <w:trPr>
          <w:trHeight w:val="216"/>
        </w:trPr>
        <w:tc>
          <w:tcPr>
            <w:tcW w:w="3160" w:type="dxa"/>
            <w:vAlign w:val="bottom"/>
            <w:shd w:val="clear" w:color="auto" w:fill="CCEEFF"/>
          </w:tcPr>
          <w:p>
            <w:pPr>
              <w:spacing w:after="0"/>
              <w:rPr>
                <w:sz w:val="20"/>
                <w:szCs w:val="20"/>
                <w:color w:val="auto"/>
              </w:rPr>
            </w:pPr>
            <w:r>
              <w:rPr>
                <w:rFonts w:ascii="Arial" w:cs="Arial" w:eastAsia="Arial" w:hAnsi="Arial"/>
                <w:sz w:val="18"/>
                <w:szCs w:val="18"/>
                <w:color w:val="auto"/>
              </w:rPr>
              <w:t>Real Estate</w:t>
            </w:r>
          </w:p>
        </w:tc>
        <w:tc>
          <w:tcPr>
            <w:tcW w:w="14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4,049</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38"/>
              <w:spacing w:after="0"/>
              <w:rPr>
                <w:sz w:val="20"/>
                <w:szCs w:val="20"/>
                <w:color w:val="auto"/>
              </w:rPr>
            </w:pPr>
            <w:r>
              <w:rPr>
                <w:rFonts w:ascii="Arial" w:cs="Arial" w:eastAsia="Arial" w:hAnsi="Arial"/>
                <w:sz w:val="18"/>
                <w:szCs w:val="18"/>
                <w:color w:val="auto"/>
              </w:rPr>
              <w:t>(3,048)</w:t>
            </w: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(43)%</w:t>
            </w: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7,097</w:t>
            </w:r>
          </w:p>
        </w:tc>
      </w:tr>
      <w:tr>
        <w:trPr>
          <w:trHeight w:val="222"/>
        </w:trPr>
        <w:tc>
          <w:tcPr>
            <w:tcW w:w="3160" w:type="dxa"/>
            <w:vAlign w:val="bottom"/>
          </w:tcPr>
          <w:p>
            <w:pPr>
              <w:spacing w:after="0"/>
              <w:rPr>
                <w:sz w:val="20"/>
                <w:szCs w:val="20"/>
                <w:color w:val="auto"/>
              </w:rPr>
            </w:pPr>
            <w:r>
              <w:rPr>
                <w:rFonts w:ascii="Arial" w:cs="Arial" w:eastAsia="Arial" w:hAnsi="Arial"/>
                <w:sz w:val="18"/>
                <w:szCs w:val="18"/>
                <w:color w:val="auto"/>
              </w:rPr>
              <w:t>Unallocated—corporate</w:t>
            </w:r>
          </w:p>
        </w:tc>
        <w:tc>
          <w:tcPr>
            <w:tcW w:w="140" w:type="dxa"/>
            <w:vAlign w:val="bottom"/>
          </w:tcPr>
          <w:p>
            <w:pPr>
              <w:spacing w:after="0"/>
              <w:rPr>
                <w:sz w:val="19"/>
                <w:szCs w:val="19"/>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w w:val="98"/>
              </w:rPr>
              <w:t>15,035</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gridSpan w:val="2"/>
          </w:tcPr>
          <w:p>
            <w:pPr>
              <w:jc w:val="right"/>
              <w:ind w:right="38"/>
              <w:spacing w:after="0"/>
              <w:rPr>
                <w:sz w:val="20"/>
                <w:szCs w:val="20"/>
                <w:color w:val="auto"/>
              </w:rPr>
            </w:pPr>
            <w:r>
              <w:rPr>
                <w:rFonts w:ascii="Arial" w:cs="Arial" w:eastAsia="Arial" w:hAnsi="Arial"/>
                <w:sz w:val="18"/>
                <w:szCs w:val="18"/>
                <w:color w:val="auto"/>
              </w:rPr>
              <w:t>(5,256)</w:t>
            </w: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(26)%</w:t>
            </w:r>
          </w:p>
        </w:tc>
        <w:tc>
          <w:tcPr>
            <w:tcW w:w="140" w:type="dxa"/>
            <w:vAlign w:val="bottom"/>
          </w:tcPr>
          <w:p>
            <w:pPr>
              <w:spacing w:after="0"/>
              <w:rPr>
                <w:sz w:val="19"/>
                <w:szCs w:val="19"/>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w w:val="98"/>
              </w:rPr>
              <w:t>20,291</w:t>
            </w:r>
          </w:p>
        </w:tc>
      </w:tr>
      <w:tr>
        <w:trPr>
          <w:trHeight w:val="21"/>
        </w:trPr>
        <w:tc>
          <w:tcPr>
            <w:tcW w:w="3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0"/>
        </w:trPr>
        <w:tc>
          <w:tcPr>
            <w:tcW w:w="316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 expense</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8"/>
              </w:rPr>
              <w:t>39,263</w:t>
            </w:r>
          </w:p>
        </w:tc>
        <w:tc>
          <w:tcPr>
            <w:tcW w:w="3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38"/>
              <w:spacing w:after="0"/>
              <w:rPr>
                <w:sz w:val="20"/>
                <w:szCs w:val="20"/>
                <w:color w:val="auto"/>
              </w:rPr>
            </w:pPr>
            <w:r>
              <w:rPr>
                <w:rFonts w:ascii="Arial" w:cs="Arial" w:eastAsia="Arial" w:hAnsi="Arial"/>
                <w:sz w:val="18"/>
                <w:szCs w:val="18"/>
                <w:color w:val="auto"/>
                <w:w w:val="89"/>
              </w:rPr>
              <w:t>(11,666)</w:t>
            </w:r>
          </w:p>
        </w:tc>
        <w:tc>
          <w:tcPr>
            <w:tcW w:w="11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(23)% $</w:t>
            </w: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8"/>
              </w:rPr>
              <w:t>50,929</w:t>
            </w:r>
          </w:p>
        </w:tc>
      </w:tr>
      <w:tr>
        <w:trPr>
          <w:trHeight w:val="27"/>
        </w:trPr>
        <w:tc>
          <w:tcPr>
            <w:tcW w:w="31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r>
      <w:tr>
        <w:trPr>
          <w:trHeight w:val="20"/>
        </w:trPr>
        <w:tc>
          <w:tcPr>
            <w:tcW w:w="3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1" w:lineRule="exact"/>
        <w:rPr>
          <w:sz w:val="20"/>
          <w:szCs w:val="20"/>
          <w:color w:val="auto"/>
        </w:rPr>
      </w:pPr>
    </w:p>
    <w:tbl>
      <w:tblPr>
        <w:tblLayout w:type="fixed"/>
        <w:tblInd w:w="2300" w:type="dxa"/>
        <w:tblCellMar>
          <w:top w:w="0" w:type="dxa"/>
          <w:left w:w="0" w:type="dxa"/>
          <w:bottom w:w="0" w:type="dxa"/>
          <w:right w:w="0" w:type="dxa"/>
        </w:tblCellMar>
      </w:tblPr>
      <w:tr>
        <w:trPr>
          <w:trHeight w:val="222"/>
        </w:trPr>
        <w:tc>
          <w:tcPr>
            <w:tcW w:w="2320" w:type="dxa"/>
            <w:vAlign w:val="bottom"/>
            <w:gridSpan w:val="2"/>
          </w:tcPr>
          <w:p>
            <w:pPr>
              <w:spacing w:after="0"/>
              <w:rPr>
                <w:sz w:val="20"/>
                <w:szCs w:val="20"/>
                <w:color w:val="auto"/>
              </w:rPr>
            </w:pPr>
            <w:r>
              <w:rPr>
                <w:rFonts w:ascii="Arial" w:cs="Arial" w:eastAsia="Arial" w:hAnsi="Arial"/>
                <w:sz w:val="18"/>
                <w:szCs w:val="18"/>
                <w:color w:val="auto"/>
                <w:w w:val="88"/>
              </w:rPr>
              <w:t>As a percentage of total revenue</w:t>
            </w:r>
          </w:p>
        </w:tc>
        <w:tc>
          <w:tcPr>
            <w:tcW w:w="2460" w:type="dxa"/>
            <w:vAlign w:val="bottom"/>
          </w:tcPr>
          <w:p>
            <w:pPr>
              <w:jc w:val="right"/>
              <w:ind w:right="692"/>
              <w:spacing w:after="0"/>
              <w:rPr>
                <w:sz w:val="20"/>
                <w:szCs w:val="20"/>
                <w:color w:val="auto"/>
              </w:rPr>
            </w:pPr>
            <w:r>
              <w:rPr>
                <w:rFonts w:ascii="Arial" w:cs="Arial" w:eastAsia="Arial" w:hAnsi="Arial"/>
                <w:sz w:val="18"/>
                <w:szCs w:val="18"/>
                <w:color w:val="auto"/>
              </w:rPr>
              <w:t>27%</w:t>
            </w:r>
          </w:p>
        </w:tc>
        <w:tc>
          <w:tcPr>
            <w:tcW w:w="1220" w:type="dxa"/>
            <w:vAlign w:val="bottom"/>
            <w:gridSpan w:val="2"/>
          </w:tcPr>
          <w:p>
            <w:pPr>
              <w:jc w:val="right"/>
              <w:ind w:right="28"/>
              <w:spacing w:after="0"/>
              <w:rPr>
                <w:sz w:val="20"/>
                <w:szCs w:val="20"/>
                <w:color w:val="auto"/>
              </w:rPr>
            </w:pPr>
            <w:r>
              <w:rPr>
                <w:rFonts w:ascii="Arial" w:cs="Arial" w:eastAsia="Arial" w:hAnsi="Arial"/>
                <w:sz w:val="18"/>
                <w:szCs w:val="18"/>
                <w:color w:val="auto"/>
              </w:rPr>
              <w:t>(3)%</w:t>
            </w: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778"/>
        </w:trPr>
        <w:tc>
          <w:tcPr>
            <w:tcW w:w="2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24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80" w:type="dxa"/>
            <w:vAlign w:val="bottom"/>
            <w:gridSpan w:val="5"/>
          </w:tcPr>
          <w:p>
            <w:pPr>
              <w:jc w:val="center"/>
              <w:ind w:right="160"/>
              <w:spacing w:after="0"/>
              <w:rPr>
                <w:sz w:val="20"/>
                <w:szCs w:val="20"/>
                <w:color w:val="auto"/>
              </w:rPr>
            </w:pPr>
            <w:r>
              <w:rPr>
                <w:rFonts w:ascii="Arial" w:cs="Arial" w:eastAsia="Arial" w:hAnsi="Arial"/>
                <w:sz w:val="14"/>
                <w:szCs w:val="14"/>
                <w:b w:val="1"/>
                <w:bCs w:val="1"/>
                <w:color w:val="auto"/>
                <w:w w:val="90"/>
              </w:rPr>
              <w:t>Nine Months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300" w:type="dxa"/>
            <w:vAlign w:val="bottom"/>
          </w:tcPr>
          <w:p>
            <w:pPr>
              <w:spacing w:after="0"/>
              <w:rPr>
                <w:sz w:val="12"/>
                <w:szCs w:val="12"/>
                <w:color w:val="auto"/>
              </w:rPr>
            </w:pPr>
          </w:p>
        </w:tc>
        <w:tc>
          <w:tcPr>
            <w:tcW w:w="24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60" w:type="dxa"/>
            <w:vAlign w:val="bottom"/>
            <w:gridSpan w:val="3"/>
          </w:tcPr>
          <w:p>
            <w:pPr>
              <w:jc w:val="center"/>
              <w:ind w:left="288"/>
              <w:spacing w:after="0" w:line="149" w:lineRule="exact"/>
              <w:rPr>
                <w:sz w:val="20"/>
                <w:szCs w:val="20"/>
                <w:color w:val="auto"/>
              </w:rPr>
            </w:pPr>
            <w:r>
              <w:rPr>
                <w:rFonts w:ascii="Arial" w:cs="Arial" w:eastAsia="Arial" w:hAnsi="Arial"/>
                <w:sz w:val="14"/>
                <w:szCs w:val="14"/>
                <w:b w:val="1"/>
                <w:bCs w:val="1"/>
                <w:color w:val="auto"/>
                <w:w w:val="84"/>
              </w:rPr>
              <w:t>Ended</w:t>
            </w:r>
          </w:p>
        </w:tc>
        <w:tc>
          <w:tcPr>
            <w:tcW w:w="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320" w:type="dxa"/>
            <w:vAlign w:val="bottom"/>
            <w:gridSpan w:val="2"/>
            <w:vMerge w:val="restart"/>
          </w:tcPr>
          <w:p>
            <w:pPr>
              <w:spacing w:after="0"/>
              <w:rPr>
                <w:sz w:val="20"/>
                <w:szCs w:val="20"/>
                <w:color w:val="auto"/>
              </w:rPr>
            </w:pPr>
            <w:r>
              <w:rPr>
                <w:rFonts w:ascii="Arial" w:cs="Arial" w:eastAsia="Arial" w:hAnsi="Arial"/>
                <w:sz w:val="14"/>
                <w:szCs w:val="14"/>
                <w:b w:val="1"/>
                <w:bCs w:val="1"/>
                <w:color w:val="auto"/>
                <w:w w:val="91"/>
              </w:rPr>
              <w:t>As a Percentage of Segment Revenue</w:t>
            </w:r>
          </w:p>
        </w:tc>
        <w:tc>
          <w:tcPr>
            <w:tcW w:w="24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80" w:type="dxa"/>
            <w:vAlign w:val="bottom"/>
            <w:gridSpan w:val="5"/>
          </w:tcPr>
          <w:p>
            <w:pPr>
              <w:jc w:val="center"/>
              <w:ind w:right="140"/>
              <w:spacing w:after="0"/>
              <w:rPr>
                <w:sz w:val="20"/>
                <w:szCs w:val="20"/>
                <w:color w:val="auto"/>
              </w:rPr>
            </w:pPr>
            <w:r>
              <w:rPr>
                <w:rFonts w:ascii="Arial" w:cs="Arial" w:eastAsia="Arial" w:hAnsi="Arial"/>
                <w:sz w:val="14"/>
                <w:szCs w:val="14"/>
                <w:b w:val="1"/>
                <w:bCs w:val="1"/>
                <w:color w:val="auto"/>
                <w:w w:val="85"/>
              </w:rPr>
              <w:t>September 30,</w:t>
            </w:r>
          </w:p>
        </w:tc>
        <w:tc>
          <w:tcPr>
            <w:tcW w:w="0" w:type="dxa"/>
            <w:vAlign w:val="bottom"/>
          </w:tcPr>
          <w:p>
            <w:pPr>
              <w:spacing w:after="0"/>
              <w:rPr>
                <w:sz w:val="1"/>
                <w:szCs w:val="1"/>
                <w:color w:val="auto"/>
              </w:rPr>
            </w:pPr>
          </w:p>
        </w:tc>
      </w:tr>
      <w:tr>
        <w:trPr>
          <w:trHeight w:val="142"/>
        </w:trPr>
        <w:tc>
          <w:tcPr>
            <w:tcW w:w="2320" w:type="dxa"/>
            <w:vAlign w:val="bottom"/>
            <w:gridSpan w:val="2"/>
            <w:vMerge w:val="continue"/>
          </w:tcPr>
          <w:p>
            <w:pPr>
              <w:spacing w:after="0"/>
              <w:rPr>
                <w:sz w:val="12"/>
                <w:szCs w:val="12"/>
                <w:color w:val="auto"/>
              </w:rPr>
            </w:pPr>
          </w:p>
        </w:tc>
        <w:tc>
          <w:tcPr>
            <w:tcW w:w="24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40" w:type="dxa"/>
            <w:vAlign w:val="bottom"/>
            <w:tcBorders>
              <w:top w:val="single" w:sz="8" w:color="auto"/>
            </w:tcBorders>
          </w:tcPr>
          <w:p>
            <w:pPr>
              <w:jc w:val="right"/>
              <w:ind w:right="8"/>
              <w:spacing w:after="0" w:line="142" w:lineRule="exact"/>
              <w:rPr>
                <w:sz w:val="20"/>
                <w:szCs w:val="20"/>
                <w:color w:val="auto"/>
              </w:rPr>
            </w:pPr>
            <w:r>
              <w:rPr>
                <w:rFonts w:ascii="Arial" w:cs="Arial" w:eastAsia="Arial" w:hAnsi="Arial"/>
                <w:sz w:val="14"/>
                <w:szCs w:val="14"/>
                <w:b w:val="1"/>
                <w:bCs w:val="1"/>
                <w:color w:val="auto"/>
              </w:rPr>
              <w:t>2010</w:t>
            </w:r>
          </w:p>
        </w:tc>
        <w:tc>
          <w:tcPr>
            <w:tcW w:w="24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36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3"/>
              </w:rPr>
              <w:t>2009</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2300" w:type="dxa"/>
            <w:vAlign w:val="bottom"/>
            <w:shd w:val="clear" w:color="auto" w:fill="000000"/>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2300" w:type="dxa"/>
            <w:vAlign w:val="bottom"/>
            <w:shd w:val="clear" w:color="auto" w:fill="CCEEFF"/>
          </w:tcPr>
          <w:p>
            <w:pPr>
              <w:spacing w:after="0"/>
              <w:rPr>
                <w:sz w:val="20"/>
                <w:szCs w:val="20"/>
                <w:color w:val="auto"/>
              </w:rPr>
            </w:pPr>
            <w:r>
              <w:rPr>
                <w:rFonts w:ascii="Arial" w:cs="Arial" w:eastAsia="Arial" w:hAnsi="Arial"/>
                <w:sz w:val="18"/>
                <w:szCs w:val="18"/>
                <w:color w:val="auto"/>
              </w:rPr>
              <w:t>LendingTree Loans</w:t>
            </w:r>
          </w:p>
        </w:tc>
        <w:tc>
          <w:tcPr>
            <w:tcW w:w="24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w:t>
            </w:r>
          </w:p>
        </w:tc>
        <w:tc>
          <w:tcPr>
            <w:tcW w:w="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00" w:type="dxa"/>
            <w:vAlign w:val="bottom"/>
          </w:tcPr>
          <w:p>
            <w:pPr>
              <w:spacing w:after="0"/>
              <w:rPr>
                <w:sz w:val="20"/>
                <w:szCs w:val="20"/>
                <w:color w:val="auto"/>
              </w:rPr>
            </w:pPr>
            <w:r>
              <w:rPr>
                <w:rFonts w:ascii="Arial" w:cs="Arial" w:eastAsia="Arial" w:hAnsi="Arial"/>
                <w:sz w:val="18"/>
                <w:szCs w:val="18"/>
                <w:color w:val="auto"/>
              </w:rPr>
              <w:t>Exchanges</w:t>
            </w:r>
          </w:p>
        </w:tc>
        <w:tc>
          <w:tcPr>
            <w:tcW w:w="2460" w:type="dxa"/>
            <w:vAlign w:val="bottom"/>
          </w:tcPr>
          <w:p>
            <w:pPr>
              <w:spacing w:after="0"/>
              <w:rPr>
                <w:sz w:val="18"/>
                <w:szCs w:val="18"/>
                <w:color w:val="auto"/>
              </w:rPr>
            </w:pPr>
          </w:p>
        </w:tc>
        <w:tc>
          <w:tcPr>
            <w:tcW w:w="1460" w:type="dxa"/>
            <w:vAlign w:val="bottom"/>
            <w:gridSpan w:val="3"/>
          </w:tcPr>
          <w:p>
            <w:pPr>
              <w:jc w:val="right"/>
              <w:ind w:right="100"/>
              <w:spacing w:after="0"/>
              <w:rPr>
                <w:sz w:val="20"/>
                <w:szCs w:val="20"/>
                <w:color w:val="auto"/>
              </w:rPr>
            </w:pPr>
            <w:r>
              <w:rPr>
                <w:rFonts w:ascii="Arial" w:cs="Arial" w:eastAsia="Arial" w:hAnsi="Arial"/>
                <w:sz w:val="18"/>
                <w:szCs w:val="18"/>
                <w:color w:val="auto"/>
              </w:rPr>
              <w:t>8%</w:t>
            </w:r>
          </w:p>
        </w:tc>
        <w:tc>
          <w:tcPr>
            <w:tcW w:w="80" w:type="dxa"/>
            <w:vAlign w:val="bottom"/>
          </w:tcPr>
          <w:p>
            <w:pPr>
              <w:spacing w:after="0"/>
              <w:rPr>
                <w:sz w:val="18"/>
                <w:szCs w:val="18"/>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00" w:type="dxa"/>
            <w:vAlign w:val="bottom"/>
            <w:shd w:val="clear" w:color="auto" w:fill="CCEEFF"/>
          </w:tcPr>
          <w:p>
            <w:pPr>
              <w:spacing w:after="0"/>
              <w:rPr>
                <w:sz w:val="20"/>
                <w:szCs w:val="20"/>
                <w:color w:val="auto"/>
              </w:rPr>
            </w:pPr>
            <w:r>
              <w:rPr>
                <w:rFonts w:ascii="Arial" w:cs="Arial" w:eastAsia="Arial" w:hAnsi="Arial"/>
                <w:sz w:val="18"/>
                <w:szCs w:val="18"/>
                <w:color w:val="auto"/>
              </w:rPr>
              <w:t>Real Estate</w:t>
            </w:r>
          </w:p>
        </w:tc>
        <w:tc>
          <w:tcPr>
            <w:tcW w:w="2460" w:type="dxa"/>
            <w:vAlign w:val="bottom"/>
            <w:shd w:val="clear" w:color="auto" w:fill="CCEEFF"/>
          </w:tcPr>
          <w:p>
            <w:pPr>
              <w:spacing w:after="0"/>
              <w:rPr>
                <w:sz w:val="18"/>
                <w:szCs w:val="18"/>
                <w:color w:val="auto"/>
              </w:rPr>
            </w:pPr>
          </w:p>
        </w:tc>
        <w:tc>
          <w:tcPr>
            <w:tcW w:w="14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34%</w:t>
            </w:r>
          </w:p>
        </w:tc>
        <w:tc>
          <w:tcPr>
            <w:tcW w:w="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760" w:type="dxa"/>
            <w:vAlign w:val="bottom"/>
            <w:gridSpan w:val="2"/>
          </w:tcPr>
          <w:p>
            <w:pPr>
              <w:spacing w:after="0"/>
              <w:rPr>
                <w:sz w:val="20"/>
                <w:szCs w:val="20"/>
                <w:color w:val="auto"/>
              </w:rPr>
            </w:pPr>
            <w:r>
              <w:rPr>
                <w:rFonts w:ascii="Arial" w:cs="Arial" w:eastAsia="Arial" w:hAnsi="Arial"/>
                <w:sz w:val="18"/>
                <w:szCs w:val="18"/>
                <w:color w:val="auto"/>
              </w:rPr>
              <w:t>Unallocated—corporate, as a percentage of total revenue</w:t>
            </w:r>
          </w:p>
        </w:tc>
        <w:tc>
          <w:tcPr>
            <w:tcW w:w="1460" w:type="dxa"/>
            <w:vAlign w:val="bottom"/>
            <w:gridSpan w:val="3"/>
          </w:tcPr>
          <w:p>
            <w:pPr>
              <w:jc w:val="right"/>
              <w:ind w:right="100"/>
              <w:spacing w:after="0"/>
              <w:rPr>
                <w:sz w:val="20"/>
                <w:szCs w:val="20"/>
                <w:color w:val="auto"/>
              </w:rPr>
            </w:pPr>
            <w:r>
              <w:rPr>
                <w:rFonts w:ascii="Arial" w:cs="Arial" w:eastAsia="Arial" w:hAnsi="Arial"/>
                <w:sz w:val="18"/>
                <w:szCs w:val="18"/>
                <w:color w:val="auto"/>
              </w:rPr>
              <w:t>10%</w:t>
            </w:r>
          </w:p>
        </w:tc>
        <w:tc>
          <w:tcPr>
            <w:tcW w:w="80" w:type="dxa"/>
            <w:vAlign w:val="bottom"/>
          </w:tcPr>
          <w:p>
            <w:pPr>
              <w:spacing w:after="0"/>
              <w:rPr>
                <w:sz w:val="19"/>
                <w:szCs w:val="19"/>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bl>
    <w:p>
      <w:pPr>
        <w:spacing w:after="0" w:line="201" w:lineRule="exact"/>
        <w:rPr>
          <w:sz w:val="20"/>
          <w:szCs w:val="20"/>
          <w:color w:val="auto"/>
        </w:rPr>
      </w:pPr>
    </w:p>
    <w:p>
      <w:pPr>
        <w:ind w:firstLine="351"/>
        <w:spacing w:after="0" w:line="290" w:lineRule="auto"/>
        <w:rPr>
          <w:sz w:val="20"/>
          <w:szCs w:val="20"/>
          <w:color w:val="auto"/>
        </w:rPr>
      </w:pPr>
      <w:r>
        <w:rPr>
          <w:rFonts w:ascii="Arial" w:cs="Arial" w:eastAsia="Arial" w:hAnsi="Arial"/>
          <w:sz w:val="16"/>
          <w:szCs w:val="16"/>
          <w:color w:val="auto"/>
        </w:rPr>
        <w:t>General and administrative expense in 2010 decreased $11.7 million from the same period in 2009. This decrease reflects a $6.0 million reduction in compensation and other employee related costs, excluding non-cash compensation, as a result of prior restructuring activities. Other significant decreases during 2010 include $0.9 million in loss on disposal of fixed assets, $1.9 million in litigation and regulatory costs, and $0.9 million in facilities costs due to lower headcount and occupying fewer facilities. The 2010 period also includes a $1.1 million negative expense related to post acquisition adjustments, with $0.9 million reflected in Exchanges and $0.2 million in Real Estate. These post acquisition adjustments are a result of the change in fair value of the estimated contingent consideration to be paid for business acquisitions that were completed in 2009. These adjustments are shown as negative expense within general and administrative expense, but are excluded from our definition of Adjusted EBITDA.</w:t>
      </w:r>
    </w:p>
    <w:p>
      <w:pPr>
        <w:spacing w:after="0" w:line="172" w:lineRule="exact"/>
        <w:rPr>
          <w:sz w:val="20"/>
          <w:szCs w:val="20"/>
          <w:color w:val="auto"/>
        </w:rPr>
      </w:pPr>
    </w:p>
    <w:p>
      <w:pPr>
        <w:ind w:left="360"/>
        <w:spacing w:after="0"/>
        <w:rPr>
          <w:sz w:val="20"/>
          <w:szCs w:val="20"/>
          <w:color w:val="auto"/>
        </w:rPr>
      </w:pPr>
      <w:r>
        <w:rPr>
          <w:rFonts w:ascii="Arial" w:cs="Arial" w:eastAsia="Arial" w:hAnsi="Arial"/>
          <w:sz w:val="16"/>
          <w:szCs w:val="16"/>
          <w:color w:val="auto"/>
        </w:rPr>
        <w:t>General and administrative expense within the LendingTree Loans segment increased $0.3 million primarily due to an increase in professional fees.</w:t>
      </w:r>
    </w:p>
    <w:p>
      <w:pPr>
        <w:spacing w:after="0" w:line="248" w:lineRule="exact"/>
        <w:rPr>
          <w:sz w:val="20"/>
          <w:szCs w:val="20"/>
          <w:color w:val="auto"/>
        </w:rPr>
      </w:pPr>
    </w:p>
    <w:p>
      <w:pPr>
        <w:ind w:right="220" w:firstLine="351"/>
        <w:spacing w:after="0" w:line="259" w:lineRule="auto"/>
        <w:rPr>
          <w:sz w:val="20"/>
          <w:szCs w:val="20"/>
          <w:color w:val="auto"/>
        </w:rPr>
      </w:pPr>
      <w:r>
        <w:rPr>
          <w:rFonts w:ascii="Arial" w:cs="Arial" w:eastAsia="Arial" w:hAnsi="Arial"/>
          <w:sz w:val="18"/>
          <w:szCs w:val="18"/>
          <w:color w:val="auto"/>
        </w:rPr>
        <w:t>General and administrative expense within the Exchanges segment decreased $3.7 million primarily due to decreases of $1.3 million in compensation and other employee related costs (excluding non-cash compensation), $0.9 million in loss on disposal of fixed assets, and the post acquisition expense discussed above.</w:t>
      </w:r>
    </w:p>
    <w:p>
      <w:pPr>
        <w:spacing w:after="0" w:line="194" w:lineRule="exact"/>
        <w:rPr>
          <w:sz w:val="20"/>
          <w:szCs w:val="20"/>
          <w:color w:val="auto"/>
        </w:rPr>
      </w:pPr>
    </w:p>
    <w:p>
      <w:pPr>
        <w:ind w:right="140" w:firstLine="351"/>
        <w:spacing w:after="0" w:line="259" w:lineRule="auto"/>
        <w:rPr>
          <w:sz w:val="20"/>
          <w:szCs w:val="20"/>
          <w:color w:val="auto"/>
        </w:rPr>
      </w:pPr>
      <w:r>
        <w:rPr>
          <w:rFonts w:ascii="Arial" w:cs="Arial" w:eastAsia="Arial" w:hAnsi="Arial"/>
          <w:sz w:val="18"/>
          <w:szCs w:val="18"/>
          <w:color w:val="auto"/>
        </w:rPr>
        <w:t>General and administrative expense within the Real Estate segment decreased $3.0 million primarily due to a decrease of $2.0 million in compensation and other employee related costs (excluding non-cash compensation) as a result of prior restructuring activities, a $0.5 million reduction in facilities costs due to lower headcount and occupying less office space, and the post acquisition expense discussed above.</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46" w:name="page47"/>
    <w:bookmarkEnd w:id="4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60" w:firstLine="351"/>
        <w:spacing w:after="0" w:line="259" w:lineRule="auto"/>
        <w:rPr>
          <w:sz w:val="20"/>
          <w:szCs w:val="20"/>
          <w:color w:val="auto"/>
        </w:rPr>
      </w:pPr>
      <w:r>
        <w:rPr>
          <w:rFonts w:ascii="Arial" w:cs="Arial" w:eastAsia="Arial" w:hAnsi="Arial"/>
          <w:sz w:val="18"/>
          <w:szCs w:val="18"/>
          <w:color w:val="auto"/>
        </w:rPr>
        <w:t>General and administrative expense within the Unallocated—corporate segment decreased $5.3 million primarily due to a decrease of $2.2 million in compensation and other employee related costs (excluding non-cash compensation) as a result of prior restructuring activities and a decrease of $2.2 million in litigation and regulatory costs.</w:t>
      </w:r>
    </w:p>
    <w:p>
      <w:pPr>
        <w:spacing w:after="0" w:line="194"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Product development</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For the three months ended September 30, 2010 compared to the three months ended September 30, 2009:</w:t>
      </w:r>
    </w:p>
    <w:p>
      <w:pPr>
        <w:spacing w:after="0" w:line="275" w:lineRule="exact"/>
        <w:rPr>
          <w:sz w:val="20"/>
          <w:szCs w:val="20"/>
          <w:color w:val="auto"/>
        </w:rPr>
      </w:pPr>
    </w:p>
    <w:tbl>
      <w:tblPr>
        <w:tblLayout w:type="fixed"/>
        <w:tblInd w:w="2300" w:type="dxa"/>
        <w:tblCellMar>
          <w:top w:w="0" w:type="dxa"/>
          <w:left w:w="0" w:type="dxa"/>
          <w:bottom w:w="0" w:type="dxa"/>
          <w:right w:w="0" w:type="dxa"/>
        </w:tblCellMar>
      </w:tblPr>
      <w:tr>
        <w:trPr>
          <w:trHeight w:val="161"/>
        </w:trPr>
        <w:tc>
          <w:tcPr>
            <w:tcW w:w="33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2120" w:type="dxa"/>
            <w:vAlign w:val="bottom"/>
            <w:tcBorders>
              <w:bottom w:val="single" w:sz="8" w:color="auto"/>
            </w:tcBorders>
            <w:gridSpan w:val="6"/>
          </w:tcPr>
          <w:p>
            <w:pPr>
              <w:jc w:val="right"/>
              <w:ind w:right="20"/>
              <w:spacing w:after="0"/>
              <w:rPr>
                <w:sz w:val="20"/>
                <w:szCs w:val="20"/>
                <w:color w:val="auto"/>
              </w:rPr>
            </w:pPr>
            <w:r>
              <w:rPr>
                <w:rFonts w:ascii="Arial" w:cs="Arial" w:eastAsia="Arial" w:hAnsi="Arial"/>
                <w:sz w:val="14"/>
                <w:szCs w:val="14"/>
                <w:b w:val="1"/>
                <w:bCs w:val="1"/>
                <w:color w:val="auto"/>
                <w:w w:val="87"/>
              </w:rPr>
              <w:t>Three Months Ended September 30,</w:t>
            </w:r>
          </w:p>
        </w:tc>
        <w:tc>
          <w:tcPr>
            <w:tcW w:w="12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r>
      <w:tr>
        <w:trPr>
          <w:trHeight w:val="142"/>
        </w:trPr>
        <w:tc>
          <w:tcPr>
            <w:tcW w:w="3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jc w:val="right"/>
              <w:ind w:right="76"/>
              <w:spacing w:after="0" w:line="142" w:lineRule="exact"/>
              <w:rPr>
                <w:sz w:val="20"/>
                <w:szCs w:val="20"/>
                <w:color w:val="auto"/>
              </w:rPr>
            </w:pPr>
            <w:r>
              <w:rPr>
                <w:rFonts w:ascii="Arial" w:cs="Arial" w:eastAsia="Arial" w:hAnsi="Arial"/>
                <w:sz w:val="14"/>
                <w:szCs w:val="14"/>
                <w:b w:val="1"/>
                <w:bCs w:val="1"/>
                <w:color w:val="auto"/>
                <w:w w:val="96"/>
              </w:rPr>
              <w:t>2010</w:t>
            </w:r>
          </w:p>
        </w:tc>
        <w:tc>
          <w:tcPr>
            <w:tcW w:w="340" w:type="dxa"/>
            <w:vAlign w:val="bottom"/>
            <w:gridSpan w:val="2"/>
          </w:tcPr>
          <w:p>
            <w:pPr>
              <w:jc w:val="right"/>
              <w:ind w:right="20"/>
              <w:spacing w:after="0" w:line="142" w:lineRule="exact"/>
              <w:rPr>
                <w:sz w:val="20"/>
                <w:szCs w:val="20"/>
                <w:color w:val="auto"/>
              </w:rPr>
            </w:pPr>
            <w:r>
              <w:rPr>
                <w:rFonts w:ascii="Arial" w:cs="Arial" w:eastAsia="Arial" w:hAnsi="Arial"/>
                <w:sz w:val="14"/>
                <w:szCs w:val="14"/>
                <w:b w:val="1"/>
                <w:bCs w:val="1"/>
                <w:color w:val="auto"/>
              </w:rPr>
              <w:t>$</w:t>
            </w:r>
          </w:p>
        </w:tc>
        <w:tc>
          <w:tcPr>
            <w:tcW w:w="700" w:type="dxa"/>
            <w:vAlign w:val="bottom"/>
            <w:gridSpan w:val="2"/>
          </w:tcPr>
          <w:p>
            <w:pPr>
              <w:jc w:val="right"/>
              <w:ind w:right="172"/>
              <w:spacing w:after="0" w:line="142" w:lineRule="exact"/>
              <w:rPr>
                <w:sz w:val="20"/>
                <w:szCs w:val="20"/>
                <w:color w:val="auto"/>
              </w:rPr>
            </w:pPr>
            <w:r>
              <w:rPr>
                <w:rFonts w:ascii="Arial" w:cs="Arial" w:eastAsia="Arial" w:hAnsi="Arial"/>
                <w:sz w:val="14"/>
                <w:szCs w:val="14"/>
                <w:b w:val="1"/>
                <w:bCs w:val="1"/>
                <w:color w:val="auto"/>
                <w:w w:val="85"/>
              </w:rPr>
              <w:t>Change</w:t>
            </w:r>
          </w:p>
        </w:tc>
        <w:tc>
          <w:tcPr>
            <w:tcW w:w="1080" w:type="dxa"/>
            <w:vAlign w:val="bottom"/>
            <w:gridSpan w:val="2"/>
          </w:tcPr>
          <w:p>
            <w:pPr>
              <w:jc w:val="right"/>
              <w:ind w:right="380"/>
              <w:spacing w:after="0" w:line="142" w:lineRule="exact"/>
              <w:rPr>
                <w:sz w:val="20"/>
                <w:szCs w:val="20"/>
                <w:color w:val="auto"/>
              </w:rPr>
            </w:pPr>
            <w:r>
              <w:rPr>
                <w:rFonts w:ascii="Arial" w:cs="Arial" w:eastAsia="Arial" w:hAnsi="Arial"/>
                <w:sz w:val="14"/>
                <w:szCs w:val="14"/>
                <w:b w:val="1"/>
                <w:bCs w:val="1"/>
                <w:color w:val="auto"/>
              </w:rPr>
              <w:t>% Change</w:t>
            </w:r>
          </w:p>
        </w:tc>
        <w:tc>
          <w:tcPr>
            <w:tcW w:w="120" w:type="dxa"/>
            <w:vAlign w:val="bottom"/>
          </w:tcPr>
          <w:p>
            <w:pPr>
              <w:spacing w:after="0"/>
              <w:rPr>
                <w:sz w:val="12"/>
                <w:szCs w:val="12"/>
                <w:color w:val="auto"/>
              </w:rPr>
            </w:pPr>
          </w:p>
        </w:tc>
        <w:tc>
          <w:tcPr>
            <w:tcW w:w="500" w:type="dxa"/>
            <w:vAlign w:val="bottom"/>
          </w:tcPr>
          <w:p>
            <w:pPr>
              <w:jc w:val="right"/>
              <w:ind w:right="96"/>
              <w:spacing w:after="0" w:line="142" w:lineRule="exact"/>
              <w:rPr>
                <w:sz w:val="20"/>
                <w:szCs w:val="20"/>
                <w:color w:val="auto"/>
              </w:rPr>
            </w:pPr>
            <w:r>
              <w:rPr>
                <w:rFonts w:ascii="Arial" w:cs="Arial" w:eastAsia="Arial" w:hAnsi="Arial"/>
                <w:sz w:val="14"/>
                <w:szCs w:val="14"/>
                <w:b w:val="1"/>
                <w:bCs w:val="1"/>
                <w:color w:val="auto"/>
                <w:w w:val="96"/>
              </w:rPr>
              <w:t>2009</w:t>
            </w:r>
          </w:p>
        </w:tc>
        <w:tc>
          <w:tcPr>
            <w:tcW w:w="160" w:type="dxa"/>
            <w:vAlign w:val="bottom"/>
          </w:tcPr>
          <w:p>
            <w:pPr>
              <w:spacing w:after="0"/>
              <w:rPr>
                <w:sz w:val="12"/>
                <w:szCs w:val="12"/>
                <w:color w:val="auto"/>
              </w:rPr>
            </w:pPr>
          </w:p>
        </w:tc>
      </w:tr>
      <w:tr>
        <w:trPr>
          <w:trHeight w:val="142"/>
        </w:trPr>
        <w:tc>
          <w:tcPr>
            <w:tcW w:w="332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9"/>
              </w:rPr>
              <w:t>(Dollars</w:t>
            </w:r>
          </w:p>
        </w:tc>
        <w:tc>
          <w:tcPr>
            <w:tcW w:w="16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in</w:t>
            </w:r>
          </w:p>
        </w:tc>
        <w:tc>
          <w:tcPr>
            <w:tcW w:w="760" w:type="dxa"/>
            <w:vAlign w:val="bottom"/>
            <w:tcBorders>
              <w:top w:val="single" w:sz="8" w:color="auto"/>
            </w:tcBorders>
          </w:tcPr>
          <w:p>
            <w:pPr>
              <w:jc w:val="right"/>
              <w:ind w:right="18"/>
              <w:spacing w:after="0" w:line="142" w:lineRule="exact"/>
              <w:rPr>
                <w:sz w:val="20"/>
                <w:szCs w:val="20"/>
                <w:color w:val="auto"/>
              </w:rPr>
            </w:pPr>
            <w:r>
              <w:rPr>
                <w:rFonts w:ascii="Arial" w:cs="Arial" w:eastAsia="Arial" w:hAnsi="Arial"/>
                <w:sz w:val="14"/>
                <w:szCs w:val="14"/>
                <w:b w:val="1"/>
                <w:bCs w:val="1"/>
                <w:color w:val="auto"/>
                <w:w w:val="84"/>
              </w:rPr>
              <w:t>thousands)</w:t>
            </w:r>
          </w:p>
        </w:tc>
        <w:tc>
          <w:tcPr>
            <w:tcW w:w="32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r>
      <w:tr>
        <w:trPr>
          <w:trHeight w:val="216"/>
        </w:trPr>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LendingTree Loans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w:t>
            </w:r>
          </w:p>
        </w:tc>
        <w:tc>
          <w:tcPr>
            <w:tcW w:w="3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32"/>
              <w:spacing w:after="0"/>
              <w:rPr>
                <w:sz w:val="20"/>
                <w:szCs w:val="20"/>
                <w:color w:val="auto"/>
              </w:rPr>
            </w:pPr>
            <w:r>
              <w:rPr>
                <w:rFonts w:ascii="Arial" w:cs="Arial" w:eastAsia="Arial" w:hAnsi="Arial"/>
                <w:sz w:val="18"/>
                <w:szCs w:val="18"/>
                <w:color w:val="auto"/>
              </w:rPr>
              <w:t>(30)</w:t>
            </w: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(19)%</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165</w:t>
            </w:r>
          </w:p>
        </w:tc>
      </w:tr>
      <w:tr>
        <w:trPr>
          <w:trHeight w:val="216"/>
        </w:trPr>
        <w:tc>
          <w:tcPr>
            <w:tcW w:w="3320" w:type="dxa"/>
            <w:vAlign w:val="bottom"/>
          </w:tcPr>
          <w:p>
            <w:pPr>
              <w:spacing w:after="0"/>
              <w:rPr>
                <w:sz w:val="20"/>
                <w:szCs w:val="20"/>
                <w:color w:val="auto"/>
              </w:rPr>
            </w:pPr>
            <w:r>
              <w:rPr>
                <w:rFonts w:ascii="Arial" w:cs="Arial" w:eastAsia="Arial" w:hAnsi="Arial"/>
                <w:sz w:val="18"/>
                <w:szCs w:val="18"/>
                <w:color w:val="auto"/>
              </w:rPr>
              <w:t>Exchanges</w:t>
            </w:r>
          </w:p>
        </w:tc>
        <w:tc>
          <w:tcPr>
            <w:tcW w:w="14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804</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42</w:t>
            </w:r>
          </w:p>
        </w:tc>
        <w:tc>
          <w:tcPr>
            <w:tcW w:w="160" w:type="dxa"/>
            <w:vAlign w:val="bottom"/>
          </w:tcPr>
          <w:p>
            <w:pPr>
              <w:spacing w:after="0"/>
              <w:rPr>
                <w:sz w:val="18"/>
                <w:szCs w:val="18"/>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18"/>
                <w:szCs w:val="18"/>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8"/>
                <w:szCs w:val="18"/>
                <w:color w:val="auto"/>
              </w:rPr>
              <w:t>762</w:t>
            </w:r>
          </w:p>
        </w:tc>
      </w:tr>
      <w:tr>
        <w:trPr>
          <w:trHeight w:val="216"/>
        </w:trPr>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Real Estate</w:t>
            </w: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32"/>
              <w:spacing w:after="0"/>
              <w:rPr>
                <w:sz w:val="20"/>
                <w:szCs w:val="20"/>
                <w:color w:val="auto"/>
              </w:rPr>
            </w:pPr>
            <w:r>
              <w:rPr>
                <w:rFonts w:ascii="Arial" w:cs="Arial" w:eastAsia="Arial" w:hAnsi="Arial"/>
                <w:sz w:val="18"/>
                <w:szCs w:val="18"/>
                <w:color w:val="auto"/>
              </w:rPr>
              <w:t>(289)</w:t>
            </w: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(80)%</w:t>
            </w:r>
          </w:p>
        </w:tc>
        <w:tc>
          <w:tcPr>
            <w:tcW w:w="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363</w:t>
            </w:r>
          </w:p>
        </w:tc>
      </w:tr>
      <w:tr>
        <w:trPr>
          <w:trHeight w:val="222"/>
        </w:trPr>
        <w:tc>
          <w:tcPr>
            <w:tcW w:w="3320" w:type="dxa"/>
            <w:vAlign w:val="bottom"/>
          </w:tcPr>
          <w:p>
            <w:pPr>
              <w:spacing w:after="0"/>
              <w:rPr>
                <w:sz w:val="20"/>
                <w:szCs w:val="20"/>
                <w:color w:val="auto"/>
              </w:rPr>
            </w:pPr>
            <w:r>
              <w:rPr>
                <w:rFonts w:ascii="Arial" w:cs="Arial" w:eastAsia="Arial" w:hAnsi="Arial"/>
                <w:sz w:val="18"/>
                <w:szCs w:val="18"/>
                <w:color w:val="auto"/>
              </w:rPr>
              <w:t>Unallocated—corporate</w:t>
            </w:r>
          </w:p>
        </w:tc>
        <w:tc>
          <w:tcPr>
            <w:tcW w:w="14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gridSpan w:val="2"/>
          </w:tcPr>
          <w:p>
            <w:pPr>
              <w:jc w:val="right"/>
              <w:ind w:right="32"/>
              <w:spacing w:after="0"/>
              <w:rPr>
                <w:sz w:val="20"/>
                <w:szCs w:val="20"/>
                <w:color w:val="auto"/>
              </w:rPr>
            </w:pPr>
            <w:r>
              <w:rPr>
                <w:rFonts w:ascii="Arial" w:cs="Arial" w:eastAsia="Arial" w:hAnsi="Arial"/>
                <w:sz w:val="18"/>
                <w:szCs w:val="18"/>
                <w:color w:val="auto"/>
              </w:rPr>
              <w:t>(383)</w:t>
            </w: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(100)%</w:t>
            </w:r>
          </w:p>
        </w:tc>
        <w:tc>
          <w:tcPr>
            <w:tcW w:w="120" w:type="dxa"/>
            <w:vAlign w:val="bottom"/>
          </w:tcPr>
          <w:p>
            <w:pPr>
              <w:spacing w:after="0"/>
              <w:rPr>
                <w:sz w:val="19"/>
                <w:szCs w:val="19"/>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8"/>
                <w:szCs w:val="18"/>
                <w:color w:val="auto"/>
              </w:rPr>
              <w:t>383</w:t>
            </w:r>
          </w:p>
        </w:tc>
      </w:tr>
      <w:tr>
        <w:trPr>
          <w:trHeight w:val="21"/>
        </w:trPr>
        <w:tc>
          <w:tcPr>
            <w:tcW w:w="33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0"/>
        </w:trPr>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Product development</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1,013</w:t>
            </w:r>
          </w:p>
        </w:tc>
        <w:tc>
          <w:tcPr>
            <w:tcW w:w="3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32"/>
              <w:spacing w:after="0"/>
              <w:rPr>
                <w:sz w:val="20"/>
                <w:szCs w:val="20"/>
                <w:color w:val="auto"/>
              </w:rPr>
            </w:pPr>
            <w:r>
              <w:rPr>
                <w:rFonts w:ascii="Arial" w:cs="Arial" w:eastAsia="Arial" w:hAnsi="Arial"/>
                <w:sz w:val="18"/>
                <w:szCs w:val="18"/>
                <w:color w:val="auto"/>
              </w:rPr>
              <w:t>(660)</w:t>
            </w: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(39)%</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1,673</w:t>
            </w:r>
          </w:p>
        </w:tc>
      </w:tr>
      <w:tr>
        <w:trPr>
          <w:trHeight w:val="27"/>
        </w:trPr>
        <w:tc>
          <w:tcPr>
            <w:tcW w:w="33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r>
      <w:tr>
        <w:trPr>
          <w:trHeight w:val="20"/>
        </w:trPr>
        <w:tc>
          <w:tcPr>
            <w:tcW w:w="33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1" w:lineRule="exact"/>
        <w:rPr>
          <w:sz w:val="20"/>
          <w:szCs w:val="20"/>
          <w:color w:val="auto"/>
        </w:rPr>
      </w:pPr>
    </w:p>
    <w:tbl>
      <w:tblPr>
        <w:tblLayout w:type="fixed"/>
        <w:tblInd w:w="2300" w:type="dxa"/>
        <w:tblCellMar>
          <w:top w:w="0" w:type="dxa"/>
          <w:left w:w="0" w:type="dxa"/>
          <w:bottom w:w="0" w:type="dxa"/>
          <w:right w:w="0" w:type="dxa"/>
        </w:tblCellMar>
      </w:tblPr>
      <w:tr>
        <w:trPr>
          <w:trHeight w:val="222"/>
        </w:trPr>
        <w:tc>
          <w:tcPr>
            <w:tcW w:w="2320" w:type="dxa"/>
            <w:vAlign w:val="bottom"/>
            <w:gridSpan w:val="2"/>
          </w:tcPr>
          <w:p>
            <w:pPr>
              <w:spacing w:after="0"/>
              <w:rPr>
                <w:sz w:val="20"/>
                <w:szCs w:val="20"/>
                <w:color w:val="auto"/>
              </w:rPr>
            </w:pPr>
            <w:r>
              <w:rPr>
                <w:rFonts w:ascii="Arial" w:cs="Arial" w:eastAsia="Arial" w:hAnsi="Arial"/>
                <w:sz w:val="18"/>
                <w:szCs w:val="18"/>
                <w:color w:val="auto"/>
                <w:w w:val="88"/>
              </w:rPr>
              <w:t>As a percentage of total revenue</w:t>
            </w:r>
          </w:p>
        </w:tc>
        <w:tc>
          <w:tcPr>
            <w:tcW w:w="3240" w:type="dxa"/>
            <w:vAlign w:val="bottom"/>
          </w:tcPr>
          <w:p>
            <w:pPr>
              <w:jc w:val="right"/>
              <w:ind w:right="1372"/>
              <w:spacing w:after="0"/>
              <w:rPr>
                <w:sz w:val="20"/>
                <w:szCs w:val="20"/>
                <w:color w:val="auto"/>
              </w:rPr>
            </w:pPr>
            <w:r>
              <w:rPr>
                <w:rFonts w:ascii="Arial" w:cs="Arial" w:eastAsia="Arial" w:hAnsi="Arial"/>
                <w:sz w:val="18"/>
                <w:szCs w:val="18"/>
                <w:color w:val="auto"/>
              </w:rPr>
              <w:t>2%</w:t>
            </w:r>
          </w:p>
        </w:tc>
        <w:tc>
          <w:tcPr>
            <w:tcW w:w="440" w:type="dxa"/>
            <w:vAlign w:val="bottom"/>
          </w:tcPr>
          <w:p>
            <w:pPr>
              <w:jc w:val="right"/>
              <w:spacing w:after="0"/>
              <w:rPr>
                <w:sz w:val="20"/>
                <w:szCs w:val="20"/>
                <w:color w:val="auto"/>
              </w:rPr>
            </w:pPr>
            <w:r>
              <w:rPr>
                <w:rFonts w:ascii="Arial" w:cs="Arial" w:eastAsia="Arial" w:hAnsi="Arial"/>
                <w:sz w:val="18"/>
                <w:szCs w:val="18"/>
                <w:color w:val="auto"/>
                <w:w w:val="94"/>
              </w:rPr>
              <w:t>(1)%</w:t>
            </w: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778"/>
        </w:trPr>
        <w:tc>
          <w:tcPr>
            <w:tcW w:w="2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3240" w:type="dxa"/>
            <w:vAlign w:val="bottom"/>
          </w:tcPr>
          <w:p>
            <w:pPr>
              <w:spacing w:after="0"/>
              <w:rPr>
                <w:sz w:val="24"/>
                <w:szCs w:val="24"/>
                <w:color w:val="auto"/>
              </w:rPr>
            </w:pPr>
          </w:p>
        </w:tc>
        <w:tc>
          <w:tcPr>
            <w:tcW w:w="1280" w:type="dxa"/>
            <w:vAlign w:val="bottom"/>
            <w:gridSpan w:val="5"/>
          </w:tcPr>
          <w:p>
            <w:pPr>
              <w:jc w:val="center"/>
              <w:ind w:right="140"/>
              <w:spacing w:after="0"/>
              <w:rPr>
                <w:sz w:val="20"/>
                <w:szCs w:val="20"/>
                <w:color w:val="auto"/>
              </w:rPr>
            </w:pPr>
            <w:r>
              <w:rPr>
                <w:rFonts w:ascii="Arial" w:cs="Arial" w:eastAsia="Arial" w:hAnsi="Arial"/>
                <w:sz w:val="14"/>
                <w:szCs w:val="14"/>
                <w:b w:val="1"/>
                <w:bCs w:val="1"/>
                <w:color w:val="auto"/>
                <w:w w:val="89"/>
              </w:rPr>
              <w:t>Three Months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300" w:type="dxa"/>
            <w:vAlign w:val="bottom"/>
          </w:tcPr>
          <w:p>
            <w:pPr>
              <w:spacing w:after="0"/>
              <w:rPr>
                <w:sz w:val="12"/>
                <w:szCs w:val="12"/>
                <w:color w:val="auto"/>
              </w:rPr>
            </w:pPr>
          </w:p>
        </w:tc>
        <w:tc>
          <w:tcPr>
            <w:tcW w:w="3240" w:type="dxa"/>
            <w:vAlign w:val="bottom"/>
          </w:tcPr>
          <w:p>
            <w:pPr>
              <w:spacing w:after="0"/>
              <w:rPr>
                <w:sz w:val="12"/>
                <w:szCs w:val="12"/>
                <w:color w:val="auto"/>
              </w:rPr>
            </w:pPr>
          </w:p>
        </w:tc>
        <w:tc>
          <w:tcPr>
            <w:tcW w:w="760" w:type="dxa"/>
            <w:vAlign w:val="bottom"/>
            <w:gridSpan w:val="3"/>
          </w:tcPr>
          <w:p>
            <w:pPr>
              <w:jc w:val="center"/>
              <w:ind w:left="281"/>
              <w:spacing w:after="0" w:line="149" w:lineRule="exact"/>
              <w:rPr>
                <w:sz w:val="20"/>
                <w:szCs w:val="20"/>
                <w:color w:val="auto"/>
              </w:rPr>
            </w:pPr>
            <w:r>
              <w:rPr>
                <w:rFonts w:ascii="Arial" w:cs="Arial" w:eastAsia="Arial" w:hAnsi="Arial"/>
                <w:sz w:val="14"/>
                <w:szCs w:val="14"/>
                <w:b w:val="1"/>
                <w:bCs w:val="1"/>
                <w:color w:val="auto"/>
                <w:w w:val="84"/>
              </w:rPr>
              <w:t>Ended</w:t>
            </w:r>
          </w:p>
        </w:tc>
        <w:tc>
          <w:tcPr>
            <w:tcW w:w="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320" w:type="dxa"/>
            <w:vAlign w:val="bottom"/>
            <w:gridSpan w:val="2"/>
            <w:vMerge w:val="restart"/>
          </w:tcPr>
          <w:p>
            <w:pPr>
              <w:spacing w:after="0"/>
              <w:rPr>
                <w:sz w:val="20"/>
                <w:szCs w:val="20"/>
                <w:color w:val="auto"/>
              </w:rPr>
            </w:pPr>
            <w:r>
              <w:rPr>
                <w:rFonts w:ascii="Arial" w:cs="Arial" w:eastAsia="Arial" w:hAnsi="Arial"/>
                <w:sz w:val="14"/>
                <w:szCs w:val="14"/>
                <w:b w:val="1"/>
                <w:bCs w:val="1"/>
                <w:color w:val="auto"/>
                <w:w w:val="91"/>
              </w:rPr>
              <w:t>As a Percentage of Segment Revenue</w:t>
            </w:r>
          </w:p>
        </w:tc>
        <w:tc>
          <w:tcPr>
            <w:tcW w:w="3240" w:type="dxa"/>
            <w:vAlign w:val="bottom"/>
          </w:tcPr>
          <w:p>
            <w:pPr>
              <w:spacing w:after="0"/>
              <w:rPr>
                <w:sz w:val="14"/>
                <w:szCs w:val="14"/>
                <w:color w:val="auto"/>
              </w:rPr>
            </w:pPr>
          </w:p>
        </w:tc>
        <w:tc>
          <w:tcPr>
            <w:tcW w:w="1280" w:type="dxa"/>
            <w:vAlign w:val="bottom"/>
            <w:gridSpan w:val="5"/>
          </w:tcPr>
          <w:p>
            <w:pPr>
              <w:jc w:val="center"/>
              <w:ind w:right="140"/>
              <w:spacing w:after="0"/>
              <w:rPr>
                <w:sz w:val="20"/>
                <w:szCs w:val="20"/>
                <w:color w:val="auto"/>
              </w:rPr>
            </w:pPr>
            <w:r>
              <w:rPr>
                <w:rFonts w:ascii="Arial" w:cs="Arial" w:eastAsia="Arial" w:hAnsi="Arial"/>
                <w:sz w:val="14"/>
                <w:szCs w:val="14"/>
                <w:b w:val="1"/>
                <w:bCs w:val="1"/>
                <w:color w:val="auto"/>
                <w:w w:val="85"/>
              </w:rPr>
              <w:t>September 30,</w:t>
            </w:r>
          </w:p>
        </w:tc>
        <w:tc>
          <w:tcPr>
            <w:tcW w:w="0" w:type="dxa"/>
            <w:vAlign w:val="bottom"/>
          </w:tcPr>
          <w:p>
            <w:pPr>
              <w:spacing w:after="0"/>
              <w:rPr>
                <w:sz w:val="1"/>
                <w:szCs w:val="1"/>
                <w:color w:val="auto"/>
              </w:rPr>
            </w:pPr>
          </w:p>
        </w:tc>
      </w:tr>
      <w:tr>
        <w:trPr>
          <w:trHeight w:val="142"/>
        </w:trPr>
        <w:tc>
          <w:tcPr>
            <w:tcW w:w="2320" w:type="dxa"/>
            <w:vAlign w:val="bottom"/>
            <w:gridSpan w:val="2"/>
            <w:vMerge w:val="continue"/>
          </w:tcPr>
          <w:p>
            <w:pPr>
              <w:spacing w:after="0"/>
              <w:rPr>
                <w:sz w:val="12"/>
                <w:szCs w:val="12"/>
                <w:color w:val="auto"/>
              </w:rPr>
            </w:pPr>
          </w:p>
        </w:tc>
        <w:tc>
          <w:tcPr>
            <w:tcW w:w="3240" w:type="dxa"/>
            <w:vAlign w:val="bottom"/>
          </w:tcPr>
          <w:p>
            <w:pPr>
              <w:spacing w:after="0"/>
              <w:rPr>
                <w:sz w:val="12"/>
                <w:szCs w:val="12"/>
                <w:color w:val="auto"/>
              </w:rPr>
            </w:pPr>
          </w:p>
        </w:tc>
        <w:tc>
          <w:tcPr>
            <w:tcW w:w="440" w:type="dxa"/>
            <w:vAlign w:val="bottom"/>
            <w:tcBorders>
              <w:top w:val="single" w:sz="8" w:color="auto"/>
            </w:tcBorders>
          </w:tcPr>
          <w:p>
            <w:pPr>
              <w:jc w:val="right"/>
              <w:ind w:right="1"/>
              <w:spacing w:after="0" w:line="142" w:lineRule="exact"/>
              <w:rPr>
                <w:sz w:val="20"/>
                <w:szCs w:val="20"/>
                <w:color w:val="auto"/>
              </w:rPr>
            </w:pPr>
            <w:r>
              <w:rPr>
                <w:rFonts w:ascii="Arial" w:cs="Arial" w:eastAsia="Arial" w:hAnsi="Arial"/>
                <w:sz w:val="14"/>
                <w:szCs w:val="14"/>
                <w:b w:val="1"/>
                <w:bCs w:val="1"/>
                <w:color w:val="auto"/>
              </w:rPr>
              <w:t>2010</w:t>
            </w:r>
          </w:p>
        </w:tc>
        <w:tc>
          <w:tcPr>
            <w:tcW w:w="24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36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3"/>
              </w:rPr>
              <w:t>2009</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2300" w:type="dxa"/>
            <w:vAlign w:val="bottom"/>
            <w:shd w:val="clear" w:color="auto" w:fill="000000"/>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2300" w:type="dxa"/>
            <w:vAlign w:val="bottom"/>
            <w:shd w:val="clear" w:color="auto" w:fill="CCEEFF"/>
          </w:tcPr>
          <w:p>
            <w:pPr>
              <w:spacing w:after="0"/>
              <w:rPr>
                <w:sz w:val="20"/>
                <w:szCs w:val="20"/>
                <w:color w:val="auto"/>
              </w:rPr>
            </w:pPr>
            <w:r>
              <w:rPr>
                <w:rFonts w:ascii="Arial" w:cs="Arial" w:eastAsia="Arial" w:hAnsi="Arial"/>
                <w:sz w:val="18"/>
                <w:szCs w:val="18"/>
                <w:color w:val="auto"/>
              </w:rPr>
              <w:t>LendingTree Loans</w:t>
            </w:r>
          </w:p>
        </w:tc>
        <w:tc>
          <w:tcPr>
            <w:tcW w:w="324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00" w:type="dxa"/>
            <w:vAlign w:val="bottom"/>
          </w:tcPr>
          <w:p>
            <w:pPr>
              <w:spacing w:after="0"/>
              <w:rPr>
                <w:sz w:val="20"/>
                <w:szCs w:val="20"/>
                <w:color w:val="auto"/>
              </w:rPr>
            </w:pPr>
            <w:r>
              <w:rPr>
                <w:rFonts w:ascii="Arial" w:cs="Arial" w:eastAsia="Arial" w:hAnsi="Arial"/>
                <w:sz w:val="18"/>
                <w:szCs w:val="18"/>
                <w:color w:val="auto"/>
              </w:rPr>
              <w:t>Exchanges</w:t>
            </w:r>
          </w:p>
        </w:tc>
        <w:tc>
          <w:tcPr>
            <w:tcW w:w="324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5%</w:t>
            </w:r>
          </w:p>
        </w:tc>
        <w:tc>
          <w:tcPr>
            <w:tcW w:w="80" w:type="dxa"/>
            <w:vAlign w:val="bottom"/>
          </w:tcPr>
          <w:p>
            <w:pPr>
              <w:spacing w:after="0"/>
              <w:rPr>
                <w:sz w:val="18"/>
                <w:szCs w:val="18"/>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00" w:type="dxa"/>
            <w:vAlign w:val="bottom"/>
            <w:shd w:val="clear" w:color="auto" w:fill="CCEEFF"/>
          </w:tcPr>
          <w:p>
            <w:pPr>
              <w:spacing w:after="0"/>
              <w:rPr>
                <w:sz w:val="20"/>
                <w:szCs w:val="20"/>
                <w:color w:val="auto"/>
              </w:rPr>
            </w:pPr>
            <w:r>
              <w:rPr>
                <w:rFonts w:ascii="Arial" w:cs="Arial" w:eastAsia="Arial" w:hAnsi="Arial"/>
                <w:sz w:val="18"/>
                <w:szCs w:val="18"/>
                <w:color w:val="auto"/>
              </w:rPr>
              <w:t>Real Estate</w:t>
            </w:r>
          </w:p>
        </w:tc>
        <w:tc>
          <w:tcPr>
            <w:tcW w:w="32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w:t>
            </w:r>
          </w:p>
        </w:tc>
        <w:tc>
          <w:tcPr>
            <w:tcW w:w="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540" w:type="dxa"/>
            <w:vAlign w:val="bottom"/>
            <w:gridSpan w:val="2"/>
          </w:tcPr>
          <w:p>
            <w:pPr>
              <w:spacing w:after="0"/>
              <w:rPr>
                <w:sz w:val="20"/>
                <w:szCs w:val="20"/>
                <w:color w:val="auto"/>
              </w:rPr>
            </w:pPr>
            <w:r>
              <w:rPr>
                <w:rFonts w:ascii="Arial" w:cs="Arial" w:eastAsia="Arial" w:hAnsi="Arial"/>
                <w:sz w:val="18"/>
                <w:szCs w:val="18"/>
                <w:color w:val="auto"/>
              </w:rPr>
              <w:t>Unallocated—corporate, as a percentage of total revenue</w:t>
            </w:r>
          </w:p>
        </w:tc>
        <w:tc>
          <w:tcPr>
            <w:tcW w:w="76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bl>
    <w:p>
      <w:pPr>
        <w:spacing w:after="0" w:line="201" w:lineRule="exact"/>
        <w:rPr>
          <w:sz w:val="20"/>
          <w:szCs w:val="20"/>
          <w:color w:val="auto"/>
        </w:rPr>
      </w:pPr>
    </w:p>
    <w:p>
      <w:pPr>
        <w:ind w:right="420" w:firstLine="351"/>
        <w:spacing w:after="0" w:line="370" w:lineRule="auto"/>
        <w:rPr>
          <w:sz w:val="20"/>
          <w:szCs w:val="20"/>
          <w:color w:val="auto"/>
        </w:rPr>
      </w:pPr>
      <w:r>
        <w:rPr>
          <w:rFonts w:ascii="Arial" w:cs="Arial" w:eastAsia="Arial" w:hAnsi="Arial"/>
          <w:sz w:val="15"/>
          <w:szCs w:val="15"/>
          <w:color w:val="auto"/>
        </w:rPr>
        <w:t>Product development expense consists primarily of compensation and other employee related costs (including stock-based compensation) for personnel engaged in product development, which include costs related to the design, development, testing and enhancement of technology that are not capitalized.</w:t>
      </w:r>
    </w:p>
    <w:p>
      <w:pPr>
        <w:spacing w:after="0" w:line="11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Product development expense in 2010 decreased from 2009, due to decreased compensation and other employee related costs.</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For the nine months ended September 30, 2010 compared to the nine months ended September 30, 2009:</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300" w:type="dxa"/>
            <w:vAlign w:val="bottom"/>
          </w:tcPr>
          <w:p>
            <w:pPr>
              <w:spacing w:after="0"/>
              <w:rPr>
                <w:sz w:val="14"/>
                <w:szCs w:val="14"/>
                <w:color w:val="auto"/>
              </w:rPr>
            </w:pPr>
          </w:p>
        </w:tc>
        <w:tc>
          <w:tcPr>
            <w:tcW w:w="28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2120" w:type="dxa"/>
            <w:vAlign w:val="bottom"/>
            <w:tcBorders>
              <w:bottom w:val="single" w:sz="8" w:color="auto"/>
            </w:tcBorders>
            <w:gridSpan w:val="6"/>
          </w:tcPr>
          <w:p>
            <w:pPr>
              <w:jc w:val="right"/>
              <w:ind w:right="60"/>
              <w:spacing w:after="0"/>
              <w:rPr>
                <w:sz w:val="20"/>
                <w:szCs w:val="20"/>
                <w:color w:val="auto"/>
              </w:rPr>
            </w:pPr>
            <w:r>
              <w:rPr>
                <w:rFonts w:ascii="Arial" w:cs="Arial" w:eastAsia="Arial" w:hAnsi="Arial"/>
                <w:sz w:val="14"/>
                <w:szCs w:val="14"/>
                <w:b w:val="1"/>
                <w:bCs w:val="1"/>
                <w:color w:val="auto"/>
                <w:w w:val="88"/>
              </w:rPr>
              <w:t>Nine Months Ended September 30,</w:t>
            </w:r>
          </w:p>
        </w:tc>
        <w:tc>
          <w:tcPr>
            <w:tcW w:w="12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300" w:type="dxa"/>
            <w:vAlign w:val="bottom"/>
          </w:tcPr>
          <w:p>
            <w:pPr>
              <w:spacing w:after="0"/>
              <w:rPr>
                <w:sz w:val="12"/>
                <w:szCs w:val="12"/>
                <w:color w:val="auto"/>
              </w:rPr>
            </w:pPr>
          </w:p>
        </w:tc>
        <w:tc>
          <w:tcPr>
            <w:tcW w:w="28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40" w:type="dxa"/>
            <w:vAlign w:val="bottom"/>
          </w:tcPr>
          <w:p>
            <w:pPr>
              <w:jc w:val="right"/>
              <w:ind w:right="75"/>
              <w:spacing w:after="0" w:line="142" w:lineRule="exact"/>
              <w:rPr>
                <w:sz w:val="20"/>
                <w:szCs w:val="20"/>
                <w:color w:val="auto"/>
              </w:rPr>
            </w:pPr>
            <w:r>
              <w:rPr>
                <w:rFonts w:ascii="Arial" w:cs="Arial" w:eastAsia="Arial" w:hAnsi="Arial"/>
                <w:sz w:val="14"/>
                <w:szCs w:val="14"/>
                <w:b w:val="1"/>
                <w:bCs w:val="1"/>
                <w:color w:val="auto"/>
                <w:w w:val="83"/>
              </w:rPr>
              <w:t>2010</w:t>
            </w:r>
          </w:p>
        </w:tc>
        <w:tc>
          <w:tcPr>
            <w:tcW w:w="160" w:type="dxa"/>
            <w:vAlign w:val="bottom"/>
          </w:tcPr>
          <w:p>
            <w:pPr>
              <w:spacing w:after="0"/>
              <w:rPr>
                <w:sz w:val="12"/>
                <w:szCs w:val="12"/>
                <w:color w:val="auto"/>
              </w:rPr>
            </w:pPr>
          </w:p>
        </w:tc>
        <w:tc>
          <w:tcPr>
            <w:tcW w:w="18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w:t>
            </w:r>
          </w:p>
        </w:tc>
        <w:tc>
          <w:tcPr>
            <w:tcW w:w="700" w:type="dxa"/>
            <w:vAlign w:val="bottom"/>
            <w:gridSpan w:val="2"/>
          </w:tcPr>
          <w:p>
            <w:pPr>
              <w:jc w:val="right"/>
              <w:ind w:right="172"/>
              <w:spacing w:after="0" w:line="142" w:lineRule="exact"/>
              <w:rPr>
                <w:sz w:val="20"/>
                <w:szCs w:val="20"/>
                <w:color w:val="auto"/>
              </w:rPr>
            </w:pPr>
            <w:r>
              <w:rPr>
                <w:rFonts w:ascii="Arial" w:cs="Arial" w:eastAsia="Arial" w:hAnsi="Arial"/>
                <w:sz w:val="14"/>
                <w:szCs w:val="14"/>
                <w:b w:val="1"/>
                <w:bCs w:val="1"/>
                <w:color w:val="auto"/>
                <w:w w:val="85"/>
              </w:rPr>
              <w:t>Change</w:t>
            </w:r>
          </w:p>
        </w:tc>
        <w:tc>
          <w:tcPr>
            <w:tcW w:w="1080" w:type="dxa"/>
            <w:vAlign w:val="bottom"/>
            <w:gridSpan w:val="2"/>
          </w:tcPr>
          <w:p>
            <w:pPr>
              <w:jc w:val="right"/>
              <w:ind w:right="380"/>
              <w:spacing w:after="0" w:line="142" w:lineRule="exact"/>
              <w:rPr>
                <w:sz w:val="20"/>
                <w:szCs w:val="20"/>
                <w:color w:val="auto"/>
              </w:rPr>
            </w:pPr>
            <w:r>
              <w:rPr>
                <w:rFonts w:ascii="Arial" w:cs="Arial" w:eastAsia="Arial" w:hAnsi="Arial"/>
                <w:sz w:val="14"/>
                <w:szCs w:val="14"/>
                <w:b w:val="1"/>
                <w:bCs w:val="1"/>
                <w:color w:val="auto"/>
              </w:rPr>
              <w:t>% Change</w:t>
            </w:r>
          </w:p>
        </w:tc>
        <w:tc>
          <w:tcPr>
            <w:tcW w:w="120" w:type="dxa"/>
            <w:vAlign w:val="bottom"/>
          </w:tcPr>
          <w:p>
            <w:pPr>
              <w:spacing w:after="0"/>
              <w:rPr>
                <w:sz w:val="12"/>
                <w:szCs w:val="12"/>
                <w:color w:val="auto"/>
              </w:rPr>
            </w:pPr>
          </w:p>
        </w:tc>
        <w:tc>
          <w:tcPr>
            <w:tcW w:w="500" w:type="dxa"/>
            <w:vAlign w:val="bottom"/>
          </w:tcPr>
          <w:p>
            <w:pPr>
              <w:jc w:val="right"/>
              <w:ind w:right="95"/>
              <w:spacing w:after="0" w:line="142" w:lineRule="exact"/>
              <w:rPr>
                <w:sz w:val="20"/>
                <w:szCs w:val="20"/>
                <w:color w:val="auto"/>
              </w:rPr>
            </w:pPr>
            <w:r>
              <w:rPr>
                <w:rFonts w:ascii="Arial" w:cs="Arial" w:eastAsia="Arial" w:hAnsi="Arial"/>
                <w:sz w:val="14"/>
                <w:szCs w:val="14"/>
                <w:b w:val="1"/>
                <w:bCs w:val="1"/>
                <w:color w:val="auto"/>
                <w:w w:val="96"/>
              </w:rPr>
              <w:t>2009</w:t>
            </w:r>
          </w:p>
        </w:tc>
        <w:tc>
          <w:tcPr>
            <w:tcW w:w="16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300" w:type="dxa"/>
            <w:vAlign w:val="bottom"/>
          </w:tcPr>
          <w:p>
            <w:pPr>
              <w:spacing w:after="0"/>
              <w:rPr>
                <w:sz w:val="12"/>
                <w:szCs w:val="12"/>
                <w:color w:val="auto"/>
              </w:rPr>
            </w:pPr>
          </w:p>
        </w:tc>
        <w:tc>
          <w:tcPr>
            <w:tcW w:w="28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44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9"/>
              </w:rPr>
              <w:t>(Dollars</w:t>
            </w:r>
          </w:p>
        </w:tc>
        <w:tc>
          <w:tcPr>
            <w:tcW w:w="16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in</w:t>
            </w:r>
          </w:p>
        </w:tc>
        <w:tc>
          <w:tcPr>
            <w:tcW w:w="760" w:type="dxa"/>
            <w:vAlign w:val="bottom"/>
            <w:tcBorders>
              <w:top w:val="single" w:sz="8" w:color="auto"/>
            </w:tcBorders>
          </w:tcPr>
          <w:p>
            <w:pPr>
              <w:jc w:val="right"/>
              <w:ind w:right="17"/>
              <w:spacing w:after="0" w:line="142" w:lineRule="exact"/>
              <w:rPr>
                <w:sz w:val="20"/>
                <w:szCs w:val="20"/>
                <w:color w:val="auto"/>
              </w:rPr>
            </w:pPr>
            <w:r>
              <w:rPr>
                <w:rFonts w:ascii="Arial" w:cs="Arial" w:eastAsia="Arial" w:hAnsi="Arial"/>
                <w:sz w:val="14"/>
                <w:szCs w:val="14"/>
                <w:b w:val="1"/>
                <w:bCs w:val="1"/>
                <w:color w:val="auto"/>
                <w:w w:val="84"/>
              </w:rPr>
              <w:t>thousands)</w:t>
            </w:r>
          </w:p>
        </w:tc>
        <w:tc>
          <w:tcPr>
            <w:tcW w:w="32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300" w:type="dxa"/>
            <w:vAlign w:val="bottom"/>
          </w:tcPr>
          <w:p>
            <w:pPr>
              <w:spacing w:after="0"/>
              <w:rPr>
                <w:sz w:val="18"/>
                <w:szCs w:val="18"/>
                <w:color w:val="auto"/>
              </w:rPr>
            </w:pPr>
          </w:p>
        </w:tc>
        <w:tc>
          <w:tcPr>
            <w:tcW w:w="2800" w:type="dxa"/>
            <w:vAlign w:val="bottom"/>
            <w:shd w:val="clear" w:color="auto" w:fill="CCEEFF"/>
          </w:tcPr>
          <w:p>
            <w:pPr>
              <w:spacing w:after="0"/>
              <w:rPr>
                <w:sz w:val="20"/>
                <w:szCs w:val="20"/>
                <w:color w:val="auto"/>
              </w:rPr>
            </w:pPr>
            <w:r>
              <w:rPr>
                <w:rFonts w:ascii="Arial" w:cs="Arial" w:eastAsia="Arial" w:hAnsi="Arial"/>
                <w:sz w:val="18"/>
                <w:szCs w:val="18"/>
                <w:color w:val="auto"/>
              </w:rPr>
              <w:t>LendingTree Loans</w:t>
            </w:r>
          </w:p>
        </w:tc>
        <w:tc>
          <w:tcPr>
            <w:tcW w:w="70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ind w:right="32"/>
              <w:spacing w:after="0"/>
              <w:rPr>
                <w:sz w:val="20"/>
                <w:szCs w:val="20"/>
                <w:color w:val="auto"/>
              </w:rPr>
            </w:pPr>
            <w:r>
              <w:rPr>
                <w:rFonts w:ascii="Arial" w:cs="Arial" w:eastAsia="Arial" w:hAnsi="Arial"/>
                <w:sz w:val="18"/>
                <w:szCs w:val="18"/>
                <w:color w:val="auto"/>
              </w:rPr>
              <w:t>(278)</w:t>
            </w: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(68)%</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412</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00" w:type="dxa"/>
            <w:vAlign w:val="bottom"/>
          </w:tcPr>
          <w:p>
            <w:pPr>
              <w:spacing w:after="0"/>
              <w:rPr>
                <w:sz w:val="18"/>
                <w:szCs w:val="18"/>
                <w:color w:val="auto"/>
              </w:rPr>
            </w:pPr>
          </w:p>
        </w:tc>
        <w:tc>
          <w:tcPr>
            <w:tcW w:w="2800" w:type="dxa"/>
            <w:vAlign w:val="bottom"/>
          </w:tcPr>
          <w:p>
            <w:pPr>
              <w:spacing w:after="0"/>
              <w:rPr>
                <w:sz w:val="20"/>
                <w:szCs w:val="20"/>
                <w:color w:val="auto"/>
              </w:rPr>
            </w:pPr>
            <w:r>
              <w:rPr>
                <w:rFonts w:ascii="Arial" w:cs="Arial" w:eastAsia="Arial" w:hAnsi="Arial"/>
                <w:sz w:val="18"/>
                <w:szCs w:val="18"/>
                <w:color w:val="auto"/>
              </w:rPr>
              <w:t>Exchanges</w:t>
            </w:r>
          </w:p>
        </w:tc>
        <w:tc>
          <w:tcPr>
            <w:tcW w:w="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w w:val="93"/>
              </w:rPr>
              <w:t>2,360</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159</w:t>
            </w:r>
          </w:p>
        </w:tc>
        <w:tc>
          <w:tcPr>
            <w:tcW w:w="160" w:type="dxa"/>
            <w:vAlign w:val="bottom"/>
          </w:tcPr>
          <w:p>
            <w:pPr>
              <w:spacing w:after="0"/>
              <w:rPr>
                <w:sz w:val="18"/>
                <w:szCs w:val="18"/>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18"/>
                <w:szCs w:val="18"/>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8"/>
                <w:szCs w:val="18"/>
                <w:color w:val="auto"/>
              </w:rPr>
              <w:t>2,201</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00" w:type="dxa"/>
            <w:vAlign w:val="bottom"/>
          </w:tcPr>
          <w:p>
            <w:pPr>
              <w:spacing w:after="0"/>
              <w:rPr>
                <w:sz w:val="18"/>
                <w:szCs w:val="18"/>
                <w:color w:val="auto"/>
              </w:rPr>
            </w:pPr>
          </w:p>
        </w:tc>
        <w:tc>
          <w:tcPr>
            <w:tcW w:w="2800" w:type="dxa"/>
            <w:vAlign w:val="bottom"/>
            <w:shd w:val="clear" w:color="auto" w:fill="CCEEFF"/>
          </w:tcPr>
          <w:p>
            <w:pPr>
              <w:spacing w:after="0"/>
              <w:rPr>
                <w:sz w:val="20"/>
                <w:szCs w:val="20"/>
                <w:color w:val="auto"/>
              </w:rPr>
            </w:pPr>
            <w:r>
              <w:rPr>
                <w:rFonts w:ascii="Arial" w:cs="Arial" w:eastAsia="Arial" w:hAnsi="Arial"/>
                <w:sz w:val="18"/>
                <w:szCs w:val="18"/>
                <w:color w:val="auto"/>
              </w:rPr>
              <w:t>Real Estate</w:t>
            </w:r>
          </w:p>
        </w:tc>
        <w:tc>
          <w:tcPr>
            <w:tcW w:w="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276</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32"/>
              <w:spacing w:after="0"/>
              <w:rPr>
                <w:sz w:val="20"/>
                <w:szCs w:val="20"/>
                <w:color w:val="auto"/>
              </w:rPr>
            </w:pPr>
            <w:r>
              <w:rPr>
                <w:rFonts w:ascii="Arial" w:cs="Arial" w:eastAsia="Arial" w:hAnsi="Arial"/>
                <w:sz w:val="18"/>
                <w:szCs w:val="18"/>
                <w:color w:val="auto"/>
              </w:rPr>
              <w:t>(968)</w:t>
            </w: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(78)%</w:t>
            </w:r>
          </w:p>
        </w:tc>
        <w:tc>
          <w:tcPr>
            <w:tcW w:w="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1,244</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300" w:type="dxa"/>
            <w:vAlign w:val="bottom"/>
          </w:tcPr>
          <w:p>
            <w:pPr>
              <w:spacing w:after="0"/>
              <w:rPr>
                <w:sz w:val="19"/>
                <w:szCs w:val="19"/>
                <w:color w:val="auto"/>
              </w:rPr>
            </w:pPr>
          </w:p>
        </w:tc>
        <w:tc>
          <w:tcPr>
            <w:tcW w:w="2800" w:type="dxa"/>
            <w:vAlign w:val="bottom"/>
          </w:tcPr>
          <w:p>
            <w:pPr>
              <w:spacing w:after="0"/>
              <w:rPr>
                <w:sz w:val="20"/>
                <w:szCs w:val="20"/>
                <w:color w:val="auto"/>
              </w:rPr>
            </w:pPr>
            <w:r>
              <w:rPr>
                <w:rFonts w:ascii="Arial" w:cs="Arial" w:eastAsia="Arial" w:hAnsi="Arial"/>
                <w:sz w:val="18"/>
                <w:szCs w:val="18"/>
                <w:color w:val="auto"/>
              </w:rPr>
              <w:t>Unallocated—corporate</w:t>
            </w:r>
          </w:p>
        </w:tc>
        <w:tc>
          <w:tcPr>
            <w:tcW w:w="5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194</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gridSpan w:val="2"/>
          </w:tcPr>
          <w:p>
            <w:pPr>
              <w:jc w:val="right"/>
              <w:ind w:right="32"/>
              <w:spacing w:after="0"/>
              <w:rPr>
                <w:sz w:val="20"/>
                <w:szCs w:val="20"/>
                <w:color w:val="auto"/>
              </w:rPr>
            </w:pPr>
            <w:r>
              <w:rPr>
                <w:rFonts w:ascii="Arial" w:cs="Arial" w:eastAsia="Arial" w:hAnsi="Arial"/>
                <w:sz w:val="18"/>
                <w:szCs w:val="18"/>
                <w:color w:val="auto"/>
              </w:rPr>
              <w:t>(791)</w:t>
            </w: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(80)%</w:t>
            </w:r>
          </w:p>
        </w:tc>
        <w:tc>
          <w:tcPr>
            <w:tcW w:w="120" w:type="dxa"/>
            <w:vAlign w:val="bottom"/>
          </w:tcPr>
          <w:p>
            <w:pPr>
              <w:spacing w:after="0"/>
              <w:rPr>
                <w:sz w:val="19"/>
                <w:szCs w:val="19"/>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8"/>
                <w:szCs w:val="18"/>
                <w:color w:val="auto"/>
              </w:rPr>
              <w:t>985</w:t>
            </w:r>
          </w:p>
        </w:tc>
        <w:tc>
          <w:tcPr>
            <w:tcW w:w="2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30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300" w:type="dxa"/>
            <w:vAlign w:val="bottom"/>
          </w:tcPr>
          <w:p>
            <w:pPr>
              <w:spacing w:after="0"/>
              <w:rPr>
                <w:sz w:val="18"/>
                <w:szCs w:val="18"/>
                <w:color w:val="auto"/>
              </w:rPr>
            </w:pPr>
          </w:p>
        </w:tc>
        <w:tc>
          <w:tcPr>
            <w:tcW w:w="2800" w:type="dxa"/>
            <w:vAlign w:val="bottom"/>
            <w:shd w:val="clear" w:color="auto" w:fill="CCEEFF"/>
          </w:tcPr>
          <w:p>
            <w:pPr>
              <w:spacing w:after="0"/>
              <w:rPr>
                <w:sz w:val="20"/>
                <w:szCs w:val="20"/>
                <w:color w:val="auto"/>
              </w:rPr>
            </w:pPr>
            <w:r>
              <w:rPr>
                <w:rFonts w:ascii="Arial" w:cs="Arial" w:eastAsia="Arial" w:hAnsi="Arial"/>
                <w:sz w:val="18"/>
                <w:szCs w:val="18"/>
                <w:color w:val="auto"/>
              </w:rPr>
              <w:t>Product development</w:t>
            </w:r>
          </w:p>
        </w:tc>
        <w:tc>
          <w:tcPr>
            <w:tcW w:w="70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2,964</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ind w:right="32"/>
              <w:spacing w:after="0"/>
              <w:rPr>
                <w:sz w:val="20"/>
                <w:szCs w:val="20"/>
                <w:color w:val="auto"/>
              </w:rPr>
            </w:pPr>
            <w:r>
              <w:rPr>
                <w:rFonts w:ascii="Arial" w:cs="Arial" w:eastAsia="Arial" w:hAnsi="Arial"/>
                <w:sz w:val="18"/>
                <w:szCs w:val="18"/>
                <w:color w:val="auto"/>
              </w:rPr>
              <w:t>(1,878)</w:t>
            </w: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(39)%</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4,842</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5100" w:type="dxa"/>
            <w:vAlign w:val="bottom"/>
            <w:gridSpan w:val="2"/>
            <w:vMerge w:val="restart"/>
          </w:tcPr>
          <w:p>
            <w:pPr>
              <w:ind w:left="2300"/>
              <w:spacing w:after="0"/>
              <w:rPr>
                <w:sz w:val="20"/>
                <w:szCs w:val="20"/>
                <w:color w:val="auto"/>
              </w:rPr>
            </w:pPr>
            <w:r>
              <w:rPr>
                <w:rFonts w:ascii="Arial" w:cs="Arial" w:eastAsia="Arial" w:hAnsi="Arial"/>
                <w:sz w:val="18"/>
                <w:szCs w:val="18"/>
                <w:color w:val="auto"/>
              </w:rPr>
              <w:t>As a percentage of total revenue</w:t>
            </w:r>
          </w:p>
        </w:tc>
        <w:tc>
          <w:tcPr>
            <w:tcW w:w="5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gridSpan w:val="2"/>
            <w:vMerge w:val="restart"/>
          </w:tcPr>
          <w:p>
            <w:pPr>
              <w:jc w:val="right"/>
              <w:ind w:right="120"/>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22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100" w:type="dxa"/>
            <w:vAlign w:val="bottom"/>
            <w:gridSpan w:val="2"/>
            <w:vMerge w:val="continue"/>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80" w:type="dxa"/>
            <w:vAlign w:val="bottom"/>
            <w:gridSpan w:val="2"/>
            <w:vMerge w:val="continue"/>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100" w:type="dxa"/>
            <w:vAlign w:val="bottom"/>
            <w:gridSpan w:val="2"/>
            <w:vMerge w:val="continue"/>
          </w:tcPr>
          <w:p>
            <w:pPr>
              <w:spacing w:after="0"/>
              <w:rPr>
                <w:sz w:val="17"/>
                <w:szCs w:val="17"/>
                <w:color w:val="auto"/>
              </w:rPr>
            </w:pPr>
          </w:p>
        </w:tc>
        <w:tc>
          <w:tcPr>
            <w:tcW w:w="5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0" w:type="dxa"/>
            <w:vAlign w:val="bottom"/>
            <w:gridSpan w:val="2"/>
          </w:tcPr>
          <w:p>
            <w:pPr>
              <w:jc w:val="right"/>
              <w:spacing w:after="0" w:line="203" w:lineRule="exact"/>
              <w:rPr>
                <w:sz w:val="20"/>
                <w:szCs w:val="20"/>
                <w:color w:val="auto"/>
              </w:rPr>
            </w:pPr>
            <w:r>
              <w:rPr>
                <w:rFonts w:ascii="Arial" w:cs="Arial" w:eastAsia="Arial" w:hAnsi="Arial"/>
                <w:sz w:val="18"/>
                <w:szCs w:val="18"/>
                <w:color w:val="auto"/>
              </w:rPr>
              <w:t>2%</w:t>
            </w:r>
          </w:p>
        </w:tc>
        <w:tc>
          <w:tcPr>
            <w:tcW w:w="1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gridSpan w:val="2"/>
          </w:tcPr>
          <w:p>
            <w:pPr>
              <w:jc w:val="right"/>
              <w:ind w:right="20"/>
              <w:spacing w:after="0" w:line="203" w:lineRule="exact"/>
              <w:rPr>
                <w:sz w:val="20"/>
                <w:szCs w:val="20"/>
                <w:color w:val="auto"/>
              </w:rPr>
            </w:pPr>
            <w:r>
              <w:rPr>
                <w:rFonts w:ascii="Arial" w:cs="Arial" w:eastAsia="Arial" w:hAnsi="Arial"/>
                <w:sz w:val="18"/>
                <w:szCs w:val="18"/>
                <w:color w:val="auto"/>
              </w:rPr>
              <w:t>3%</w:t>
            </w:r>
          </w:p>
        </w:tc>
        <w:tc>
          <w:tcPr>
            <w:tcW w:w="2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24"/>
        </w:trPr>
        <w:tc>
          <w:tcPr>
            <w:tcW w:w="230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700" w:type="dxa"/>
            <w:vAlign w:val="bottom"/>
            <w:gridSpan w:val="2"/>
          </w:tcPr>
          <w:p>
            <w:pPr>
              <w:ind w:left="520"/>
              <w:spacing w:after="0"/>
              <w:rPr>
                <w:sz w:val="20"/>
                <w:szCs w:val="20"/>
                <w:color w:val="auto"/>
              </w:rPr>
            </w:pPr>
            <w:r>
              <w:rPr>
                <w:rFonts w:ascii="Arial" w:cs="Arial" w:eastAsia="Arial" w:hAnsi="Arial"/>
                <w:sz w:val="18"/>
                <w:szCs w:val="18"/>
                <w:color w:val="auto"/>
                <w:w w:val="79"/>
              </w:rPr>
              <w:t>46</w:t>
            </w:r>
          </w:p>
        </w:tc>
        <w:tc>
          <w:tcPr>
            <w:tcW w:w="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2300" w:type="dxa"/>
            <w:vAlign w:val="bottom"/>
            <w:tcBorders>
              <w:bottom w:val="single" w:sz="8" w:color="808080"/>
            </w:tcBorders>
          </w:tcPr>
          <w:p>
            <w:pPr>
              <w:spacing w:after="0"/>
              <w:rPr>
                <w:sz w:val="19"/>
                <w:szCs w:val="19"/>
                <w:color w:val="auto"/>
              </w:rPr>
            </w:pPr>
          </w:p>
        </w:tc>
        <w:tc>
          <w:tcPr>
            <w:tcW w:w="2800" w:type="dxa"/>
            <w:vAlign w:val="bottom"/>
            <w:tcBorders>
              <w:bottom w:val="single" w:sz="8" w:color="808080"/>
            </w:tcBorders>
          </w:tcPr>
          <w:p>
            <w:pPr>
              <w:spacing w:after="0"/>
              <w:rPr>
                <w:sz w:val="19"/>
                <w:szCs w:val="19"/>
                <w:color w:val="auto"/>
              </w:rPr>
            </w:pPr>
          </w:p>
        </w:tc>
        <w:tc>
          <w:tcPr>
            <w:tcW w:w="52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44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54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760" w:type="dxa"/>
            <w:vAlign w:val="bottom"/>
            <w:tcBorders>
              <w:bottom w:val="single" w:sz="8" w:color="808080"/>
            </w:tcBorders>
          </w:tcPr>
          <w:p>
            <w:pPr>
              <w:spacing w:after="0"/>
              <w:rPr>
                <w:sz w:val="19"/>
                <w:szCs w:val="19"/>
                <w:color w:val="auto"/>
              </w:rPr>
            </w:pPr>
          </w:p>
        </w:tc>
        <w:tc>
          <w:tcPr>
            <w:tcW w:w="32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50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228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47" w:name="page48"/>
    <w:bookmarkEnd w:id="4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tbl>
      <w:tblPr>
        <w:tblLayout w:type="fixed"/>
        <w:tblInd w:w="23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3240" w:type="dxa"/>
            <w:vAlign w:val="bottom"/>
          </w:tcPr>
          <w:p>
            <w:pPr>
              <w:spacing w:after="0"/>
              <w:rPr>
                <w:sz w:val="14"/>
                <w:szCs w:val="14"/>
                <w:color w:val="auto"/>
              </w:rPr>
            </w:pPr>
          </w:p>
        </w:tc>
        <w:tc>
          <w:tcPr>
            <w:tcW w:w="1280" w:type="dxa"/>
            <w:vAlign w:val="bottom"/>
            <w:gridSpan w:val="5"/>
          </w:tcPr>
          <w:p>
            <w:pPr>
              <w:jc w:val="center"/>
              <w:ind w:right="160"/>
              <w:spacing w:after="0"/>
              <w:rPr>
                <w:sz w:val="20"/>
                <w:szCs w:val="20"/>
                <w:color w:val="auto"/>
              </w:rPr>
            </w:pPr>
            <w:r>
              <w:rPr>
                <w:rFonts w:ascii="Arial" w:cs="Arial" w:eastAsia="Arial" w:hAnsi="Arial"/>
                <w:sz w:val="14"/>
                <w:szCs w:val="14"/>
                <w:b w:val="1"/>
                <w:bCs w:val="1"/>
                <w:color w:val="auto"/>
                <w:w w:val="90"/>
              </w:rPr>
              <w:t>Nine Months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300" w:type="dxa"/>
            <w:vAlign w:val="bottom"/>
          </w:tcPr>
          <w:p>
            <w:pPr>
              <w:spacing w:after="0"/>
              <w:rPr>
                <w:sz w:val="12"/>
                <w:szCs w:val="12"/>
                <w:color w:val="auto"/>
              </w:rPr>
            </w:pPr>
          </w:p>
        </w:tc>
        <w:tc>
          <w:tcPr>
            <w:tcW w:w="3240" w:type="dxa"/>
            <w:vAlign w:val="bottom"/>
          </w:tcPr>
          <w:p>
            <w:pPr>
              <w:spacing w:after="0"/>
              <w:rPr>
                <w:sz w:val="12"/>
                <w:szCs w:val="12"/>
                <w:color w:val="auto"/>
              </w:rPr>
            </w:pPr>
          </w:p>
        </w:tc>
        <w:tc>
          <w:tcPr>
            <w:tcW w:w="760" w:type="dxa"/>
            <w:vAlign w:val="bottom"/>
            <w:gridSpan w:val="3"/>
          </w:tcPr>
          <w:p>
            <w:pPr>
              <w:jc w:val="center"/>
              <w:ind w:left="282"/>
              <w:spacing w:after="0" w:line="149" w:lineRule="exact"/>
              <w:rPr>
                <w:sz w:val="20"/>
                <w:szCs w:val="20"/>
                <w:color w:val="auto"/>
              </w:rPr>
            </w:pPr>
            <w:r>
              <w:rPr>
                <w:rFonts w:ascii="Arial" w:cs="Arial" w:eastAsia="Arial" w:hAnsi="Arial"/>
                <w:sz w:val="14"/>
                <w:szCs w:val="14"/>
                <w:b w:val="1"/>
                <w:bCs w:val="1"/>
                <w:color w:val="auto"/>
                <w:w w:val="84"/>
              </w:rPr>
              <w:t>Ended</w:t>
            </w:r>
          </w:p>
        </w:tc>
        <w:tc>
          <w:tcPr>
            <w:tcW w:w="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55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As a Percentage of Segment Revenue</w:t>
            </w:r>
          </w:p>
        </w:tc>
        <w:tc>
          <w:tcPr>
            <w:tcW w:w="1280" w:type="dxa"/>
            <w:vAlign w:val="bottom"/>
            <w:gridSpan w:val="5"/>
          </w:tcPr>
          <w:p>
            <w:pPr>
              <w:jc w:val="center"/>
              <w:ind w:right="140"/>
              <w:spacing w:after="0"/>
              <w:rPr>
                <w:sz w:val="20"/>
                <w:szCs w:val="20"/>
                <w:color w:val="auto"/>
              </w:rPr>
            </w:pPr>
            <w:r>
              <w:rPr>
                <w:rFonts w:ascii="Arial" w:cs="Arial" w:eastAsia="Arial" w:hAnsi="Arial"/>
                <w:sz w:val="14"/>
                <w:szCs w:val="14"/>
                <w:b w:val="1"/>
                <w:bCs w:val="1"/>
                <w:color w:val="auto"/>
                <w:w w:val="85"/>
              </w:rPr>
              <w:t>September 30,</w:t>
            </w:r>
          </w:p>
        </w:tc>
        <w:tc>
          <w:tcPr>
            <w:tcW w:w="0" w:type="dxa"/>
            <w:vAlign w:val="bottom"/>
          </w:tcPr>
          <w:p>
            <w:pPr>
              <w:spacing w:after="0"/>
              <w:rPr>
                <w:sz w:val="1"/>
                <w:szCs w:val="1"/>
                <w:color w:val="auto"/>
              </w:rPr>
            </w:pPr>
          </w:p>
        </w:tc>
      </w:tr>
      <w:tr>
        <w:trPr>
          <w:trHeight w:val="142"/>
        </w:trPr>
        <w:tc>
          <w:tcPr>
            <w:tcW w:w="5560" w:type="dxa"/>
            <w:vAlign w:val="bottom"/>
            <w:gridSpan w:val="3"/>
            <w:vMerge w:val="continue"/>
          </w:tcPr>
          <w:p>
            <w:pPr>
              <w:spacing w:after="0"/>
              <w:rPr>
                <w:sz w:val="12"/>
                <w:szCs w:val="12"/>
                <w:color w:val="auto"/>
              </w:rPr>
            </w:pPr>
          </w:p>
        </w:tc>
        <w:tc>
          <w:tcPr>
            <w:tcW w:w="440" w:type="dxa"/>
            <w:vAlign w:val="bottom"/>
            <w:tcBorders>
              <w:top w:val="single" w:sz="8" w:color="auto"/>
            </w:tcBorders>
          </w:tcPr>
          <w:p>
            <w:pPr>
              <w:jc w:val="right"/>
              <w:ind w:right="2"/>
              <w:spacing w:after="0" w:line="142" w:lineRule="exact"/>
              <w:rPr>
                <w:sz w:val="20"/>
                <w:szCs w:val="20"/>
                <w:color w:val="auto"/>
              </w:rPr>
            </w:pPr>
            <w:r>
              <w:rPr>
                <w:rFonts w:ascii="Arial" w:cs="Arial" w:eastAsia="Arial" w:hAnsi="Arial"/>
                <w:sz w:val="14"/>
                <w:szCs w:val="14"/>
                <w:b w:val="1"/>
                <w:bCs w:val="1"/>
                <w:color w:val="auto"/>
              </w:rPr>
              <w:t>2010</w:t>
            </w:r>
          </w:p>
        </w:tc>
        <w:tc>
          <w:tcPr>
            <w:tcW w:w="24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36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3"/>
              </w:rPr>
              <w:t>2009</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2300" w:type="dxa"/>
            <w:vAlign w:val="bottom"/>
            <w:shd w:val="clear" w:color="auto" w:fill="000000"/>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2300" w:type="dxa"/>
            <w:vAlign w:val="bottom"/>
            <w:shd w:val="clear" w:color="auto" w:fill="CCEEFF"/>
          </w:tcPr>
          <w:p>
            <w:pPr>
              <w:spacing w:after="0"/>
              <w:rPr>
                <w:sz w:val="20"/>
                <w:szCs w:val="20"/>
                <w:color w:val="auto"/>
              </w:rPr>
            </w:pPr>
            <w:r>
              <w:rPr>
                <w:rFonts w:ascii="Arial" w:cs="Arial" w:eastAsia="Arial" w:hAnsi="Arial"/>
                <w:sz w:val="18"/>
                <w:szCs w:val="18"/>
                <w:color w:val="auto"/>
              </w:rPr>
              <w:t>LendingTree Loans</w:t>
            </w:r>
          </w:p>
        </w:tc>
        <w:tc>
          <w:tcPr>
            <w:tcW w:w="324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gridSpan w:val="2"/>
          </w:tcPr>
          <w:p>
            <w:pPr>
              <w:spacing w:after="0"/>
              <w:rPr>
                <w:sz w:val="20"/>
                <w:szCs w:val="20"/>
                <w:color w:val="auto"/>
              </w:rPr>
            </w:pPr>
            <w:r>
              <w:rPr>
                <w:rFonts w:ascii="Arial" w:cs="Arial" w:eastAsia="Arial" w:hAnsi="Arial"/>
                <w:sz w:val="18"/>
                <w:szCs w:val="18"/>
                <w:color w:val="auto"/>
              </w:rPr>
              <w:t>Exchanges</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5%</w:t>
            </w:r>
          </w:p>
        </w:tc>
        <w:tc>
          <w:tcPr>
            <w:tcW w:w="80" w:type="dxa"/>
            <w:vAlign w:val="bottom"/>
          </w:tcPr>
          <w:p>
            <w:pPr>
              <w:spacing w:after="0"/>
              <w:rPr>
                <w:sz w:val="18"/>
                <w:szCs w:val="18"/>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Real Estate</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w:t>
            </w:r>
          </w:p>
        </w:tc>
        <w:tc>
          <w:tcPr>
            <w:tcW w:w="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540" w:type="dxa"/>
            <w:vAlign w:val="bottom"/>
            <w:gridSpan w:val="2"/>
          </w:tcPr>
          <w:p>
            <w:pPr>
              <w:spacing w:after="0"/>
              <w:rPr>
                <w:sz w:val="20"/>
                <w:szCs w:val="20"/>
                <w:color w:val="auto"/>
              </w:rPr>
            </w:pPr>
            <w:r>
              <w:rPr>
                <w:rFonts w:ascii="Arial" w:cs="Arial" w:eastAsia="Arial" w:hAnsi="Arial"/>
                <w:sz w:val="18"/>
                <w:szCs w:val="18"/>
                <w:color w:val="auto"/>
              </w:rPr>
              <w:t>Unallocated—corporate, as a percentage of total revenue</w:t>
            </w:r>
          </w:p>
        </w:tc>
        <w:tc>
          <w:tcPr>
            <w:tcW w:w="76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Product development expense in 2010 decreased from 2009 due to decreased compensation and other employee related costs.</w:t>
      </w:r>
    </w:p>
    <w:p>
      <w:pPr>
        <w:spacing w:after="0" w:line="225"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Adjusted Earnings Before Interest, Taxes, Depreciation and Amortization</w:t>
      </w:r>
    </w:p>
    <w:p>
      <w:pPr>
        <w:spacing w:after="0" w:line="225" w:lineRule="exact"/>
        <w:rPr>
          <w:sz w:val="20"/>
          <w:szCs w:val="20"/>
          <w:color w:val="auto"/>
        </w:rPr>
      </w:pPr>
    </w:p>
    <w:p>
      <w:pPr>
        <w:ind w:right="200" w:firstLine="341"/>
        <w:spacing w:after="0" w:line="259" w:lineRule="auto"/>
        <w:rPr>
          <w:sz w:val="20"/>
          <w:szCs w:val="20"/>
          <w:color w:val="auto"/>
        </w:rPr>
      </w:pPr>
      <w:r>
        <w:rPr>
          <w:rFonts w:ascii="Arial" w:cs="Arial" w:eastAsia="Arial" w:hAnsi="Arial"/>
          <w:sz w:val="18"/>
          <w:szCs w:val="18"/>
          <w:color w:val="auto"/>
        </w:rPr>
        <w:t>Adjusted Earnings Before Interest, Taxes, Depreciation and Amortization ("Adjusted EBITDA") is a non-GAAP measure and is defined in "Tree.com's Principles of Financial Reporting". For a reconciliation of Adjusted EBITDA to operating income (loss) for Tree.com's operating segments and to net income (loss) in total, see Note 7 to the consolidated financial statements.</w:t>
      </w:r>
    </w:p>
    <w:p>
      <w:pPr>
        <w:spacing w:after="0" w:line="194"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For the three months ended September 30, 2010 compared to the three months ended September 30, 2009:</w:t>
      </w:r>
    </w:p>
    <w:p>
      <w:pPr>
        <w:spacing w:after="0" w:line="275" w:lineRule="exact"/>
        <w:rPr>
          <w:sz w:val="20"/>
          <w:szCs w:val="20"/>
          <w:color w:val="auto"/>
        </w:rPr>
      </w:pPr>
    </w:p>
    <w:tbl>
      <w:tblPr>
        <w:tblLayout w:type="fixed"/>
        <w:tblInd w:w="2300" w:type="dxa"/>
        <w:tblCellMar>
          <w:top w:w="0" w:type="dxa"/>
          <w:left w:w="0" w:type="dxa"/>
          <w:bottom w:w="0" w:type="dxa"/>
          <w:right w:w="0" w:type="dxa"/>
        </w:tblCellMar>
      </w:tblPr>
      <w:tr>
        <w:trPr>
          <w:trHeight w:val="161"/>
        </w:trPr>
        <w:tc>
          <w:tcPr>
            <w:tcW w:w="32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660" w:type="dxa"/>
            <w:vAlign w:val="bottom"/>
            <w:tcBorders>
              <w:bottom w:val="single" w:sz="8" w:color="auto"/>
            </w:tcBorders>
            <w:gridSpan w:val="8"/>
          </w:tcPr>
          <w:p>
            <w:pPr>
              <w:jc w:val="right"/>
              <w:ind w:right="100"/>
              <w:spacing w:after="0"/>
              <w:rPr>
                <w:sz w:val="20"/>
                <w:szCs w:val="20"/>
                <w:color w:val="auto"/>
              </w:rPr>
            </w:pPr>
            <w:r>
              <w:rPr>
                <w:rFonts w:ascii="Arial" w:cs="Arial" w:eastAsia="Arial" w:hAnsi="Arial"/>
                <w:sz w:val="14"/>
                <w:szCs w:val="14"/>
                <w:b w:val="1"/>
                <w:bCs w:val="1"/>
                <w:color w:val="auto"/>
              </w:rPr>
              <w:t>Three Months Ended September 30,</w:t>
            </w:r>
          </w:p>
        </w:tc>
        <w:tc>
          <w:tcPr>
            <w:tcW w:w="540" w:type="dxa"/>
            <w:vAlign w:val="bottom"/>
            <w:tcBorders>
              <w:bottom w:val="single" w:sz="8" w:color="auto"/>
            </w:tcBorders>
          </w:tcPr>
          <w:p>
            <w:pPr>
              <w:spacing w:after="0"/>
              <w:rPr>
                <w:sz w:val="14"/>
                <w:szCs w:val="14"/>
                <w:color w:val="auto"/>
              </w:rPr>
            </w:pPr>
          </w:p>
        </w:tc>
        <w:tc>
          <w:tcPr>
            <w:tcW w:w="300" w:type="dxa"/>
            <w:vAlign w:val="bottom"/>
          </w:tcPr>
          <w:p>
            <w:pPr>
              <w:spacing w:after="0"/>
              <w:rPr>
                <w:sz w:val="14"/>
                <w:szCs w:val="14"/>
                <w:color w:val="auto"/>
              </w:rPr>
            </w:pPr>
          </w:p>
        </w:tc>
      </w:tr>
      <w:tr>
        <w:trPr>
          <w:trHeight w:val="142"/>
        </w:trPr>
        <w:tc>
          <w:tcPr>
            <w:tcW w:w="320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138"/>
              <w:spacing w:after="0" w:line="142" w:lineRule="exact"/>
              <w:rPr>
                <w:sz w:val="20"/>
                <w:szCs w:val="20"/>
                <w:color w:val="auto"/>
              </w:rPr>
            </w:pPr>
            <w:r>
              <w:rPr>
                <w:rFonts w:ascii="Arial" w:cs="Arial" w:eastAsia="Arial" w:hAnsi="Arial"/>
                <w:sz w:val="14"/>
                <w:szCs w:val="14"/>
                <w:b w:val="1"/>
                <w:bCs w:val="1"/>
                <w:color w:val="auto"/>
              </w:rPr>
              <w:t>2010</w:t>
            </w:r>
          </w:p>
        </w:tc>
        <w:tc>
          <w:tcPr>
            <w:tcW w:w="160" w:type="dxa"/>
            <w:vAlign w:val="bottom"/>
          </w:tcPr>
          <w:p>
            <w:pPr>
              <w:spacing w:after="0"/>
              <w:rPr>
                <w:sz w:val="12"/>
                <w:szCs w:val="12"/>
                <w:color w:val="auto"/>
              </w:rPr>
            </w:pPr>
          </w:p>
        </w:tc>
        <w:tc>
          <w:tcPr>
            <w:tcW w:w="1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w:t>
            </w:r>
          </w:p>
        </w:tc>
        <w:tc>
          <w:tcPr>
            <w:tcW w:w="560" w:type="dxa"/>
            <w:vAlign w:val="bottom"/>
            <w:tcBorders>
              <w:bottom w:val="single" w:sz="8" w:color="auto"/>
            </w:tcBorders>
          </w:tcPr>
          <w:p>
            <w:pPr>
              <w:jc w:val="right"/>
              <w:ind w:right="18"/>
              <w:spacing w:after="0" w:line="142" w:lineRule="exact"/>
              <w:rPr>
                <w:sz w:val="20"/>
                <w:szCs w:val="20"/>
                <w:color w:val="auto"/>
              </w:rPr>
            </w:pPr>
            <w:r>
              <w:rPr>
                <w:rFonts w:ascii="Arial" w:cs="Arial" w:eastAsia="Arial" w:hAnsi="Arial"/>
                <w:sz w:val="14"/>
                <w:szCs w:val="14"/>
                <w:b w:val="1"/>
                <w:bCs w:val="1"/>
                <w:color w:val="auto"/>
                <w:w w:val="85"/>
              </w:rPr>
              <w:t>Change</w:t>
            </w:r>
          </w:p>
        </w:tc>
        <w:tc>
          <w:tcPr>
            <w:tcW w:w="160" w:type="dxa"/>
            <w:vAlign w:val="bottom"/>
          </w:tcPr>
          <w:p>
            <w:pPr>
              <w:spacing w:after="0"/>
              <w:rPr>
                <w:sz w:val="12"/>
                <w:szCs w:val="12"/>
                <w:color w:val="auto"/>
              </w:rPr>
            </w:pPr>
          </w:p>
        </w:tc>
        <w:tc>
          <w:tcPr>
            <w:tcW w:w="740" w:type="dxa"/>
            <w:vAlign w:val="bottom"/>
            <w:tcBorders>
              <w:bottom w:val="single" w:sz="8" w:color="auto"/>
            </w:tcBorders>
          </w:tcPr>
          <w:p>
            <w:pPr>
              <w:ind w:left="60"/>
              <w:spacing w:after="0" w:line="142" w:lineRule="exact"/>
              <w:rPr>
                <w:sz w:val="20"/>
                <w:szCs w:val="20"/>
                <w:color w:val="auto"/>
              </w:rPr>
            </w:pPr>
            <w:r>
              <w:rPr>
                <w:rFonts w:ascii="Arial" w:cs="Arial" w:eastAsia="Arial" w:hAnsi="Arial"/>
                <w:sz w:val="14"/>
                <w:szCs w:val="14"/>
                <w:b w:val="1"/>
                <w:bCs w:val="1"/>
                <w:color w:val="auto"/>
                <w:w w:val="97"/>
              </w:rPr>
              <w:t>% Change</w:t>
            </w:r>
          </w:p>
        </w:tc>
        <w:tc>
          <w:tcPr>
            <w:tcW w:w="18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116"/>
              <w:spacing w:after="0" w:line="142" w:lineRule="exact"/>
              <w:rPr>
                <w:sz w:val="20"/>
                <w:szCs w:val="20"/>
                <w:color w:val="auto"/>
              </w:rPr>
            </w:pPr>
            <w:r>
              <w:rPr>
                <w:rFonts w:ascii="Arial" w:cs="Arial" w:eastAsia="Arial" w:hAnsi="Arial"/>
                <w:sz w:val="14"/>
                <w:szCs w:val="14"/>
                <w:b w:val="1"/>
                <w:bCs w:val="1"/>
                <w:color w:val="auto"/>
              </w:rPr>
              <w:t>2009</w:t>
            </w:r>
          </w:p>
        </w:tc>
        <w:tc>
          <w:tcPr>
            <w:tcW w:w="300" w:type="dxa"/>
            <w:vAlign w:val="bottom"/>
          </w:tcPr>
          <w:p>
            <w:pPr>
              <w:spacing w:after="0"/>
              <w:rPr>
                <w:sz w:val="12"/>
                <w:szCs w:val="12"/>
                <w:color w:val="auto"/>
              </w:rPr>
            </w:pPr>
          </w:p>
        </w:tc>
      </w:tr>
      <w:tr>
        <w:trPr>
          <w:trHeight w:val="142"/>
        </w:trPr>
        <w:tc>
          <w:tcPr>
            <w:tcW w:w="3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780" w:type="dxa"/>
            <w:vAlign w:val="bottom"/>
            <w:gridSpan w:val="5"/>
          </w:tcPr>
          <w:p>
            <w:pPr>
              <w:jc w:val="right"/>
              <w:ind w:right="500"/>
              <w:spacing w:after="0" w:line="142" w:lineRule="exact"/>
              <w:rPr>
                <w:sz w:val="20"/>
                <w:szCs w:val="20"/>
                <w:color w:val="auto"/>
              </w:rPr>
            </w:pPr>
            <w:r>
              <w:rPr>
                <w:rFonts w:ascii="Arial" w:cs="Arial" w:eastAsia="Arial" w:hAnsi="Arial"/>
                <w:sz w:val="14"/>
                <w:szCs w:val="14"/>
                <w:b w:val="1"/>
                <w:bCs w:val="1"/>
                <w:color w:val="auto"/>
                <w:w w:val="85"/>
              </w:rPr>
              <w:t>(Dollars in thousands)</w:t>
            </w:r>
          </w:p>
        </w:tc>
        <w:tc>
          <w:tcPr>
            <w:tcW w:w="540" w:type="dxa"/>
            <w:vAlign w:val="bottom"/>
          </w:tcPr>
          <w:p>
            <w:pPr>
              <w:spacing w:after="0"/>
              <w:rPr>
                <w:sz w:val="12"/>
                <w:szCs w:val="12"/>
                <w:color w:val="auto"/>
              </w:rPr>
            </w:pPr>
          </w:p>
        </w:tc>
        <w:tc>
          <w:tcPr>
            <w:tcW w:w="300" w:type="dxa"/>
            <w:vAlign w:val="bottom"/>
          </w:tcPr>
          <w:p>
            <w:pPr>
              <w:spacing w:after="0"/>
              <w:rPr>
                <w:sz w:val="12"/>
                <w:szCs w:val="12"/>
                <w:color w:val="auto"/>
              </w:rPr>
            </w:pPr>
          </w:p>
        </w:tc>
      </w:tr>
      <w:tr>
        <w:trPr>
          <w:trHeight w:val="216"/>
        </w:trPr>
        <w:tc>
          <w:tcPr>
            <w:tcW w:w="3200" w:type="dxa"/>
            <w:vAlign w:val="bottom"/>
            <w:shd w:val="clear" w:color="auto" w:fill="CCEEFF"/>
          </w:tcPr>
          <w:p>
            <w:pPr>
              <w:spacing w:after="0"/>
              <w:rPr>
                <w:sz w:val="20"/>
                <w:szCs w:val="20"/>
                <w:color w:val="auto"/>
              </w:rPr>
            </w:pPr>
            <w:r>
              <w:rPr>
                <w:rFonts w:ascii="Arial" w:cs="Arial" w:eastAsia="Arial" w:hAnsi="Arial"/>
                <w:sz w:val="18"/>
                <w:szCs w:val="18"/>
                <w:color w:val="auto"/>
              </w:rPr>
              <w:t>LendingTree Loans</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12,524</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8,707</w:t>
            </w:r>
          </w:p>
        </w:tc>
        <w:tc>
          <w:tcPr>
            <w:tcW w:w="16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228% $</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3,817</w:t>
            </w:r>
          </w:p>
        </w:tc>
        <w:tc>
          <w:tcPr>
            <w:tcW w:w="300" w:type="dxa"/>
            <w:vAlign w:val="bottom"/>
            <w:shd w:val="clear" w:color="auto" w:fill="CCEEFF"/>
          </w:tcPr>
          <w:p>
            <w:pPr>
              <w:spacing w:after="0"/>
              <w:rPr>
                <w:sz w:val="18"/>
                <w:szCs w:val="18"/>
                <w:color w:val="auto"/>
              </w:rPr>
            </w:pPr>
          </w:p>
        </w:tc>
      </w:tr>
      <w:tr>
        <w:trPr>
          <w:trHeight w:val="216"/>
        </w:trPr>
        <w:tc>
          <w:tcPr>
            <w:tcW w:w="3200" w:type="dxa"/>
            <w:vAlign w:val="bottom"/>
          </w:tcPr>
          <w:p>
            <w:pPr>
              <w:spacing w:after="0"/>
              <w:rPr>
                <w:sz w:val="20"/>
                <w:szCs w:val="20"/>
                <w:color w:val="auto"/>
              </w:rPr>
            </w:pPr>
            <w:r>
              <w:rPr>
                <w:rFonts w:ascii="Arial" w:cs="Arial" w:eastAsia="Arial" w:hAnsi="Arial"/>
                <w:sz w:val="18"/>
                <w:szCs w:val="18"/>
                <w:color w:val="auto"/>
              </w:rPr>
              <w:t>Exchanges</w:t>
            </w:r>
          </w:p>
        </w:tc>
        <w:tc>
          <w:tcPr>
            <w:tcW w:w="14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(1,198)</w:t>
            </w:r>
          </w:p>
        </w:tc>
        <w:tc>
          <w:tcPr>
            <w:tcW w:w="160" w:type="dxa"/>
            <w:vAlign w:val="bottom"/>
          </w:tcPr>
          <w:p>
            <w:pPr>
              <w:spacing w:after="0"/>
              <w:rPr>
                <w:sz w:val="18"/>
                <w:szCs w:val="18"/>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rPr>
              <w:t>(2,773)</w:t>
            </w:r>
          </w:p>
        </w:tc>
        <w:tc>
          <w:tcPr>
            <w:tcW w:w="1060" w:type="dxa"/>
            <w:vAlign w:val="bottom"/>
            <w:gridSpan w:val="3"/>
          </w:tcPr>
          <w:p>
            <w:pPr>
              <w:ind w:left="460"/>
              <w:spacing w:after="0"/>
              <w:rPr>
                <w:sz w:val="20"/>
                <w:szCs w:val="20"/>
                <w:color w:val="auto"/>
              </w:rPr>
            </w:pPr>
            <w:r>
              <w:rPr>
                <w:rFonts w:ascii="Arial" w:cs="Arial" w:eastAsia="Arial" w:hAnsi="Arial"/>
                <w:sz w:val="18"/>
                <w:szCs w:val="18"/>
                <w:color w:val="auto"/>
              </w:rPr>
              <w:t>NM</w:t>
            </w:r>
          </w:p>
        </w:tc>
        <w:tc>
          <w:tcPr>
            <w:tcW w:w="540" w:type="dxa"/>
            <w:vAlign w:val="bottom"/>
          </w:tcPr>
          <w:p>
            <w:pPr>
              <w:jc w:val="right"/>
              <w:spacing w:after="0"/>
              <w:rPr>
                <w:sz w:val="20"/>
                <w:szCs w:val="20"/>
                <w:color w:val="auto"/>
              </w:rPr>
            </w:pPr>
            <w:r>
              <w:rPr>
                <w:rFonts w:ascii="Arial" w:cs="Arial" w:eastAsia="Arial" w:hAnsi="Arial"/>
                <w:sz w:val="18"/>
                <w:szCs w:val="18"/>
                <w:color w:val="auto"/>
              </w:rPr>
              <w:t>1,575</w:t>
            </w:r>
          </w:p>
        </w:tc>
        <w:tc>
          <w:tcPr>
            <w:tcW w:w="300" w:type="dxa"/>
            <w:vAlign w:val="bottom"/>
          </w:tcPr>
          <w:p>
            <w:pPr>
              <w:spacing w:after="0"/>
              <w:rPr>
                <w:sz w:val="18"/>
                <w:szCs w:val="18"/>
                <w:color w:val="auto"/>
              </w:rPr>
            </w:pPr>
          </w:p>
        </w:tc>
      </w:tr>
      <w:tr>
        <w:trPr>
          <w:trHeight w:val="216"/>
        </w:trPr>
        <w:tc>
          <w:tcPr>
            <w:tcW w:w="3200" w:type="dxa"/>
            <w:vAlign w:val="bottom"/>
            <w:shd w:val="clear" w:color="auto" w:fill="CCEEFF"/>
          </w:tcPr>
          <w:p>
            <w:pPr>
              <w:spacing w:after="0"/>
              <w:rPr>
                <w:sz w:val="20"/>
                <w:szCs w:val="20"/>
                <w:color w:val="auto"/>
              </w:rPr>
            </w:pPr>
            <w:r>
              <w:rPr>
                <w:rFonts w:ascii="Arial" w:cs="Arial" w:eastAsia="Arial" w:hAnsi="Arial"/>
                <w:sz w:val="18"/>
                <w:szCs w:val="18"/>
                <w:color w:val="auto"/>
              </w:rPr>
              <w:t>Real Estate</w:t>
            </w: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(533)</w:t>
            </w: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w:t>
            </w: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16%</w:t>
            </w: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(631)</w:t>
            </w:r>
          </w:p>
        </w:tc>
      </w:tr>
      <w:tr>
        <w:trPr>
          <w:trHeight w:val="222"/>
        </w:trPr>
        <w:tc>
          <w:tcPr>
            <w:tcW w:w="3200" w:type="dxa"/>
            <w:vAlign w:val="bottom"/>
          </w:tcPr>
          <w:p>
            <w:pPr>
              <w:spacing w:after="0"/>
              <w:rPr>
                <w:sz w:val="20"/>
                <w:szCs w:val="20"/>
                <w:color w:val="auto"/>
              </w:rPr>
            </w:pPr>
            <w:r>
              <w:rPr>
                <w:rFonts w:ascii="Arial" w:cs="Arial" w:eastAsia="Arial" w:hAnsi="Arial"/>
                <w:sz w:val="18"/>
                <w:szCs w:val="18"/>
                <w:color w:val="auto"/>
              </w:rPr>
              <w:t>Unallocated—corporate</w:t>
            </w:r>
          </w:p>
        </w:tc>
        <w:tc>
          <w:tcPr>
            <w:tcW w:w="140" w:type="dxa"/>
            <w:vAlign w:val="bottom"/>
          </w:tcPr>
          <w:p>
            <w:pPr>
              <w:spacing w:after="0"/>
              <w:rPr>
                <w:sz w:val="19"/>
                <w:szCs w:val="19"/>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(5,255)</w:t>
            </w:r>
          </w:p>
        </w:tc>
        <w:tc>
          <w:tcPr>
            <w:tcW w:w="1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3,036</w:t>
            </w:r>
          </w:p>
        </w:tc>
        <w:tc>
          <w:tcPr>
            <w:tcW w:w="160" w:type="dxa"/>
            <w:vAlign w:val="bottom"/>
          </w:tcPr>
          <w:p>
            <w:pPr>
              <w:spacing w:after="0"/>
              <w:rPr>
                <w:sz w:val="19"/>
                <w:szCs w:val="19"/>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37%</w:t>
            </w:r>
          </w:p>
        </w:tc>
        <w:tc>
          <w:tcPr>
            <w:tcW w:w="140" w:type="dxa"/>
            <w:vAlign w:val="bottom"/>
          </w:tcPr>
          <w:p>
            <w:pPr>
              <w:spacing w:after="0"/>
              <w:rPr>
                <w:sz w:val="19"/>
                <w:szCs w:val="19"/>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8"/>
                <w:szCs w:val="18"/>
                <w:color w:val="auto"/>
              </w:rPr>
              <w:t>(8,291)</w:t>
            </w:r>
          </w:p>
        </w:tc>
      </w:tr>
      <w:tr>
        <w:trPr>
          <w:trHeight w:val="21"/>
        </w:trPr>
        <w:tc>
          <w:tcPr>
            <w:tcW w:w="3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210"/>
        </w:trPr>
        <w:tc>
          <w:tcPr>
            <w:tcW w:w="3200" w:type="dxa"/>
            <w:vAlign w:val="bottom"/>
            <w:shd w:val="clear" w:color="auto" w:fill="CCEEFF"/>
          </w:tcPr>
          <w:p>
            <w:pPr>
              <w:spacing w:after="0"/>
              <w:rPr>
                <w:sz w:val="20"/>
                <w:szCs w:val="20"/>
                <w:color w:val="auto"/>
              </w:rPr>
            </w:pPr>
            <w:r>
              <w:rPr>
                <w:rFonts w:ascii="Arial" w:cs="Arial" w:eastAsia="Arial" w:hAnsi="Arial"/>
                <w:sz w:val="18"/>
                <w:szCs w:val="18"/>
                <w:color w:val="auto"/>
              </w:rPr>
              <w:t>Adjusted EBITDA</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5,538</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9,068</w:t>
            </w:r>
          </w:p>
        </w:tc>
        <w:tc>
          <w:tcPr>
            <w:tcW w:w="16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ind w:left="460"/>
              <w:spacing w:after="0"/>
              <w:rPr>
                <w:sz w:val="20"/>
                <w:szCs w:val="20"/>
                <w:color w:val="auto"/>
              </w:rPr>
            </w:pPr>
            <w:r>
              <w:rPr>
                <w:rFonts w:ascii="Arial" w:cs="Arial" w:eastAsia="Arial" w:hAnsi="Arial"/>
                <w:sz w:val="18"/>
                <w:szCs w:val="18"/>
                <w:color w:val="auto"/>
              </w:rPr>
              <w:t>NM  $</w:t>
            </w: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(3,530)</w:t>
            </w:r>
          </w:p>
        </w:tc>
      </w:tr>
      <w:tr>
        <w:trPr>
          <w:trHeight w:val="27"/>
        </w:trPr>
        <w:tc>
          <w:tcPr>
            <w:tcW w:w="32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300" w:type="dxa"/>
            <w:vAlign w:val="bottom"/>
          </w:tcPr>
          <w:p>
            <w:pPr>
              <w:spacing w:after="0"/>
              <w:rPr>
                <w:sz w:val="2"/>
                <w:szCs w:val="2"/>
                <w:color w:val="auto"/>
              </w:rPr>
            </w:pPr>
          </w:p>
        </w:tc>
      </w:tr>
      <w:tr>
        <w:trPr>
          <w:trHeight w:val="20"/>
        </w:trPr>
        <w:tc>
          <w:tcPr>
            <w:tcW w:w="3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bl>
    <w:p>
      <w:pPr>
        <w:spacing w:after="0" w:line="1" w:lineRule="exact"/>
        <w:rPr>
          <w:sz w:val="20"/>
          <w:szCs w:val="20"/>
          <w:color w:val="auto"/>
        </w:rPr>
      </w:pPr>
    </w:p>
    <w:tbl>
      <w:tblPr>
        <w:tblLayout w:type="fixed"/>
        <w:tblInd w:w="2300" w:type="dxa"/>
        <w:tblCellMar>
          <w:top w:w="0" w:type="dxa"/>
          <w:left w:w="0" w:type="dxa"/>
          <w:bottom w:w="0" w:type="dxa"/>
          <w:right w:w="0" w:type="dxa"/>
        </w:tblCellMar>
      </w:tblPr>
      <w:tr>
        <w:trPr>
          <w:trHeight w:val="222"/>
        </w:trPr>
        <w:tc>
          <w:tcPr>
            <w:tcW w:w="2320" w:type="dxa"/>
            <w:vAlign w:val="bottom"/>
            <w:gridSpan w:val="2"/>
          </w:tcPr>
          <w:p>
            <w:pPr>
              <w:spacing w:after="0"/>
              <w:rPr>
                <w:sz w:val="20"/>
                <w:szCs w:val="20"/>
                <w:color w:val="auto"/>
              </w:rPr>
            </w:pPr>
            <w:r>
              <w:rPr>
                <w:rFonts w:ascii="Arial" w:cs="Arial" w:eastAsia="Arial" w:hAnsi="Arial"/>
                <w:sz w:val="18"/>
                <w:szCs w:val="18"/>
                <w:color w:val="auto"/>
                <w:w w:val="88"/>
              </w:rPr>
              <w:t>As a percentage of total revenue</w:t>
            </w:r>
          </w:p>
        </w:tc>
        <w:tc>
          <w:tcPr>
            <w:tcW w:w="3120" w:type="dxa"/>
            <w:vAlign w:val="bottom"/>
          </w:tcPr>
          <w:p>
            <w:pPr>
              <w:jc w:val="right"/>
              <w:ind w:right="1312"/>
              <w:spacing w:after="0"/>
              <w:rPr>
                <w:sz w:val="20"/>
                <w:szCs w:val="20"/>
                <w:color w:val="auto"/>
              </w:rPr>
            </w:pPr>
            <w:r>
              <w:rPr>
                <w:rFonts w:ascii="Arial" w:cs="Arial" w:eastAsia="Arial" w:hAnsi="Arial"/>
                <w:sz w:val="18"/>
                <w:szCs w:val="18"/>
                <w:color w:val="auto"/>
              </w:rPr>
              <w:t>10%</w:t>
            </w:r>
          </w:p>
        </w:tc>
        <w:tc>
          <w:tcPr>
            <w:tcW w:w="420" w:type="dxa"/>
            <w:vAlign w:val="bottom"/>
          </w:tcPr>
          <w:p>
            <w:pPr>
              <w:ind w:left="80"/>
              <w:spacing w:after="0"/>
              <w:rPr>
                <w:sz w:val="20"/>
                <w:szCs w:val="20"/>
                <w:color w:val="auto"/>
              </w:rPr>
            </w:pPr>
            <w:r>
              <w:rPr>
                <w:rFonts w:ascii="Arial" w:cs="Arial" w:eastAsia="Arial" w:hAnsi="Arial"/>
                <w:sz w:val="18"/>
                <w:szCs w:val="18"/>
                <w:color w:val="auto"/>
                <w:w w:val="88"/>
              </w:rPr>
              <w:t>17%</w:t>
            </w: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778"/>
        </w:trPr>
        <w:tc>
          <w:tcPr>
            <w:tcW w:w="2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3120" w:type="dxa"/>
            <w:vAlign w:val="bottom"/>
          </w:tcPr>
          <w:p>
            <w:pPr>
              <w:spacing w:after="0"/>
              <w:rPr>
                <w:sz w:val="24"/>
                <w:szCs w:val="24"/>
                <w:color w:val="auto"/>
              </w:rPr>
            </w:pPr>
          </w:p>
        </w:tc>
        <w:tc>
          <w:tcPr>
            <w:tcW w:w="1400" w:type="dxa"/>
            <w:vAlign w:val="bottom"/>
            <w:gridSpan w:val="5"/>
          </w:tcPr>
          <w:p>
            <w:pPr>
              <w:jc w:val="center"/>
              <w:ind w:right="300"/>
              <w:spacing w:after="0"/>
              <w:rPr>
                <w:sz w:val="20"/>
                <w:szCs w:val="20"/>
                <w:color w:val="auto"/>
              </w:rPr>
            </w:pPr>
            <w:r>
              <w:rPr>
                <w:rFonts w:ascii="Arial" w:cs="Arial" w:eastAsia="Arial" w:hAnsi="Arial"/>
                <w:sz w:val="14"/>
                <w:szCs w:val="14"/>
                <w:b w:val="1"/>
                <w:bCs w:val="1"/>
                <w:color w:val="auto"/>
                <w:w w:val="89"/>
              </w:rPr>
              <w:t>Three Months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300" w:type="dxa"/>
            <w:vAlign w:val="bottom"/>
          </w:tcPr>
          <w:p>
            <w:pPr>
              <w:spacing w:after="0"/>
              <w:rPr>
                <w:sz w:val="12"/>
                <w:szCs w:val="12"/>
                <w:color w:val="auto"/>
              </w:rPr>
            </w:pPr>
          </w:p>
        </w:tc>
        <w:tc>
          <w:tcPr>
            <w:tcW w:w="3120" w:type="dxa"/>
            <w:vAlign w:val="bottom"/>
          </w:tcPr>
          <w:p>
            <w:pPr>
              <w:spacing w:after="0"/>
              <w:rPr>
                <w:sz w:val="12"/>
                <w:szCs w:val="12"/>
                <w:color w:val="auto"/>
              </w:rPr>
            </w:pPr>
          </w:p>
        </w:tc>
        <w:tc>
          <w:tcPr>
            <w:tcW w:w="740" w:type="dxa"/>
            <w:vAlign w:val="bottom"/>
            <w:gridSpan w:val="3"/>
          </w:tcPr>
          <w:p>
            <w:pPr>
              <w:jc w:val="center"/>
              <w:ind w:left="281"/>
              <w:spacing w:after="0" w:line="149" w:lineRule="exact"/>
              <w:rPr>
                <w:sz w:val="20"/>
                <w:szCs w:val="20"/>
                <w:color w:val="auto"/>
              </w:rPr>
            </w:pPr>
            <w:r>
              <w:rPr>
                <w:rFonts w:ascii="Arial" w:cs="Arial" w:eastAsia="Arial" w:hAnsi="Arial"/>
                <w:sz w:val="14"/>
                <w:szCs w:val="14"/>
                <w:b w:val="1"/>
                <w:bCs w:val="1"/>
                <w:color w:val="auto"/>
                <w:w w:val="88"/>
              </w:rPr>
              <w:t>Ended</w:t>
            </w:r>
          </w:p>
        </w:tc>
        <w:tc>
          <w:tcPr>
            <w:tcW w:w="3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320" w:type="dxa"/>
            <w:vAlign w:val="bottom"/>
            <w:gridSpan w:val="2"/>
            <w:vMerge w:val="restart"/>
          </w:tcPr>
          <w:p>
            <w:pPr>
              <w:spacing w:after="0"/>
              <w:rPr>
                <w:sz w:val="20"/>
                <w:szCs w:val="20"/>
                <w:color w:val="auto"/>
              </w:rPr>
            </w:pPr>
            <w:r>
              <w:rPr>
                <w:rFonts w:ascii="Arial" w:cs="Arial" w:eastAsia="Arial" w:hAnsi="Arial"/>
                <w:sz w:val="14"/>
                <w:szCs w:val="14"/>
                <w:b w:val="1"/>
                <w:bCs w:val="1"/>
                <w:color w:val="auto"/>
                <w:w w:val="91"/>
              </w:rPr>
              <w:t>As a Percentage of Segment Revenue</w:t>
            </w:r>
          </w:p>
        </w:tc>
        <w:tc>
          <w:tcPr>
            <w:tcW w:w="3120" w:type="dxa"/>
            <w:vAlign w:val="bottom"/>
          </w:tcPr>
          <w:p>
            <w:pPr>
              <w:spacing w:after="0"/>
              <w:rPr>
                <w:sz w:val="14"/>
                <w:szCs w:val="14"/>
                <w:color w:val="auto"/>
              </w:rPr>
            </w:pPr>
          </w:p>
        </w:tc>
        <w:tc>
          <w:tcPr>
            <w:tcW w:w="1400" w:type="dxa"/>
            <w:vAlign w:val="bottom"/>
            <w:gridSpan w:val="5"/>
          </w:tcPr>
          <w:p>
            <w:pPr>
              <w:jc w:val="center"/>
              <w:ind w:right="300"/>
              <w:spacing w:after="0"/>
              <w:rPr>
                <w:sz w:val="20"/>
                <w:szCs w:val="20"/>
                <w:color w:val="auto"/>
              </w:rPr>
            </w:pPr>
            <w:r>
              <w:rPr>
                <w:rFonts w:ascii="Arial" w:cs="Arial" w:eastAsia="Arial" w:hAnsi="Arial"/>
                <w:sz w:val="14"/>
                <w:szCs w:val="14"/>
                <w:b w:val="1"/>
                <w:bCs w:val="1"/>
                <w:color w:val="auto"/>
                <w:w w:val="85"/>
              </w:rPr>
              <w:t>September 30,</w:t>
            </w:r>
          </w:p>
        </w:tc>
        <w:tc>
          <w:tcPr>
            <w:tcW w:w="0" w:type="dxa"/>
            <w:vAlign w:val="bottom"/>
          </w:tcPr>
          <w:p>
            <w:pPr>
              <w:spacing w:after="0"/>
              <w:rPr>
                <w:sz w:val="1"/>
                <w:szCs w:val="1"/>
                <w:color w:val="auto"/>
              </w:rPr>
            </w:pPr>
          </w:p>
        </w:tc>
      </w:tr>
      <w:tr>
        <w:trPr>
          <w:trHeight w:val="142"/>
        </w:trPr>
        <w:tc>
          <w:tcPr>
            <w:tcW w:w="2320" w:type="dxa"/>
            <w:vAlign w:val="bottom"/>
            <w:gridSpan w:val="2"/>
            <w:vMerge w:val="continue"/>
          </w:tcPr>
          <w:p>
            <w:pPr>
              <w:spacing w:after="0"/>
              <w:rPr>
                <w:sz w:val="12"/>
                <w:szCs w:val="12"/>
                <w:color w:val="auto"/>
              </w:rPr>
            </w:pPr>
          </w:p>
        </w:tc>
        <w:tc>
          <w:tcPr>
            <w:tcW w:w="3120" w:type="dxa"/>
            <w:vAlign w:val="bottom"/>
          </w:tcPr>
          <w:p>
            <w:pPr>
              <w:spacing w:after="0"/>
              <w:rPr>
                <w:sz w:val="12"/>
                <w:szCs w:val="12"/>
                <w:color w:val="auto"/>
              </w:rPr>
            </w:pPr>
          </w:p>
        </w:tc>
        <w:tc>
          <w:tcPr>
            <w:tcW w:w="420" w:type="dxa"/>
            <w:vAlign w:val="bottom"/>
            <w:tcBorders>
              <w:top w:val="single" w:sz="8" w:color="auto"/>
            </w:tcBorders>
          </w:tcPr>
          <w:p>
            <w:pPr>
              <w:ind w:left="80"/>
              <w:spacing w:after="0" w:line="142" w:lineRule="exact"/>
              <w:rPr>
                <w:sz w:val="20"/>
                <w:szCs w:val="20"/>
                <w:color w:val="auto"/>
              </w:rPr>
            </w:pPr>
            <w:r>
              <w:rPr>
                <w:rFonts w:ascii="Arial" w:cs="Arial" w:eastAsia="Arial" w:hAnsi="Arial"/>
                <w:sz w:val="14"/>
                <w:szCs w:val="14"/>
                <w:b w:val="1"/>
                <w:bCs w:val="1"/>
                <w:color w:val="auto"/>
              </w:rPr>
              <w:t>2010</w:t>
            </w:r>
          </w:p>
        </w:tc>
        <w:tc>
          <w:tcPr>
            <w:tcW w:w="24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36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3"/>
              </w:rPr>
              <w:t>2009</w:t>
            </w:r>
          </w:p>
        </w:tc>
        <w:tc>
          <w:tcPr>
            <w:tcW w:w="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2300" w:type="dxa"/>
            <w:vAlign w:val="bottom"/>
            <w:shd w:val="clear" w:color="auto" w:fill="000000"/>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2300" w:type="dxa"/>
            <w:vAlign w:val="bottom"/>
            <w:shd w:val="clear" w:color="auto" w:fill="CCEEFF"/>
          </w:tcPr>
          <w:p>
            <w:pPr>
              <w:spacing w:after="0"/>
              <w:rPr>
                <w:sz w:val="20"/>
                <w:szCs w:val="20"/>
                <w:color w:val="auto"/>
              </w:rPr>
            </w:pPr>
            <w:r>
              <w:rPr>
                <w:rFonts w:ascii="Arial" w:cs="Arial" w:eastAsia="Arial" w:hAnsi="Arial"/>
                <w:sz w:val="18"/>
                <w:szCs w:val="18"/>
                <w:color w:val="auto"/>
              </w:rPr>
              <w:t>LendingTree Loans</w:t>
            </w:r>
          </w:p>
        </w:tc>
        <w:tc>
          <w:tcPr>
            <w:tcW w:w="3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36%</w:t>
            </w:r>
          </w:p>
        </w:tc>
        <w:tc>
          <w:tcPr>
            <w:tcW w:w="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00" w:type="dxa"/>
            <w:vAlign w:val="bottom"/>
          </w:tcPr>
          <w:p>
            <w:pPr>
              <w:spacing w:after="0"/>
              <w:rPr>
                <w:sz w:val="20"/>
                <w:szCs w:val="20"/>
                <w:color w:val="auto"/>
              </w:rPr>
            </w:pPr>
            <w:r>
              <w:rPr>
                <w:rFonts w:ascii="Arial" w:cs="Arial" w:eastAsia="Arial" w:hAnsi="Arial"/>
                <w:sz w:val="18"/>
                <w:szCs w:val="18"/>
                <w:color w:val="auto"/>
              </w:rPr>
              <w:t>Exchanges</w:t>
            </w:r>
          </w:p>
        </w:tc>
        <w:tc>
          <w:tcPr>
            <w:tcW w:w="3120" w:type="dxa"/>
            <w:vAlign w:val="bottom"/>
          </w:tcPr>
          <w:p>
            <w:pPr>
              <w:spacing w:after="0"/>
              <w:rPr>
                <w:sz w:val="18"/>
                <w:szCs w:val="18"/>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(8)%</w:t>
            </w:r>
          </w:p>
        </w:tc>
        <w:tc>
          <w:tcPr>
            <w:tcW w:w="80" w:type="dxa"/>
            <w:vAlign w:val="bottom"/>
          </w:tcPr>
          <w:p>
            <w:pPr>
              <w:spacing w:after="0"/>
              <w:rPr>
                <w:sz w:val="18"/>
                <w:szCs w:val="18"/>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00" w:type="dxa"/>
            <w:vAlign w:val="bottom"/>
            <w:shd w:val="clear" w:color="auto" w:fill="CCEEFF"/>
          </w:tcPr>
          <w:p>
            <w:pPr>
              <w:spacing w:after="0"/>
              <w:rPr>
                <w:sz w:val="20"/>
                <w:szCs w:val="20"/>
                <w:color w:val="auto"/>
              </w:rPr>
            </w:pPr>
            <w:r>
              <w:rPr>
                <w:rFonts w:ascii="Arial" w:cs="Arial" w:eastAsia="Arial" w:hAnsi="Arial"/>
                <w:sz w:val="18"/>
                <w:szCs w:val="18"/>
                <w:color w:val="auto"/>
              </w:rPr>
              <w:t>Real Estate</w:t>
            </w:r>
          </w:p>
        </w:tc>
        <w:tc>
          <w:tcPr>
            <w:tcW w:w="3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(17)%</w:t>
            </w:r>
          </w:p>
        </w:tc>
        <w:tc>
          <w:tcPr>
            <w:tcW w:w="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420" w:type="dxa"/>
            <w:vAlign w:val="bottom"/>
            <w:gridSpan w:val="2"/>
          </w:tcPr>
          <w:p>
            <w:pPr>
              <w:spacing w:after="0"/>
              <w:rPr>
                <w:sz w:val="20"/>
                <w:szCs w:val="20"/>
                <w:color w:val="auto"/>
              </w:rPr>
            </w:pPr>
            <w:r>
              <w:rPr>
                <w:rFonts w:ascii="Arial" w:cs="Arial" w:eastAsia="Arial" w:hAnsi="Arial"/>
                <w:sz w:val="18"/>
                <w:szCs w:val="18"/>
                <w:color w:val="auto"/>
              </w:rPr>
              <w:t>Unallocated—corporate, as a percentage of total revenue</w:t>
            </w: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(10)%</w:t>
            </w:r>
          </w:p>
        </w:tc>
        <w:tc>
          <w:tcPr>
            <w:tcW w:w="80" w:type="dxa"/>
            <w:vAlign w:val="bottom"/>
          </w:tcPr>
          <w:p>
            <w:pPr>
              <w:spacing w:after="0"/>
              <w:rPr>
                <w:sz w:val="19"/>
                <w:szCs w:val="19"/>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bl>
    <w:p>
      <w:pPr>
        <w:spacing w:after="0" w:line="201" w:lineRule="exact"/>
        <w:rPr>
          <w:sz w:val="20"/>
          <w:szCs w:val="20"/>
          <w:color w:val="auto"/>
        </w:rPr>
      </w:pPr>
    </w:p>
    <w:p>
      <w:pPr>
        <w:ind w:firstLine="341"/>
        <w:spacing w:after="0" w:line="306" w:lineRule="auto"/>
        <w:rPr>
          <w:sz w:val="20"/>
          <w:szCs w:val="20"/>
          <w:color w:val="auto"/>
        </w:rPr>
      </w:pPr>
      <w:r>
        <w:rPr>
          <w:rFonts w:ascii="Arial" w:cs="Arial" w:eastAsia="Arial" w:hAnsi="Arial"/>
          <w:sz w:val="16"/>
          <w:szCs w:val="16"/>
          <w:color w:val="auto"/>
        </w:rPr>
        <w:t>Adjusted EBITDA in 2010 increased, primarily reflecting the revenue improvements at LendingTree Loans in addition to lower professional fees and employee costs. Third quarter revenue at LendingTree Loans increased 44% from the same period last year on 18% more closed loans and a 12% increase in the revenue generated per loan. The lower professional fees and employee costs were driven by cost-cutting initiatives implemented for 2010.</w:t>
      </w:r>
    </w:p>
    <w:p>
      <w:pPr>
        <w:spacing w:after="0" w:line="16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80"/>
          </w:cols>
          <w:pgMar w:left="240" w:top="131" w:right="379" w:bottom="1440" w:gutter="0" w:footer="0" w:header="0"/>
        </w:sectPr>
      </w:pPr>
    </w:p>
    <w:bookmarkStart w:id="48" w:name="page49"/>
    <w:bookmarkEnd w:id="4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For the nine months ended September 30, 2010 compared to the nine months ended September 30, 2009:</w:t>
      </w:r>
    </w:p>
    <w:p>
      <w:pPr>
        <w:spacing w:after="0" w:line="275" w:lineRule="exact"/>
        <w:rPr>
          <w:sz w:val="20"/>
          <w:szCs w:val="20"/>
          <w:color w:val="auto"/>
        </w:rPr>
      </w:pPr>
    </w:p>
    <w:tbl>
      <w:tblPr>
        <w:tblLayout w:type="fixed"/>
        <w:tblInd w:w="23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2280" w:type="dxa"/>
            <w:vAlign w:val="bottom"/>
            <w:tcBorders>
              <w:bottom w:val="single" w:sz="8" w:color="auto"/>
            </w:tcBorders>
            <w:gridSpan w:val="9"/>
          </w:tcPr>
          <w:p>
            <w:pPr>
              <w:jc w:val="right"/>
              <w:ind w:right="220"/>
              <w:spacing w:after="0"/>
              <w:rPr>
                <w:sz w:val="20"/>
                <w:szCs w:val="20"/>
                <w:color w:val="auto"/>
              </w:rPr>
            </w:pPr>
            <w:r>
              <w:rPr>
                <w:rFonts w:ascii="Arial" w:cs="Arial" w:eastAsia="Arial" w:hAnsi="Arial"/>
                <w:sz w:val="14"/>
                <w:szCs w:val="14"/>
                <w:b w:val="1"/>
                <w:bCs w:val="1"/>
                <w:color w:val="auto"/>
                <w:w w:val="88"/>
              </w:rPr>
              <w:t>Nine Months Ended September 30,</w:t>
            </w:r>
          </w:p>
        </w:tc>
        <w:tc>
          <w:tcPr>
            <w:tcW w:w="4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3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jc w:val="right"/>
              <w:ind w:right="155"/>
              <w:spacing w:after="0" w:line="142" w:lineRule="exact"/>
              <w:rPr>
                <w:sz w:val="20"/>
                <w:szCs w:val="20"/>
                <w:color w:val="auto"/>
              </w:rPr>
            </w:pPr>
            <w:r>
              <w:rPr>
                <w:rFonts w:ascii="Arial" w:cs="Arial" w:eastAsia="Arial" w:hAnsi="Arial"/>
                <w:sz w:val="14"/>
                <w:szCs w:val="14"/>
                <w:b w:val="1"/>
                <w:bCs w:val="1"/>
                <w:color w:val="auto"/>
              </w:rPr>
              <w:t>2010</w:t>
            </w:r>
          </w:p>
        </w:tc>
        <w:tc>
          <w:tcPr>
            <w:tcW w:w="160" w:type="dxa"/>
            <w:vAlign w:val="bottom"/>
          </w:tcPr>
          <w:p>
            <w:pPr>
              <w:spacing w:after="0"/>
              <w:rPr>
                <w:sz w:val="12"/>
                <w:szCs w:val="12"/>
                <w:color w:val="auto"/>
              </w:rPr>
            </w:pPr>
          </w:p>
        </w:tc>
        <w:tc>
          <w:tcPr>
            <w:tcW w:w="18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w:t>
            </w:r>
          </w:p>
        </w:tc>
        <w:tc>
          <w:tcPr>
            <w:tcW w:w="700" w:type="dxa"/>
            <w:vAlign w:val="bottom"/>
            <w:gridSpan w:val="2"/>
          </w:tcPr>
          <w:p>
            <w:pPr>
              <w:jc w:val="right"/>
              <w:ind w:right="172"/>
              <w:spacing w:after="0" w:line="142" w:lineRule="exact"/>
              <w:rPr>
                <w:sz w:val="20"/>
                <w:szCs w:val="20"/>
                <w:color w:val="auto"/>
              </w:rPr>
            </w:pPr>
            <w:r>
              <w:rPr>
                <w:rFonts w:ascii="Arial" w:cs="Arial" w:eastAsia="Arial" w:hAnsi="Arial"/>
                <w:sz w:val="14"/>
                <w:szCs w:val="14"/>
                <w:b w:val="1"/>
                <w:bCs w:val="1"/>
                <w:color w:val="auto"/>
                <w:w w:val="85"/>
              </w:rPr>
              <w:t>Change</w:t>
            </w:r>
          </w:p>
        </w:tc>
        <w:tc>
          <w:tcPr>
            <w:tcW w:w="1240" w:type="dxa"/>
            <w:vAlign w:val="bottom"/>
            <w:gridSpan w:val="5"/>
          </w:tcPr>
          <w:p>
            <w:pPr>
              <w:jc w:val="right"/>
              <w:ind w:right="560"/>
              <w:spacing w:after="0" w:line="142" w:lineRule="exact"/>
              <w:rPr>
                <w:sz w:val="20"/>
                <w:szCs w:val="20"/>
                <w:color w:val="auto"/>
              </w:rPr>
            </w:pPr>
            <w:r>
              <w:rPr>
                <w:rFonts w:ascii="Arial" w:cs="Arial" w:eastAsia="Arial" w:hAnsi="Arial"/>
                <w:sz w:val="14"/>
                <w:szCs w:val="14"/>
                <w:b w:val="1"/>
                <w:bCs w:val="1"/>
                <w:color w:val="auto"/>
                <w:w w:val="97"/>
              </w:rPr>
              <w:t>% Change</w:t>
            </w:r>
          </w:p>
        </w:tc>
        <w:tc>
          <w:tcPr>
            <w:tcW w:w="440" w:type="dxa"/>
            <w:vAlign w:val="bottom"/>
          </w:tcPr>
          <w:p>
            <w:pPr>
              <w:jc w:val="right"/>
              <w:ind w:right="36"/>
              <w:spacing w:after="0" w:line="142" w:lineRule="exact"/>
              <w:rPr>
                <w:sz w:val="20"/>
                <w:szCs w:val="20"/>
                <w:color w:val="auto"/>
              </w:rPr>
            </w:pPr>
            <w:r>
              <w:rPr>
                <w:rFonts w:ascii="Arial" w:cs="Arial" w:eastAsia="Arial" w:hAnsi="Arial"/>
                <w:sz w:val="14"/>
                <w:szCs w:val="14"/>
                <w:b w:val="1"/>
                <w:bCs w:val="1"/>
                <w:color w:val="auto"/>
                <w:w w:val="96"/>
              </w:rPr>
              <w:t>2009</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3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9"/>
              </w:rPr>
              <w:t>(Dollars</w:t>
            </w:r>
          </w:p>
        </w:tc>
        <w:tc>
          <w:tcPr>
            <w:tcW w:w="160" w:type="dxa"/>
            <w:vAlign w:val="bottom"/>
          </w:tcPr>
          <w:p>
            <w:pPr>
              <w:jc w:val="right"/>
              <w:spacing w:after="0" w:line="142" w:lineRule="exact"/>
              <w:rPr>
                <w:sz w:val="20"/>
                <w:szCs w:val="20"/>
                <w:color w:val="auto"/>
              </w:rPr>
            </w:pPr>
            <w:r>
              <w:rPr>
                <w:rFonts w:ascii="Arial" w:cs="Arial" w:eastAsia="Arial" w:hAnsi="Arial"/>
                <w:sz w:val="14"/>
                <w:szCs w:val="14"/>
                <w:b w:val="1"/>
                <w:bCs w:val="1"/>
                <w:color w:val="auto"/>
                <w:w w:val="96"/>
              </w:rPr>
              <w:t>in</w:t>
            </w:r>
          </w:p>
        </w:tc>
        <w:tc>
          <w:tcPr>
            <w:tcW w:w="760" w:type="dxa"/>
            <w:vAlign w:val="bottom"/>
            <w:tcBorders>
              <w:top w:val="single" w:sz="8" w:color="auto"/>
            </w:tcBorders>
            <w:gridSpan w:val="2"/>
          </w:tcPr>
          <w:p>
            <w:pPr>
              <w:jc w:val="right"/>
              <w:ind w:right="47"/>
              <w:spacing w:after="0" w:line="142" w:lineRule="exact"/>
              <w:rPr>
                <w:sz w:val="20"/>
                <w:szCs w:val="20"/>
                <w:color w:val="auto"/>
              </w:rPr>
            </w:pPr>
            <w:r>
              <w:rPr>
                <w:rFonts w:ascii="Arial" w:cs="Arial" w:eastAsia="Arial" w:hAnsi="Arial"/>
                <w:sz w:val="14"/>
                <w:szCs w:val="14"/>
                <w:b w:val="1"/>
                <w:bCs w:val="1"/>
                <w:color w:val="auto"/>
                <w:w w:val="82"/>
              </w:rPr>
              <w:t>thousands)</w:t>
            </w:r>
          </w:p>
        </w:tc>
        <w:tc>
          <w:tcPr>
            <w:tcW w:w="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44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LendingTree Loans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gridSpan w:val="2"/>
            <w:shd w:val="clear" w:color="auto" w:fill="CCEEFF"/>
          </w:tcPr>
          <w:p>
            <w:pPr>
              <w:jc w:val="right"/>
              <w:ind w:right="92"/>
              <w:spacing w:after="0"/>
              <w:rPr>
                <w:sz w:val="20"/>
                <w:szCs w:val="20"/>
                <w:color w:val="auto"/>
              </w:rPr>
            </w:pPr>
            <w:r>
              <w:rPr>
                <w:rFonts w:ascii="Arial" w:cs="Arial" w:eastAsia="Arial" w:hAnsi="Arial"/>
                <w:sz w:val="18"/>
                <w:szCs w:val="18"/>
                <w:color w:val="auto"/>
              </w:rPr>
              <w:t>25,517</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ind w:right="32"/>
              <w:spacing w:after="0"/>
              <w:rPr>
                <w:sz w:val="20"/>
                <w:szCs w:val="20"/>
                <w:color w:val="auto"/>
              </w:rPr>
            </w:pPr>
            <w:r>
              <w:rPr>
                <w:rFonts w:ascii="Arial" w:cs="Arial" w:eastAsia="Arial" w:hAnsi="Arial"/>
                <w:sz w:val="18"/>
                <w:szCs w:val="18"/>
                <w:color w:val="auto"/>
              </w:rPr>
              <w:t>(7,536)</w:t>
            </w:r>
          </w:p>
        </w:tc>
        <w:tc>
          <w:tcPr>
            <w:tcW w:w="1240" w:type="dxa"/>
            <w:vAlign w:val="bottom"/>
            <w:gridSpan w:val="5"/>
            <w:shd w:val="clear" w:color="auto" w:fill="CCEEFF"/>
          </w:tcPr>
          <w:p>
            <w:pPr>
              <w:jc w:val="right"/>
              <w:ind w:right="100"/>
              <w:spacing w:after="0"/>
              <w:rPr>
                <w:sz w:val="20"/>
                <w:szCs w:val="20"/>
                <w:color w:val="auto"/>
              </w:rPr>
            </w:pPr>
            <w:r>
              <w:rPr>
                <w:rFonts w:ascii="Arial" w:cs="Arial" w:eastAsia="Arial" w:hAnsi="Arial"/>
                <w:sz w:val="18"/>
                <w:szCs w:val="18"/>
                <w:color w:val="auto"/>
              </w:rPr>
              <w:t>(23)% $</w:t>
            </w:r>
          </w:p>
        </w:tc>
        <w:tc>
          <w:tcPr>
            <w:tcW w:w="74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33,053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40" w:type="dxa"/>
            <w:vAlign w:val="bottom"/>
            <w:gridSpan w:val="2"/>
          </w:tcPr>
          <w:p>
            <w:pPr>
              <w:spacing w:after="0"/>
              <w:rPr>
                <w:sz w:val="20"/>
                <w:szCs w:val="20"/>
                <w:color w:val="auto"/>
              </w:rPr>
            </w:pPr>
            <w:r>
              <w:rPr>
                <w:rFonts w:ascii="Arial" w:cs="Arial" w:eastAsia="Arial" w:hAnsi="Arial"/>
                <w:sz w:val="18"/>
                <w:szCs w:val="18"/>
                <w:color w:val="auto"/>
              </w:rPr>
              <w:t>Exchanges</w:t>
            </w:r>
          </w:p>
        </w:tc>
        <w:tc>
          <w:tcPr>
            <w:tcW w:w="160" w:type="dxa"/>
            <w:vAlign w:val="bottom"/>
          </w:tcPr>
          <w:p>
            <w:pPr>
              <w:spacing w:after="0"/>
              <w:rPr>
                <w:sz w:val="18"/>
                <w:szCs w:val="18"/>
                <w:color w:val="auto"/>
              </w:rPr>
            </w:pPr>
          </w:p>
        </w:tc>
        <w:tc>
          <w:tcPr>
            <w:tcW w:w="760" w:type="dxa"/>
            <w:vAlign w:val="bottom"/>
            <w:gridSpan w:val="2"/>
          </w:tcPr>
          <w:p>
            <w:pPr>
              <w:jc w:val="right"/>
              <w:ind w:right="32"/>
              <w:spacing w:after="0"/>
              <w:rPr>
                <w:sz w:val="20"/>
                <w:szCs w:val="20"/>
                <w:color w:val="auto"/>
              </w:rPr>
            </w:pPr>
            <w:r>
              <w:rPr>
                <w:rFonts w:ascii="Arial" w:cs="Arial" w:eastAsia="Arial" w:hAnsi="Arial"/>
                <w:sz w:val="18"/>
                <w:szCs w:val="18"/>
                <w:color w:val="auto"/>
              </w:rPr>
              <w:t>(107)</w:t>
            </w:r>
          </w:p>
        </w:tc>
        <w:tc>
          <w:tcPr>
            <w:tcW w:w="180" w:type="dxa"/>
            <w:vAlign w:val="bottom"/>
          </w:tcPr>
          <w:p>
            <w:pPr>
              <w:spacing w:after="0"/>
              <w:rPr>
                <w:sz w:val="18"/>
                <w:szCs w:val="18"/>
                <w:color w:val="auto"/>
              </w:rPr>
            </w:pPr>
          </w:p>
        </w:tc>
        <w:tc>
          <w:tcPr>
            <w:tcW w:w="700" w:type="dxa"/>
            <w:vAlign w:val="bottom"/>
            <w:gridSpan w:val="2"/>
          </w:tcPr>
          <w:p>
            <w:pPr>
              <w:jc w:val="right"/>
              <w:ind w:right="32"/>
              <w:spacing w:after="0"/>
              <w:rPr>
                <w:sz w:val="20"/>
                <w:szCs w:val="20"/>
                <w:color w:val="auto"/>
              </w:rPr>
            </w:pPr>
            <w:r>
              <w:rPr>
                <w:rFonts w:ascii="Arial" w:cs="Arial" w:eastAsia="Arial" w:hAnsi="Arial"/>
                <w:sz w:val="18"/>
                <w:szCs w:val="18"/>
                <w:color w:val="auto"/>
              </w:rPr>
              <w:t>(5,829)</w:t>
            </w:r>
          </w:p>
        </w:tc>
        <w:tc>
          <w:tcPr>
            <w:tcW w:w="1240" w:type="dxa"/>
            <w:vAlign w:val="bottom"/>
            <w:gridSpan w:val="5"/>
          </w:tcPr>
          <w:p>
            <w:pPr>
              <w:jc w:val="right"/>
              <w:ind w:right="480"/>
              <w:spacing w:after="0"/>
              <w:rPr>
                <w:sz w:val="20"/>
                <w:szCs w:val="20"/>
                <w:color w:val="auto"/>
              </w:rPr>
            </w:pPr>
            <w:r>
              <w:rPr>
                <w:rFonts w:ascii="Arial" w:cs="Arial" w:eastAsia="Arial" w:hAnsi="Arial"/>
                <w:sz w:val="18"/>
                <w:szCs w:val="18"/>
                <w:color w:val="auto"/>
              </w:rPr>
              <w:t>NM</w:t>
            </w:r>
          </w:p>
        </w:tc>
        <w:tc>
          <w:tcPr>
            <w:tcW w:w="740" w:type="dxa"/>
            <w:vAlign w:val="bottom"/>
            <w:gridSpan w:val="3"/>
          </w:tcPr>
          <w:p>
            <w:pPr>
              <w:jc w:val="right"/>
              <w:ind w:right="160"/>
              <w:spacing w:after="0"/>
              <w:rPr>
                <w:sz w:val="20"/>
                <w:szCs w:val="20"/>
                <w:color w:val="auto"/>
              </w:rPr>
            </w:pPr>
            <w:r>
              <w:rPr>
                <w:rFonts w:ascii="Arial" w:cs="Arial" w:eastAsia="Arial" w:hAnsi="Arial"/>
                <w:sz w:val="18"/>
                <w:szCs w:val="18"/>
                <w:color w:val="auto"/>
              </w:rPr>
              <w:t>5,722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Real Estate</w:t>
            </w: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32"/>
              <w:spacing w:after="0"/>
              <w:rPr>
                <w:sz w:val="20"/>
                <w:szCs w:val="20"/>
                <w:color w:val="auto"/>
              </w:rPr>
            </w:pPr>
            <w:r>
              <w:rPr>
                <w:rFonts w:ascii="Arial" w:cs="Arial" w:eastAsia="Arial" w:hAnsi="Arial"/>
                <w:sz w:val="18"/>
                <w:szCs w:val="18"/>
                <w:color w:val="auto"/>
              </w:rPr>
              <w:t>(1,446)</w:t>
            </w:r>
          </w:p>
        </w:tc>
        <w:tc>
          <w:tcPr>
            <w:tcW w:w="1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92"/>
              <w:spacing w:after="0"/>
              <w:rPr>
                <w:sz w:val="20"/>
                <w:szCs w:val="20"/>
                <w:color w:val="auto"/>
              </w:rPr>
            </w:pPr>
            <w:r>
              <w:rPr>
                <w:rFonts w:ascii="Arial" w:cs="Arial" w:eastAsia="Arial" w:hAnsi="Arial"/>
                <w:sz w:val="18"/>
                <w:szCs w:val="18"/>
                <w:color w:val="auto"/>
              </w:rPr>
              <w:t>2,767</w:t>
            </w:r>
          </w:p>
        </w:tc>
        <w:tc>
          <w:tcPr>
            <w:tcW w:w="1000" w:type="dxa"/>
            <w:vAlign w:val="bottom"/>
            <w:gridSpan w:val="3"/>
            <w:shd w:val="clear" w:color="auto" w:fill="CCEEFF"/>
          </w:tcPr>
          <w:p>
            <w:pPr>
              <w:jc w:val="right"/>
              <w:ind w:right="22"/>
              <w:spacing w:after="0"/>
              <w:rPr>
                <w:sz w:val="20"/>
                <w:szCs w:val="20"/>
                <w:color w:val="auto"/>
              </w:rPr>
            </w:pPr>
            <w:r>
              <w:rPr>
                <w:rFonts w:ascii="Arial" w:cs="Arial" w:eastAsia="Arial" w:hAnsi="Arial"/>
                <w:sz w:val="18"/>
                <w:szCs w:val="18"/>
                <w:color w:val="auto"/>
              </w:rPr>
              <w:t>66%</w:t>
            </w: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(4,213)</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040" w:type="dxa"/>
            <w:vAlign w:val="bottom"/>
            <w:gridSpan w:val="2"/>
          </w:tcPr>
          <w:p>
            <w:pPr>
              <w:spacing w:after="0"/>
              <w:rPr>
                <w:sz w:val="20"/>
                <w:szCs w:val="20"/>
                <w:color w:val="auto"/>
              </w:rPr>
            </w:pPr>
            <w:r>
              <w:rPr>
                <w:rFonts w:ascii="Arial" w:cs="Arial" w:eastAsia="Arial" w:hAnsi="Arial"/>
                <w:sz w:val="18"/>
                <w:szCs w:val="18"/>
                <w:color w:val="auto"/>
              </w:rPr>
              <w:t>Unallocated—corporate</w:t>
            </w:r>
          </w:p>
        </w:tc>
        <w:tc>
          <w:tcPr>
            <w:tcW w:w="160" w:type="dxa"/>
            <w:vAlign w:val="bottom"/>
          </w:tcPr>
          <w:p>
            <w:pPr>
              <w:spacing w:after="0"/>
              <w:rPr>
                <w:sz w:val="19"/>
                <w:szCs w:val="19"/>
                <w:color w:val="auto"/>
              </w:rPr>
            </w:pPr>
          </w:p>
        </w:tc>
        <w:tc>
          <w:tcPr>
            <w:tcW w:w="760" w:type="dxa"/>
            <w:vAlign w:val="bottom"/>
            <w:gridSpan w:val="2"/>
          </w:tcPr>
          <w:p>
            <w:pPr>
              <w:jc w:val="right"/>
              <w:ind w:right="32"/>
              <w:spacing w:after="0"/>
              <w:rPr>
                <w:sz w:val="20"/>
                <w:szCs w:val="20"/>
                <w:color w:val="auto"/>
              </w:rPr>
            </w:pPr>
            <w:r>
              <w:rPr>
                <w:rFonts w:ascii="Arial" w:cs="Arial" w:eastAsia="Arial" w:hAnsi="Arial"/>
                <w:sz w:val="18"/>
                <w:szCs w:val="18"/>
                <w:color w:val="auto"/>
                <w:w w:val="95"/>
              </w:rPr>
              <w:t>(14,180)</w:t>
            </w:r>
          </w:p>
        </w:tc>
        <w:tc>
          <w:tcPr>
            <w:tcW w:w="180" w:type="dxa"/>
            <w:vAlign w:val="bottom"/>
          </w:tcPr>
          <w:p>
            <w:pPr>
              <w:spacing w:after="0"/>
              <w:rPr>
                <w:sz w:val="19"/>
                <w:szCs w:val="19"/>
                <w:color w:val="auto"/>
              </w:rPr>
            </w:pPr>
          </w:p>
        </w:tc>
        <w:tc>
          <w:tcPr>
            <w:tcW w:w="700" w:type="dxa"/>
            <w:vAlign w:val="bottom"/>
            <w:gridSpan w:val="2"/>
          </w:tcPr>
          <w:p>
            <w:pPr>
              <w:jc w:val="right"/>
              <w:ind w:right="92"/>
              <w:spacing w:after="0"/>
              <w:rPr>
                <w:sz w:val="20"/>
                <w:szCs w:val="20"/>
                <w:color w:val="auto"/>
              </w:rPr>
            </w:pPr>
            <w:r>
              <w:rPr>
                <w:rFonts w:ascii="Arial" w:cs="Arial" w:eastAsia="Arial" w:hAnsi="Arial"/>
                <w:sz w:val="18"/>
                <w:szCs w:val="18"/>
                <w:color w:val="auto"/>
              </w:rPr>
              <w:t>6,547</w:t>
            </w:r>
          </w:p>
        </w:tc>
        <w:tc>
          <w:tcPr>
            <w:tcW w:w="1000" w:type="dxa"/>
            <w:vAlign w:val="bottom"/>
            <w:gridSpan w:val="3"/>
          </w:tcPr>
          <w:p>
            <w:pPr>
              <w:jc w:val="right"/>
              <w:ind w:right="22"/>
              <w:spacing w:after="0"/>
              <w:rPr>
                <w:sz w:val="20"/>
                <w:szCs w:val="20"/>
                <w:color w:val="auto"/>
              </w:rPr>
            </w:pPr>
            <w:r>
              <w:rPr>
                <w:rFonts w:ascii="Arial" w:cs="Arial" w:eastAsia="Arial" w:hAnsi="Arial"/>
                <w:sz w:val="18"/>
                <w:szCs w:val="18"/>
                <w:color w:val="auto"/>
              </w:rPr>
              <w:t>32%</w:t>
            </w: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gridSpan w:val="3"/>
          </w:tcPr>
          <w:p>
            <w:pPr>
              <w:jc w:val="right"/>
              <w:ind w:right="100"/>
              <w:spacing w:after="0"/>
              <w:rPr>
                <w:sz w:val="20"/>
                <w:szCs w:val="20"/>
                <w:color w:val="auto"/>
              </w:rPr>
            </w:pPr>
            <w:r>
              <w:rPr>
                <w:rFonts w:ascii="Arial" w:cs="Arial" w:eastAsia="Arial" w:hAnsi="Arial"/>
                <w:sz w:val="18"/>
                <w:szCs w:val="18"/>
                <w:color w:val="auto"/>
                <w:w w:val="92"/>
              </w:rPr>
              <w:t>(20,727)</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Adjusted EBITDA</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gridSpan w:val="2"/>
            <w:shd w:val="clear" w:color="auto" w:fill="CCEEFF"/>
          </w:tcPr>
          <w:p>
            <w:pPr>
              <w:jc w:val="right"/>
              <w:ind w:right="92"/>
              <w:spacing w:after="0"/>
              <w:rPr>
                <w:sz w:val="20"/>
                <w:szCs w:val="20"/>
                <w:color w:val="auto"/>
              </w:rPr>
            </w:pPr>
            <w:r>
              <w:rPr>
                <w:rFonts w:ascii="Arial" w:cs="Arial" w:eastAsia="Arial" w:hAnsi="Arial"/>
                <w:sz w:val="18"/>
                <w:szCs w:val="18"/>
                <w:color w:val="auto"/>
              </w:rPr>
              <w:t>9,784</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ind w:right="32"/>
              <w:spacing w:after="0"/>
              <w:rPr>
                <w:sz w:val="20"/>
                <w:szCs w:val="20"/>
                <w:color w:val="auto"/>
              </w:rPr>
            </w:pPr>
            <w:r>
              <w:rPr>
                <w:rFonts w:ascii="Arial" w:cs="Arial" w:eastAsia="Arial" w:hAnsi="Arial"/>
                <w:sz w:val="18"/>
                <w:szCs w:val="18"/>
                <w:color w:val="auto"/>
              </w:rPr>
              <w:t>(4,051)</w:t>
            </w:r>
          </w:p>
        </w:tc>
        <w:tc>
          <w:tcPr>
            <w:tcW w:w="1240" w:type="dxa"/>
            <w:vAlign w:val="bottom"/>
            <w:gridSpan w:val="5"/>
            <w:shd w:val="clear" w:color="auto" w:fill="CCEEFF"/>
          </w:tcPr>
          <w:p>
            <w:pPr>
              <w:jc w:val="right"/>
              <w:ind w:right="100"/>
              <w:spacing w:after="0"/>
              <w:rPr>
                <w:sz w:val="20"/>
                <w:szCs w:val="20"/>
                <w:color w:val="auto"/>
              </w:rPr>
            </w:pPr>
            <w:r>
              <w:rPr>
                <w:rFonts w:ascii="Arial" w:cs="Arial" w:eastAsia="Arial" w:hAnsi="Arial"/>
                <w:sz w:val="18"/>
                <w:szCs w:val="18"/>
                <w:color w:val="auto"/>
              </w:rPr>
              <w:t>(29)% $</w:t>
            </w:r>
          </w:p>
        </w:tc>
        <w:tc>
          <w:tcPr>
            <w:tcW w:w="74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13,835</w:t>
            </w:r>
          </w:p>
        </w:tc>
        <w:tc>
          <w:tcPr>
            <w:tcW w:w="0" w:type="dxa"/>
            <w:vAlign w:val="bottom"/>
          </w:tcPr>
          <w:p>
            <w:pPr>
              <w:spacing w:after="0"/>
              <w:rPr>
                <w:sz w:val="1"/>
                <w:szCs w:val="1"/>
                <w:color w:val="auto"/>
              </w:rPr>
            </w:pPr>
          </w:p>
        </w:tc>
      </w:tr>
      <w:tr>
        <w:trPr>
          <w:trHeight w:val="27"/>
        </w:trPr>
        <w:tc>
          <w:tcPr>
            <w:tcW w:w="3060" w:type="dxa"/>
            <w:vAlign w:val="bottom"/>
            <w:gridSpan w:val="3"/>
            <w:vMerge w:val="restart"/>
          </w:tcPr>
          <w:p>
            <w:pPr>
              <w:spacing w:after="0"/>
              <w:rPr>
                <w:sz w:val="20"/>
                <w:szCs w:val="20"/>
                <w:color w:val="auto"/>
              </w:rPr>
            </w:pPr>
            <w:r>
              <w:rPr>
                <w:rFonts w:ascii="Arial" w:cs="Arial" w:eastAsia="Arial" w:hAnsi="Arial"/>
                <w:sz w:val="18"/>
                <w:szCs w:val="18"/>
                <w:color w:val="auto"/>
              </w:rPr>
              <w:t>As a percentage of total revenue</w:t>
            </w:r>
          </w:p>
        </w:tc>
        <w:tc>
          <w:tcPr>
            <w:tcW w:w="1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gridSpan w:val="3"/>
            <w:vMerge w:val="restart"/>
          </w:tcPr>
          <w:p>
            <w:pPr>
              <w:jc w:val="right"/>
              <w:spacing w:after="0"/>
              <w:rPr>
                <w:sz w:val="20"/>
                <w:szCs w:val="20"/>
                <w:color w:val="auto"/>
              </w:rPr>
            </w:pPr>
            <w:r>
              <w:rPr>
                <w:rFonts w:ascii="Arial" w:cs="Arial" w:eastAsia="Arial" w:hAnsi="Arial"/>
                <w:sz w:val="18"/>
                <w:szCs w:val="18"/>
                <w:color w:val="auto"/>
              </w:rPr>
              <w:t>(1)%</w:t>
            </w:r>
          </w:p>
        </w:tc>
        <w:tc>
          <w:tcPr>
            <w:tcW w:w="4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3060" w:type="dxa"/>
            <w:vAlign w:val="bottom"/>
            <w:gridSpan w:val="3"/>
            <w:vMerge w:val="continue"/>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0" w:type="dxa"/>
            <w:vAlign w:val="bottom"/>
            <w:gridSpan w:val="3"/>
            <w:vMerge w:val="continu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3060" w:type="dxa"/>
            <w:vAlign w:val="bottom"/>
            <w:gridSpan w:val="3"/>
            <w:vMerge w:val="continue"/>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gridSpan w:val="2"/>
          </w:tcPr>
          <w:p>
            <w:pPr>
              <w:jc w:val="right"/>
              <w:spacing w:after="0" w:line="203" w:lineRule="exact"/>
              <w:rPr>
                <w:sz w:val="20"/>
                <w:szCs w:val="20"/>
                <w:color w:val="auto"/>
              </w:rPr>
            </w:pPr>
            <w:r>
              <w:rPr>
                <w:rFonts w:ascii="Arial" w:cs="Arial" w:eastAsia="Arial" w:hAnsi="Arial"/>
                <w:sz w:val="18"/>
                <w:szCs w:val="18"/>
                <w:color w:val="auto"/>
              </w:rPr>
              <w:t>7%</w:t>
            </w:r>
          </w:p>
        </w:tc>
        <w:tc>
          <w:tcPr>
            <w:tcW w:w="1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gridSpan w:val="3"/>
            <w:vMerge w:val="continue"/>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gridSpan w:val="3"/>
          </w:tcPr>
          <w:p>
            <w:pPr>
              <w:jc w:val="right"/>
              <w:ind w:right="20"/>
              <w:spacing w:after="0" w:line="203" w:lineRule="exact"/>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778"/>
        </w:trPr>
        <w:tc>
          <w:tcPr>
            <w:tcW w:w="2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400" w:type="dxa"/>
            <w:vAlign w:val="bottom"/>
            <w:gridSpan w:val="7"/>
          </w:tcPr>
          <w:p>
            <w:pPr>
              <w:jc w:val="center"/>
              <w:ind w:right="300"/>
              <w:spacing w:after="0"/>
              <w:rPr>
                <w:sz w:val="20"/>
                <w:szCs w:val="20"/>
                <w:color w:val="auto"/>
              </w:rPr>
            </w:pPr>
            <w:r>
              <w:rPr>
                <w:rFonts w:ascii="Arial" w:cs="Arial" w:eastAsia="Arial" w:hAnsi="Arial"/>
                <w:sz w:val="14"/>
                <w:szCs w:val="14"/>
                <w:b w:val="1"/>
                <w:bCs w:val="1"/>
                <w:color w:val="auto"/>
                <w:w w:val="88"/>
              </w:rPr>
              <w:t>Nine Months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3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20" w:type="dxa"/>
            <w:vAlign w:val="bottom"/>
            <w:gridSpan w:val="6"/>
          </w:tcPr>
          <w:p>
            <w:pPr>
              <w:jc w:val="center"/>
              <w:ind w:right="480"/>
              <w:spacing w:after="0" w:line="149" w:lineRule="exact"/>
              <w:rPr>
                <w:sz w:val="20"/>
                <w:szCs w:val="20"/>
                <w:color w:val="auto"/>
              </w:rPr>
            </w:pPr>
            <w:r>
              <w:rPr>
                <w:rFonts w:ascii="Arial" w:cs="Arial" w:eastAsia="Arial" w:hAnsi="Arial"/>
                <w:sz w:val="14"/>
                <w:szCs w:val="14"/>
                <w:b w:val="1"/>
                <w:bCs w:val="1"/>
                <w:color w:val="auto"/>
                <w:w w:val="88"/>
              </w:rPr>
              <w:t>Ended</w:t>
            </w:r>
          </w:p>
        </w:tc>
        <w:tc>
          <w:tcPr>
            <w:tcW w:w="0" w:type="dxa"/>
            <w:vAlign w:val="bottom"/>
          </w:tcPr>
          <w:p>
            <w:pPr>
              <w:spacing w:after="0"/>
              <w:rPr>
                <w:sz w:val="1"/>
                <w:szCs w:val="1"/>
                <w:color w:val="auto"/>
              </w:rPr>
            </w:pPr>
          </w:p>
        </w:tc>
      </w:tr>
      <w:tr>
        <w:trPr>
          <w:trHeight w:val="161"/>
        </w:trPr>
        <w:tc>
          <w:tcPr>
            <w:tcW w:w="30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As a Percentage of Segment Revenue</w:t>
            </w: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00" w:type="dxa"/>
            <w:vAlign w:val="bottom"/>
            <w:gridSpan w:val="7"/>
          </w:tcPr>
          <w:p>
            <w:pPr>
              <w:jc w:val="center"/>
              <w:ind w:right="300"/>
              <w:spacing w:after="0"/>
              <w:rPr>
                <w:sz w:val="20"/>
                <w:szCs w:val="20"/>
                <w:color w:val="auto"/>
              </w:rPr>
            </w:pPr>
            <w:r>
              <w:rPr>
                <w:rFonts w:ascii="Arial" w:cs="Arial" w:eastAsia="Arial" w:hAnsi="Arial"/>
                <w:sz w:val="14"/>
                <w:szCs w:val="14"/>
                <w:b w:val="1"/>
                <w:bCs w:val="1"/>
                <w:color w:val="auto"/>
                <w:w w:val="85"/>
              </w:rPr>
              <w:t>September 30,</w:t>
            </w:r>
          </w:p>
        </w:tc>
        <w:tc>
          <w:tcPr>
            <w:tcW w:w="0" w:type="dxa"/>
            <w:vAlign w:val="bottom"/>
          </w:tcPr>
          <w:p>
            <w:pPr>
              <w:spacing w:after="0"/>
              <w:rPr>
                <w:sz w:val="1"/>
                <w:szCs w:val="1"/>
                <w:color w:val="auto"/>
              </w:rPr>
            </w:pPr>
          </w:p>
        </w:tc>
      </w:tr>
      <w:tr>
        <w:trPr>
          <w:trHeight w:val="142"/>
        </w:trPr>
        <w:tc>
          <w:tcPr>
            <w:tcW w:w="3060" w:type="dxa"/>
            <w:vAlign w:val="bottom"/>
            <w:gridSpan w:val="3"/>
            <w:vMerge w:val="continue"/>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20" w:type="dxa"/>
            <w:vAlign w:val="bottom"/>
            <w:tcBorders>
              <w:top w:val="single" w:sz="8" w:color="auto"/>
            </w:tcBorders>
            <w:gridSpan w:val="2"/>
          </w:tcPr>
          <w:p>
            <w:pPr>
              <w:jc w:val="right"/>
              <w:ind w:right="2"/>
              <w:spacing w:after="0" w:line="142" w:lineRule="exact"/>
              <w:rPr>
                <w:sz w:val="20"/>
                <w:szCs w:val="20"/>
                <w:color w:val="auto"/>
              </w:rPr>
            </w:pPr>
            <w:r>
              <w:rPr>
                <w:rFonts w:ascii="Arial" w:cs="Arial" w:eastAsia="Arial" w:hAnsi="Arial"/>
                <w:sz w:val="14"/>
                <w:szCs w:val="14"/>
                <w:b w:val="1"/>
                <w:bCs w:val="1"/>
                <w:color w:val="auto"/>
              </w:rPr>
              <w:t>2010</w:t>
            </w:r>
          </w:p>
        </w:tc>
        <w:tc>
          <w:tcPr>
            <w:tcW w:w="4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44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2009</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2300" w:type="dxa"/>
            <w:vAlign w:val="bottom"/>
            <w:shd w:val="clear" w:color="auto" w:fill="000000"/>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2300" w:type="dxa"/>
            <w:vAlign w:val="bottom"/>
            <w:shd w:val="clear" w:color="auto" w:fill="CCEEFF"/>
          </w:tcPr>
          <w:p>
            <w:pPr>
              <w:spacing w:after="0"/>
              <w:rPr>
                <w:sz w:val="20"/>
                <w:szCs w:val="20"/>
                <w:color w:val="auto"/>
              </w:rPr>
            </w:pPr>
            <w:r>
              <w:rPr>
                <w:rFonts w:ascii="Arial" w:cs="Arial" w:eastAsia="Arial" w:hAnsi="Arial"/>
                <w:sz w:val="18"/>
                <w:szCs w:val="18"/>
                <w:color w:val="auto"/>
              </w:rPr>
              <w:t>LendingTree Loans</w:t>
            </w: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60" w:type="dxa"/>
            <w:vAlign w:val="bottom"/>
            <w:gridSpan w:val="4"/>
            <w:shd w:val="clear" w:color="auto" w:fill="CCEEFF"/>
          </w:tcPr>
          <w:p>
            <w:pPr>
              <w:jc w:val="center"/>
              <w:ind w:left="87"/>
              <w:spacing w:after="0"/>
              <w:rPr>
                <w:sz w:val="20"/>
                <w:szCs w:val="20"/>
                <w:color w:val="auto"/>
              </w:rPr>
            </w:pPr>
            <w:r>
              <w:rPr>
                <w:rFonts w:ascii="Arial" w:cs="Arial" w:eastAsia="Arial" w:hAnsi="Arial"/>
                <w:sz w:val="18"/>
                <w:szCs w:val="18"/>
                <w:color w:val="auto"/>
                <w:w w:val="94"/>
              </w:rPr>
              <w:t>29%</w:t>
            </w:r>
          </w:p>
        </w:tc>
        <w:tc>
          <w:tcPr>
            <w:tcW w:w="74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40" w:type="dxa"/>
            <w:vAlign w:val="bottom"/>
            <w:gridSpan w:val="2"/>
          </w:tcPr>
          <w:p>
            <w:pPr>
              <w:spacing w:after="0"/>
              <w:rPr>
                <w:sz w:val="20"/>
                <w:szCs w:val="20"/>
                <w:color w:val="auto"/>
              </w:rPr>
            </w:pPr>
            <w:r>
              <w:rPr>
                <w:rFonts w:ascii="Arial" w:cs="Arial" w:eastAsia="Arial" w:hAnsi="Arial"/>
                <w:sz w:val="18"/>
                <w:szCs w:val="18"/>
                <w:color w:val="auto"/>
              </w:rPr>
              <w:t>Exchanges</w:t>
            </w: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80" w:type="dxa"/>
            <w:vAlign w:val="bottom"/>
            <w:gridSpan w:val="3"/>
          </w:tcPr>
          <w:p>
            <w:pPr>
              <w:jc w:val="center"/>
              <w:ind w:right="20"/>
              <w:spacing w:after="0"/>
              <w:rPr>
                <w:sz w:val="20"/>
                <w:szCs w:val="20"/>
                <w:color w:val="auto"/>
              </w:rPr>
            </w:pPr>
            <w:r>
              <w:rPr>
                <w:rFonts w:ascii="Arial" w:cs="Arial" w:eastAsia="Arial" w:hAnsi="Arial"/>
                <w:sz w:val="18"/>
                <w:szCs w:val="18"/>
                <w:color w:val="auto"/>
                <w:w w:val="99"/>
              </w:rPr>
              <w:t>—%</w:t>
            </w:r>
          </w:p>
        </w:tc>
        <w:tc>
          <w:tcPr>
            <w:tcW w:w="740" w:type="dxa"/>
            <w:vAlign w:val="bottom"/>
            <w:gridSpan w:val="3"/>
          </w:tcPr>
          <w:p>
            <w:pPr>
              <w:jc w:val="right"/>
              <w:ind w:right="16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Real Estate</w:t>
            </w: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40" w:type="dxa"/>
            <w:vAlign w:val="bottom"/>
            <w:gridSpan w:val="5"/>
            <w:shd w:val="clear" w:color="auto" w:fill="CCEEFF"/>
          </w:tcPr>
          <w:p>
            <w:pPr>
              <w:jc w:val="center"/>
              <w:ind w:left="676"/>
              <w:spacing w:after="0"/>
              <w:rPr>
                <w:sz w:val="20"/>
                <w:szCs w:val="20"/>
                <w:color w:val="auto"/>
              </w:rPr>
            </w:pPr>
            <w:r>
              <w:rPr>
                <w:rFonts w:ascii="Arial" w:cs="Arial" w:eastAsia="Arial" w:hAnsi="Arial"/>
                <w:sz w:val="18"/>
                <w:szCs w:val="18"/>
                <w:color w:val="auto"/>
                <w:w w:val="91"/>
              </w:rPr>
              <w:t>(12)%</w:t>
            </w:r>
          </w:p>
        </w:tc>
        <w:tc>
          <w:tcPr>
            <w:tcW w:w="7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960" w:type="dxa"/>
            <w:vAlign w:val="bottom"/>
            <w:gridSpan w:val="5"/>
          </w:tcPr>
          <w:p>
            <w:pPr>
              <w:spacing w:after="0"/>
              <w:rPr>
                <w:sz w:val="20"/>
                <w:szCs w:val="20"/>
                <w:color w:val="auto"/>
              </w:rPr>
            </w:pPr>
            <w:r>
              <w:rPr>
                <w:rFonts w:ascii="Arial" w:cs="Arial" w:eastAsia="Arial" w:hAnsi="Arial"/>
                <w:sz w:val="18"/>
                <w:szCs w:val="18"/>
                <w:color w:val="auto"/>
                <w:w w:val="86"/>
              </w:rPr>
              <w:t>Unallocated—corporate, as a percentage of total revenue</w:t>
            </w:r>
          </w:p>
        </w:tc>
        <w:tc>
          <w:tcPr>
            <w:tcW w:w="1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gridSpan w:val="5"/>
          </w:tcPr>
          <w:p>
            <w:pPr>
              <w:jc w:val="center"/>
              <w:ind w:left="676"/>
              <w:spacing w:after="0"/>
              <w:rPr>
                <w:sz w:val="20"/>
                <w:szCs w:val="20"/>
                <w:color w:val="auto"/>
              </w:rPr>
            </w:pPr>
            <w:r>
              <w:rPr>
                <w:rFonts w:ascii="Arial" w:cs="Arial" w:eastAsia="Arial" w:hAnsi="Arial"/>
                <w:sz w:val="18"/>
                <w:szCs w:val="18"/>
                <w:color w:val="auto"/>
                <w:w w:val="91"/>
              </w:rPr>
              <w:t>(10)%</w:t>
            </w:r>
          </w:p>
        </w:tc>
        <w:tc>
          <w:tcPr>
            <w:tcW w:w="740" w:type="dxa"/>
            <w:vAlign w:val="bottom"/>
            <w:gridSpan w:val="3"/>
          </w:tcPr>
          <w:p>
            <w:pPr>
              <w:jc w:val="right"/>
              <w:ind w:right="10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bl>
    <w:p>
      <w:pPr>
        <w:spacing w:after="0" w:line="201" w:lineRule="exact"/>
        <w:rPr>
          <w:sz w:val="20"/>
          <w:szCs w:val="20"/>
          <w:color w:val="auto"/>
        </w:rPr>
      </w:pPr>
    </w:p>
    <w:p>
      <w:pPr>
        <w:ind w:right="80" w:firstLine="341"/>
        <w:spacing w:after="0" w:line="255" w:lineRule="auto"/>
        <w:rPr>
          <w:sz w:val="20"/>
          <w:szCs w:val="20"/>
          <w:color w:val="auto"/>
        </w:rPr>
      </w:pPr>
      <w:r>
        <w:rPr>
          <w:rFonts w:ascii="Arial" w:cs="Arial" w:eastAsia="Arial" w:hAnsi="Arial"/>
          <w:sz w:val="18"/>
          <w:szCs w:val="18"/>
          <w:color w:val="auto"/>
        </w:rPr>
        <w:t>Adjusted EBITDA in 2010 decreased, reflecting a decrease in revenue at LendingTree Loans and an increase in marketing expense as described above. Revenue at LendingTree Loans was down compared to the same period in 2009 due to a decrease in loan closing rates. The decrease in loan closing rates was primarily driven by tight secondary credit markets that are unable to serve many consumers who do not have sufficient collateral value or are not eligible for conforming prime first-lien position loans. Marketing expense was increased in 2010 to combat the absence of a swift decline in interest rates like the market had experienced in 2009.</w:t>
      </w:r>
    </w:p>
    <w:p>
      <w:pPr>
        <w:spacing w:after="0" w:line="197"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Operating income (loss)</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For the three months ended September 30, 2010 compared to the three months ended September 30, 2009:</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300" w:type="dxa"/>
            <w:vAlign w:val="bottom"/>
          </w:tcPr>
          <w:p>
            <w:pPr>
              <w:spacing w:after="0"/>
              <w:rPr>
                <w:sz w:val="14"/>
                <w:szCs w:val="14"/>
                <w:color w:val="auto"/>
              </w:rPr>
            </w:pPr>
          </w:p>
        </w:tc>
        <w:tc>
          <w:tcPr>
            <w:tcW w:w="32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700" w:type="dxa"/>
            <w:vAlign w:val="bottom"/>
            <w:tcBorders>
              <w:bottom w:val="single" w:sz="8" w:color="auto"/>
            </w:tcBorders>
            <w:gridSpan w:val="8"/>
          </w:tcPr>
          <w:p>
            <w:pPr>
              <w:jc w:val="right"/>
              <w:ind w:right="23"/>
              <w:spacing w:after="0"/>
              <w:rPr>
                <w:sz w:val="20"/>
                <w:szCs w:val="20"/>
                <w:color w:val="auto"/>
              </w:rPr>
            </w:pPr>
            <w:r>
              <w:rPr>
                <w:rFonts w:ascii="Arial" w:cs="Arial" w:eastAsia="Arial" w:hAnsi="Arial"/>
                <w:sz w:val="14"/>
                <w:szCs w:val="14"/>
                <w:b w:val="1"/>
                <w:bCs w:val="1"/>
                <w:color w:val="auto"/>
              </w:rPr>
              <w:t>Three Months Ended September 30,</w:t>
            </w:r>
          </w:p>
        </w:tc>
        <w:tc>
          <w:tcPr>
            <w:tcW w:w="540" w:type="dxa"/>
            <w:vAlign w:val="bottom"/>
            <w:tcBorders>
              <w:bottom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300" w:type="dxa"/>
            <w:vAlign w:val="bottom"/>
          </w:tcPr>
          <w:p>
            <w:pPr>
              <w:spacing w:after="0"/>
              <w:rPr>
                <w:sz w:val="12"/>
                <w:szCs w:val="12"/>
                <w:color w:val="auto"/>
              </w:rPr>
            </w:pPr>
          </w:p>
        </w:tc>
        <w:tc>
          <w:tcPr>
            <w:tcW w:w="320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37"/>
              <w:spacing w:after="0" w:line="142" w:lineRule="exact"/>
              <w:rPr>
                <w:sz w:val="20"/>
                <w:szCs w:val="20"/>
                <w:color w:val="auto"/>
              </w:rPr>
            </w:pPr>
            <w:r>
              <w:rPr>
                <w:rFonts w:ascii="Arial" w:cs="Arial" w:eastAsia="Arial" w:hAnsi="Arial"/>
                <w:sz w:val="14"/>
                <w:szCs w:val="14"/>
                <w:b w:val="1"/>
                <w:bCs w:val="1"/>
                <w:color w:val="auto"/>
              </w:rPr>
              <w:t>2010</w:t>
            </w:r>
          </w:p>
        </w:tc>
        <w:tc>
          <w:tcPr>
            <w:tcW w:w="160" w:type="dxa"/>
            <w:vAlign w:val="bottom"/>
          </w:tcPr>
          <w:p>
            <w:pPr>
              <w:spacing w:after="0"/>
              <w:rPr>
                <w:sz w:val="12"/>
                <w:szCs w:val="12"/>
                <w:color w:val="auto"/>
              </w:rPr>
            </w:pPr>
          </w:p>
        </w:tc>
        <w:tc>
          <w:tcPr>
            <w:tcW w:w="1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w:t>
            </w:r>
          </w:p>
        </w:tc>
        <w:tc>
          <w:tcPr>
            <w:tcW w:w="560" w:type="dxa"/>
            <w:vAlign w:val="bottom"/>
            <w:tcBorders>
              <w:bottom w:val="single" w:sz="8" w:color="auto"/>
            </w:tcBorders>
          </w:tcPr>
          <w:p>
            <w:pPr>
              <w:jc w:val="right"/>
              <w:ind w:right="18"/>
              <w:spacing w:after="0" w:line="142" w:lineRule="exact"/>
              <w:rPr>
                <w:sz w:val="20"/>
                <w:szCs w:val="20"/>
                <w:color w:val="auto"/>
              </w:rPr>
            </w:pPr>
            <w:r>
              <w:rPr>
                <w:rFonts w:ascii="Arial" w:cs="Arial" w:eastAsia="Arial" w:hAnsi="Arial"/>
                <w:sz w:val="14"/>
                <w:szCs w:val="14"/>
                <w:b w:val="1"/>
                <w:bCs w:val="1"/>
                <w:color w:val="auto"/>
                <w:w w:val="85"/>
              </w:rPr>
              <w:t>Change</w:t>
            </w:r>
          </w:p>
        </w:tc>
        <w:tc>
          <w:tcPr>
            <w:tcW w:w="160" w:type="dxa"/>
            <w:vAlign w:val="bottom"/>
          </w:tcPr>
          <w:p>
            <w:pPr>
              <w:spacing w:after="0"/>
              <w:rPr>
                <w:sz w:val="12"/>
                <w:szCs w:val="12"/>
                <w:color w:val="auto"/>
              </w:rPr>
            </w:pPr>
          </w:p>
        </w:tc>
        <w:tc>
          <w:tcPr>
            <w:tcW w:w="7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7"/>
              </w:rPr>
              <w:t>% Change</w:t>
            </w:r>
          </w:p>
        </w:tc>
        <w:tc>
          <w:tcPr>
            <w:tcW w:w="18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115"/>
              <w:spacing w:after="0" w:line="142" w:lineRule="exact"/>
              <w:rPr>
                <w:sz w:val="20"/>
                <w:szCs w:val="20"/>
                <w:color w:val="auto"/>
              </w:rPr>
            </w:pPr>
            <w:r>
              <w:rPr>
                <w:rFonts w:ascii="Arial" w:cs="Arial" w:eastAsia="Arial" w:hAnsi="Arial"/>
                <w:sz w:val="14"/>
                <w:szCs w:val="14"/>
                <w:b w:val="1"/>
                <w:bCs w:val="1"/>
                <w:color w:val="auto"/>
              </w:rPr>
              <w:t>2009</w:t>
            </w:r>
          </w:p>
        </w:tc>
        <w:tc>
          <w:tcPr>
            <w:tcW w:w="30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300" w:type="dxa"/>
            <w:vAlign w:val="bottom"/>
          </w:tcPr>
          <w:p>
            <w:pPr>
              <w:spacing w:after="0"/>
              <w:rPr>
                <w:sz w:val="12"/>
                <w:szCs w:val="12"/>
                <w:color w:val="auto"/>
              </w:rPr>
            </w:pPr>
          </w:p>
        </w:tc>
        <w:tc>
          <w:tcPr>
            <w:tcW w:w="3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40" w:type="dxa"/>
            <w:vAlign w:val="bottom"/>
            <w:gridSpan w:val="4"/>
          </w:tcPr>
          <w:p>
            <w:pPr>
              <w:jc w:val="right"/>
              <w:ind w:right="360"/>
              <w:spacing w:after="0" w:line="142" w:lineRule="exact"/>
              <w:rPr>
                <w:sz w:val="20"/>
                <w:szCs w:val="20"/>
                <w:color w:val="auto"/>
              </w:rPr>
            </w:pPr>
            <w:r>
              <w:rPr>
                <w:rFonts w:ascii="Arial" w:cs="Arial" w:eastAsia="Arial" w:hAnsi="Arial"/>
                <w:sz w:val="14"/>
                <w:szCs w:val="14"/>
                <w:b w:val="1"/>
                <w:bCs w:val="1"/>
                <w:color w:val="auto"/>
                <w:w w:val="85"/>
              </w:rPr>
              <w:t>(Dollars in thousands)</w:t>
            </w: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300" w:type="dxa"/>
            <w:vAlign w:val="bottom"/>
          </w:tcPr>
          <w:p>
            <w:pPr>
              <w:spacing w:after="0"/>
              <w:rPr>
                <w:sz w:val="18"/>
                <w:szCs w:val="18"/>
                <w:color w:val="auto"/>
              </w:rPr>
            </w:pPr>
          </w:p>
        </w:tc>
        <w:tc>
          <w:tcPr>
            <w:tcW w:w="3200" w:type="dxa"/>
            <w:vAlign w:val="bottom"/>
            <w:shd w:val="clear" w:color="auto" w:fill="CCEEFF"/>
          </w:tcPr>
          <w:p>
            <w:pPr>
              <w:spacing w:after="0"/>
              <w:rPr>
                <w:sz w:val="20"/>
                <w:szCs w:val="20"/>
                <w:color w:val="auto"/>
              </w:rPr>
            </w:pPr>
            <w:r>
              <w:rPr>
                <w:rFonts w:ascii="Arial" w:cs="Arial" w:eastAsia="Arial" w:hAnsi="Arial"/>
                <w:sz w:val="18"/>
                <w:szCs w:val="18"/>
                <w:color w:val="auto"/>
              </w:rPr>
              <w:t>LendingTree Loans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10,539</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7,548</w:t>
            </w: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252%</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2,991</w:t>
            </w:r>
          </w:p>
        </w:tc>
        <w:tc>
          <w:tcPr>
            <w:tcW w:w="300" w:type="dxa"/>
            <w:vAlign w:val="bottom"/>
            <w:shd w:val="clear" w:color="auto" w:fill="CCEEFF"/>
          </w:tcPr>
          <w:p>
            <w:pPr>
              <w:spacing w:after="0"/>
              <w:rPr>
                <w:sz w:val="18"/>
                <w:szCs w:val="18"/>
                <w:color w:val="auto"/>
              </w:rPr>
            </w:pP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00" w:type="dxa"/>
            <w:vAlign w:val="bottom"/>
          </w:tcPr>
          <w:p>
            <w:pPr>
              <w:spacing w:after="0"/>
              <w:rPr>
                <w:sz w:val="18"/>
                <w:szCs w:val="18"/>
                <w:color w:val="auto"/>
              </w:rPr>
            </w:pPr>
          </w:p>
        </w:tc>
        <w:tc>
          <w:tcPr>
            <w:tcW w:w="3200" w:type="dxa"/>
            <w:vAlign w:val="bottom"/>
          </w:tcPr>
          <w:p>
            <w:pPr>
              <w:spacing w:after="0"/>
              <w:rPr>
                <w:sz w:val="20"/>
                <w:szCs w:val="20"/>
                <w:color w:val="auto"/>
              </w:rPr>
            </w:pPr>
            <w:r>
              <w:rPr>
                <w:rFonts w:ascii="Arial" w:cs="Arial" w:eastAsia="Arial" w:hAnsi="Arial"/>
                <w:sz w:val="18"/>
                <w:szCs w:val="18"/>
                <w:color w:val="auto"/>
              </w:rPr>
              <w:t>Exchanges</w:t>
            </w:r>
          </w:p>
        </w:tc>
        <w:tc>
          <w:tcPr>
            <w:tcW w:w="10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(1,319)</w:t>
            </w:r>
          </w:p>
        </w:tc>
        <w:tc>
          <w:tcPr>
            <w:tcW w:w="160" w:type="dxa"/>
            <w:vAlign w:val="bottom"/>
          </w:tcPr>
          <w:p>
            <w:pPr>
              <w:spacing w:after="0"/>
              <w:rPr>
                <w:sz w:val="18"/>
                <w:szCs w:val="18"/>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rPr>
              <w:t>(2,213)</w:t>
            </w: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rPr>
              <w:t>NM</w:t>
            </w: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894</w:t>
            </w:r>
          </w:p>
        </w:tc>
        <w:tc>
          <w:tcPr>
            <w:tcW w:w="30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00" w:type="dxa"/>
            <w:vAlign w:val="bottom"/>
          </w:tcPr>
          <w:p>
            <w:pPr>
              <w:spacing w:after="0"/>
              <w:rPr>
                <w:sz w:val="18"/>
                <w:szCs w:val="18"/>
                <w:color w:val="auto"/>
              </w:rPr>
            </w:pPr>
          </w:p>
        </w:tc>
        <w:tc>
          <w:tcPr>
            <w:tcW w:w="3200" w:type="dxa"/>
            <w:vAlign w:val="bottom"/>
            <w:shd w:val="clear" w:color="auto" w:fill="CCEEFF"/>
          </w:tcPr>
          <w:p>
            <w:pPr>
              <w:spacing w:after="0"/>
              <w:rPr>
                <w:sz w:val="20"/>
                <w:szCs w:val="20"/>
                <w:color w:val="auto"/>
              </w:rPr>
            </w:pPr>
            <w:r>
              <w:rPr>
                <w:rFonts w:ascii="Arial" w:cs="Arial" w:eastAsia="Arial" w:hAnsi="Arial"/>
                <w:sz w:val="18"/>
                <w:szCs w:val="18"/>
                <w:color w:val="auto"/>
              </w:rPr>
              <w:t>Real Estate</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(1,182)</w:t>
            </w: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532</w:t>
            </w: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31%</w:t>
            </w: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52"/>
              <w:spacing w:after="0"/>
              <w:rPr>
                <w:sz w:val="20"/>
                <w:szCs w:val="20"/>
                <w:color w:val="auto"/>
              </w:rPr>
            </w:pPr>
            <w:r>
              <w:rPr>
                <w:rFonts w:ascii="Arial" w:cs="Arial" w:eastAsia="Arial" w:hAnsi="Arial"/>
                <w:sz w:val="18"/>
                <w:szCs w:val="18"/>
                <w:color w:val="auto"/>
              </w:rPr>
              <w:t>(1,714)</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300" w:type="dxa"/>
            <w:vAlign w:val="bottom"/>
          </w:tcPr>
          <w:p>
            <w:pPr>
              <w:spacing w:after="0"/>
              <w:rPr>
                <w:sz w:val="19"/>
                <w:szCs w:val="19"/>
                <w:color w:val="auto"/>
              </w:rPr>
            </w:pPr>
          </w:p>
        </w:tc>
        <w:tc>
          <w:tcPr>
            <w:tcW w:w="3200" w:type="dxa"/>
            <w:vAlign w:val="bottom"/>
          </w:tcPr>
          <w:p>
            <w:pPr>
              <w:spacing w:after="0"/>
              <w:rPr>
                <w:sz w:val="20"/>
                <w:szCs w:val="20"/>
                <w:color w:val="auto"/>
              </w:rPr>
            </w:pPr>
            <w:r>
              <w:rPr>
                <w:rFonts w:ascii="Arial" w:cs="Arial" w:eastAsia="Arial" w:hAnsi="Arial"/>
                <w:sz w:val="18"/>
                <w:szCs w:val="18"/>
                <w:color w:val="auto"/>
              </w:rPr>
              <w:t>Unallocated—corporate</w:t>
            </w:r>
          </w:p>
        </w:tc>
        <w:tc>
          <w:tcPr>
            <w:tcW w:w="100" w:type="dxa"/>
            <w:vAlign w:val="bottom"/>
          </w:tcPr>
          <w:p>
            <w:pPr>
              <w:spacing w:after="0"/>
              <w:rPr>
                <w:sz w:val="19"/>
                <w:szCs w:val="19"/>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(6,117)</w:t>
            </w:r>
          </w:p>
        </w:tc>
        <w:tc>
          <w:tcPr>
            <w:tcW w:w="1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3,496</w:t>
            </w:r>
          </w:p>
        </w:tc>
        <w:tc>
          <w:tcPr>
            <w:tcW w:w="160" w:type="dxa"/>
            <w:vAlign w:val="bottom"/>
          </w:tcPr>
          <w:p>
            <w:pPr>
              <w:spacing w:after="0"/>
              <w:rPr>
                <w:sz w:val="19"/>
                <w:szCs w:val="19"/>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36%</w:t>
            </w:r>
          </w:p>
        </w:tc>
        <w:tc>
          <w:tcPr>
            <w:tcW w:w="140" w:type="dxa"/>
            <w:vAlign w:val="bottom"/>
          </w:tcPr>
          <w:p>
            <w:pPr>
              <w:spacing w:after="0"/>
              <w:rPr>
                <w:sz w:val="19"/>
                <w:szCs w:val="19"/>
                <w:color w:val="auto"/>
              </w:rPr>
            </w:pPr>
          </w:p>
        </w:tc>
        <w:tc>
          <w:tcPr>
            <w:tcW w:w="840" w:type="dxa"/>
            <w:vAlign w:val="bottom"/>
            <w:gridSpan w:val="2"/>
          </w:tcPr>
          <w:p>
            <w:pPr>
              <w:jc w:val="right"/>
              <w:ind w:right="152"/>
              <w:spacing w:after="0"/>
              <w:rPr>
                <w:sz w:val="20"/>
                <w:szCs w:val="20"/>
                <w:color w:val="auto"/>
              </w:rPr>
            </w:pPr>
            <w:r>
              <w:rPr>
                <w:rFonts w:ascii="Arial" w:cs="Arial" w:eastAsia="Arial" w:hAnsi="Arial"/>
                <w:sz w:val="18"/>
                <w:szCs w:val="18"/>
                <w:color w:val="auto"/>
              </w:rPr>
              <w:t>(9,613)</w:t>
            </w:r>
          </w:p>
        </w:tc>
        <w:tc>
          <w:tcPr>
            <w:tcW w:w="2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300" w:type="dxa"/>
            <w:vAlign w:val="bottom"/>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300" w:type="dxa"/>
            <w:vAlign w:val="bottom"/>
          </w:tcPr>
          <w:p>
            <w:pPr>
              <w:spacing w:after="0"/>
              <w:rPr>
                <w:sz w:val="18"/>
                <w:szCs w:val="18"/>
                <w:color w:val="auto"/>
              </w:rPr>
            </w:pPr>
          </w:p>
        </w:tc>
        <w:tc>
          <w:tcPr>
            <w:tcW w:w="320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 (loss)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1,921</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9,363</w:t>
            </w: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NM</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shd w:val="clear" w:color="auto" w:fill="CCEEFF"/>
          </w:tcPr>
          <w:p>
            <w:pPr>
              <w:jc w:val="right"/>
              <w:ind w:right="152"/>
              <w:spacing w:after="0"/>
              <w:rPr>
                <w:sz w:val="20"/>
                <w:szCs w:val="20"/>
                <w:color w:val="auto"/>
              </w:rPr>
            </w:pPr>
            <w:r>
              <w:rPr>
                <w:rFonts w:ascii="Arial" w:cs="Arial" w:eastAsia="Arial" w:hAnsi="Arial"/>
                <w:sz w:val="18"/>
                <w:szCs w:val="18"/>
                <w:color w:val="auto"/>
              </w:rPr>
              <w:t>(7,442)</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5500" w:type="dxa"/>
            <w:vAlign w:val="bottom"/>
            <w:gridSpan w:val="2"/>
            <w:vMerge w:val="restart"/>
          </w:tcPr>
          <w:p>
            <w:pPr>
              <w:ind w:left="2300"/>
              <w:spacing w:after="0"/>
              <w:rPr>
                <w:sz w:val="20"/>
                <w:szCs w:val="20"/>
                <w:color w:val="auto"/>
              </w:rPr>
            </w:pPr>
            <w:r>
              <w:rPr>
                <w:rFonts w:ascii="Arial" w:cs="Arial" w:eastAsia="Arial" w:hAnsi="Arial"/>
                <w:sz w:val="18"/>
                <w:szCs w:val="18"/>
                <w:color w:val="auto"/>
              </w:rPr>
              <w:t>As a percentage of total revenue</w:t>
            </w:r>
          </w:p>
        </w:tc>
        <w:tc>
          <w:tcPr>
            <w:tcW w:w="1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920" w:type="dxa"/>
            <w:vAlign w:val="bottom"/>
            <w:gridSpan w:val="2"/>
            <w:vMerge w:val="restart"/>
          </w:tcPr>
          <w:p>
            <w:pPr>
              <w:jc w:val="right"/>
              <w:ind w:right="20"/>
              <w:spacing w:after="0"/>
              <w:rPr>
                <w:sz w:val="20"/>
                <w:szCs w:val="20"/>
                <w:color w:val="auto"/>
              </w:rPr>
            </w:pPr>
            <w:r>
              <w:rPr>
                <w:rFonts w:ascii="Arial" w:cs="Arial" w:eastAsia="Arial" w:hAnsi="Arial"/>
                <w:sz w:val="18"/>
                <w:szCs w:val="18"/>
                <w:color w:val="auto"/>
              </w:rPr>
              <w:t>19%</w:t>
            </w:r>
          </w:p>
        </w:tc>
        <w:tc>
          <w:tcPr>
            <w:tcW w:w="1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22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500" w:type="dxa"/>
            <w:vAlign w:val="bottom"/>
            <w:gridSpan w:val="2"/>
            <w:vMerge w:val="continue"/>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gridSpan w:val="2"/>
            <w:vMerge w:val="continue"/>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50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gridSpan w:val="2"/>
          </w:tcPr>
          <w:p>
            <w:pPr>
              <w:jc w:val="right"/>
              <w:ind w:right="20"/>
              <w:spacing w:after="0" w:line="203" w:lineRule="exact"/>
              <w:rPr>
                <w:sz w:val="20"/>
                <w:szCs w:val="20"/>
                <w:color w:val="auto"/>
              </w:rPr>
            </w:pPr>
            <w:r>
              <w:rPr>
                <w:rFonts w:ascii="Arial" w:cs="Arial" w:eastAsia="Arial" w:hAnsi="Arial"/>
                <w:sz w:val="18"/>
                <w:szCs w:val="18"/>
                <w:color w:val="auto"/>
              </w:rPr>
              <w:t>4%</w:t>
            </w:r>
          </w:p>
        </w:tc>
        <w:tc>
          <w:tcPr>
            <w:tcW w:w="1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gridSpan w:val="2"/>
            <w:vMerge w:val="continue"/>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jc w:val="right"/>
              <w:spacing w:after="0" w:line="203" w:lineRule="exact"/>
              <w:rPr>
                <w:sz w:val="20"/>
                <w:szCs w:val="20"/>
                <w:color w:val="auto"/>
              </w:rPr>
            </w:pPr>
            <w:r>
              <w:rPr>
                <w:rFonts w:ascii="Arial" w:cs="Arial" w:eastAsia="Arial" w:hAnsi="Arial"/>
                <w:sz w:val="18"/>
                <w:szCs w:val="18"/>
                <w:color w:val="auto"/>
              </w:rPr>
              <w:t>(15)</w:t>
            </w:r>
          </w:p>
        </w:tc>
        <w:tc>
          <w:tcPr>
            <w:tcW w:w="300" w:type="dxa"/>
            <w:vAlign w:val="bottom"/>
          </w:tcPr>
          <w:p>
            <w:pPr>
              <w:jc w:val="right"/>
              <w:ind w:right="12"/>
              <w:spacing w:after="0" w:line="202" w:lineRule="exact"/>
              <w:rPr>
                <w:sz w:val="20"/>
                <w:szCs w:val="20"/>
                <w:color w:val="auto"/>
              </w:rPr>
            </w:pPr>
            <w:r>
              <w:rPr>
                <w:rFonts w:ascii="Arial" w:cs="Arial" w:eastAsia="Arial" w:hAnsi="Arial"/>
                <w:sz w:val="18"/>
                <w:szCs w:val="18"/>
                <w:color w:val="auto"/>
              </w:rPr>
              <w:t>%</w:t>
            </w:r>
          </w:p>
        </w:tc>
        <w:tc>
          <w:tcPr>
            <w:tcW w:w="2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24"/>
        </w:trPr>
        <w:tc>
          <w:tcPr>
            <w:tcW w:w="2300" w:type="dxa"/>
            <w:vAlign w:val="bottom"/>
          </w:tcPr>
          <w:p>
            <w:pPr>
              <w:spacing w:after="0"/>
              <w:rPr>
                <w:sz w:val="24"/>
                <w:szCs w:val="24"/>
                <w:color w:val="auto"/>
              </w:rPr>
            </w:pPr>
          </w:p>
        </w:tc>
        <w:tc>
          <w:tcPr>
            <w:tcW w:w="3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jc w:val="right"/>
              <w:ind w:right="317"/>
              <w:spacing w:after="0"/>
              <w:rPr>
                <w:sz w:val="20"/>
                <w:szCs w:val="20"/>
                <w:color w:val="auto"/>
              </w:rPr>
            </w:pPr>
            <w:r>
              <w:rPr>
                <w:rFonts w:ascii="Arial" w:cs="Arial" w:eastAsia="Arial" w:hAnsi="Arial"/>
                <w:sz w:val="18"/>
                <w:szCs w:val="18"/>
                <w:color w:val="auto"/>
                <w:w w:val="89"/>
              </w:rPr>
              <w:t>48</w:t>
            </w: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2300" w:type="dxa"/>
            <w:vAlign w:val="bottom"/>
            <w:tcBorders>
              <w:bottom w:val="single" w:sz="8" w:color="808080"/>
            </w:tcBorders>
          </w:tcPr>
          <w:p>
            <w:pPr>
              <w:spacing w:after="0"/>
              <w:rPr>
                <w:sz w:val="19"/>
                <w:szCs w:val="19"/>
                <w:color w:val="auto"/>
              </w:rPr>
            </w:pPr>
          </w:p>
        </w:tc>
        <w:tc>
          <w:tcPr>
            <w:tcW w:w="320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60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56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74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540" w:type="dxa"/>
            <w:vAlign w:val="bottom"/>
            <w:tcBorders>
              <w:bottom w:val="single" w:sz="8" w:color="808080"/>
            </w:tcBorders>
          </w:tcPr>
          <w:p>
            <w:pPr>
              <w:spacing w:after="0"/>
              <w:rPr>
                <w:sz w:val="19"/>
                <w:szCs w:val="19"/>
                <w:color w:val="auto"/>
              </w:rPr>
            </w:pPr>
          </w:p>
        </w:tc>
        <w:tc>
          <w:tcPr>
            <w:tcW w:w="300" w:type="dxa"/>
            <w:vAlign w:val="bottom"/>
            <w:tcBorders>
              <w:bottom w:val="single" w:sz="8" w:color="808080"/>
            </w:tcBorders>
          </w:tcPr>
          <w:p>
            <w:pPr>
              <w:spacing w:after="0"/>
              <w:rPr>
                <w:sz w:val="19"/>
                <w:szCs w:val="19"/>
                <w:color w:val="auto"/>
              </w:rPr>
            </w:pPr>
          </w:p>
        </w:tc>
        <w:tc>
          <w:tcPr>
            <w:tcW w:w="228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49" w:name="page50"/>
    <w:bookmarkEnd w:id="4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8" w:lineRule="exact"/>
        <w:rPr>
          <w:sz w:val="20"/>
          <w:szCs w:val="20"/>
          <w:color w:val="auto"/>
        </w:rPr>
      </w:pPr>
    </w:p>
    <w:tbl>
      <w:tblPr>
        <w:tblLayout w:type="fixed"/>
        <w:tblInd w:w="23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3120" w:type="dxa"/>
            <w:vAlign w:val="bottom"/>
          </w:tcPr>
          <w:p>
            <w:pPr>
              <w:spacing w:after="0"/>
              <w:rPr>
                <w:sz w:val="14"/>
                <w:szCs w:val="14"/>
                <w:color w:val="auto"/>
              </w:rPr>
            </w:pPr>
          </w:p>
        </w:tc>
        <w:tc>
          <w:tcPr>
            <w:tcW w:w="1400" w:type="dxa"/>
            <w:vAlign w:val="bottom"/>
            <w:gridSpan w:val="5"/>
          </w:tcPr>
          <w:p>
            <w:pPr>
              <w:jc w:val="center"/>
              <w:ind w:right="300"/>
              <w:spacing w:after="0"/>
              <w:rPr>
                <w:sz w:val="20"/>
                <w:szCs w:val="20"/>
                <w:color w:val="auto"/>
              </w:rPr>
            </w:pPr>
            <w:r>
              <w:rPr>
                <w:rFonts w:ascii="Arial" w:cs="Arial" w:eastAsia="Arial" w:hAnsi="Arial"/>
                <w:sz w:val="14"/>
                <w:szCs w:val="14"/>
                <w:b w:val="1"/>
                <w:bCs w:val="1"/>
                <w:color w:val="auto"/>
                <w:w w:val="89"/>
              </w:rPr>
              <w:t>Three Months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300" w:type="dxa"/>
            <w:vAlign w:val="bottom"/>
          </w:tcPr>
          <w:p>
            <w:pPr>
              <w:spacing w:after="0"/>
              <w:rPr>
                <w:sz w:val="12"/>
                <w:szCs w:val="12"/>
                <w:color w:val="auto"/>
              </w:rPr>
            </w:pPr>
          </w:p>
        </w:tc>
        <w:tc>
          <w:tcPr>
            <w:tcW w:w="3120" w:type="dxa"/>
            <w:vAlign w:val="bottom"/>
          </w:tcPr>
          <w:p>
            <w:pPr>
              <w:spacing w:after="0"/>
              <w:rPr>
                <w:sz w:val="12"/>
                <w:szCs w:val="12"/>
                <w:color w:val="auto"/>
              </w:rPr>
            </w:pPr>
          </w:p>
        </w:tc>
        <w:tc>
          <w:tcPr>
            <w:tcW w:w="740" w:type="dxa"/>
            <w:vAlign w:val="bottom"/>
            <w:gridSpan w:val="3"/>
          </w:tcPr>
          <w:p>
            <w:pPr>
              <w:jc w:val="center"/>
              <w:ind w:left="282"/>
              <w:spacing w:after="0" w:line="149" w:lineRule="exact"/>
              <w:rPr>
                <w:sz w:val="20"/>
                <w:szCs w:val="20"/>
                <w:color w:val="auto"/>
              </w:rPr>
            </w:pPr>
            <w:r>
              <w:rPr>
                <w:rFonts w:ascii="Arial" w:cs="Arial" w:eastAsia="Arial" w:hAnsi="Arial"/>
                <w:sz w:val="14"/>
                <w:szCs w:val="14"/>
                <w:b w:val="1"/>
                <w:bCs w:val="1"/>
                <w:color w:val="auto"/>
                <w:w w:val="88"/>
              </w:rPr>
              <w:t>Ended</w:t>
            </w:r>
          </w:p>
        </w:tc>
        <w:tc>
          <w:tcPr>
            <w:tcW w:w="3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54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As a Percentage of Segment Revenue</w:t>
            </w:r>
          </w:p>
        </w:tc>
        <w:tc>
          <w:tcPr>
            <w:tcW w:w="1400" w:type="dxa"/>
            <w:vAlign w:val="bottom"/>
            <w:gridSpan w:val="5"/>
          </w:tcPr>
          <w:p>
            <w:pPr>
              <w:jc w:val="center"/>
              <w:ind w:right="300"/>
              <w:spacing w:after="0"/>
              <w:rPr>
                <w:sz w:val="20"/>
                <w:szCs w:val="20"/>
                <w:color w:val="auto"/>
              </w:rPr>
            </w:pPr>
            <w:r>
              <w:rPr>
                <w:rFonts w:ascii="Arial" w:cs="Arial" w:eastAsia="Arial" w:hAnsi="Arial"/>
                <w:sz w:val="14"/>
                <w:szCs w:val="14"/>
                <w:b w:val="1"/>
                <w:bCs w:val="1"/>
                <w:color w:val="auto"/>
                <w:w w:val="85"/>
              </w:rPr>
              <w:t>September 30,</w:t>
            </w:r>
          </w:p>
        </w:tc>
        <w:tc>
          <w:tcPr>
            <w:tcW w:w="0" w:type="dxa"/>
            <w:vAlign w:val="bottom"/>
          </w:tcPr>
          <w:p>
            <w:pPr>
              <w:spacing w:after="0"/>
              <w:rPr>
                <w:sz w:val="1"/>
                <w:szCs w:val="1"/>
                <w:color w:val="auto"/>
              </w:rPr>
            </w:pPr>
          </w:p>
        </w:tc>
      </w:tr>
      <w:tr>
        <w:trPr>
          <w:trHeight w:val="142"/>
        </w:trPr>
        <w:tc>
          <w:tcPr>
            <w:tcW w:w="5440" w:type="dxa"/>
            <w:vAlign w:val="bottom"/>
            <w:gridSpan w:val="3"/>
            <w:vMerge w:val="continue"/>
          </w:tcPr>
          <w:p>
            <w:pPr>
              <w:spacing w:after="0"/>
              <w:rPr>
                <w:sz w:val="12"/>
                <w:szCs w:val="12"/>
                <w:color w:val="auto"/>
              </w:rPr>
            </w:pPr>
          </w:p>
        </w:tc>
        <w:tc>
          <w:tcPr>
            <w:tcW w:w="420" w:type="dxa"/>
            <w:vAlign w:val="bottom"/>
            <w:tcBorders>
              <w:top w:val="single" w:sz="8" w:color="auto"/>
            </w:tcBorders>
          </w:tcPr>
          <w:p>
            <w:pPr>
              <w:jc w:val="right"/>
              <w:ind w:right="2"/>
              <w:spacing w:after="0" w:line="142" w:lineRule="exact"/>
              <w:rPr>
                <w:sz w:val="20"/>
                <w:szCs w:val="20"/>
                <w:color w:val="auto"/>
              </w:rPr>
            </w:pPr>
            <w:r>
              <w:rPr>
                <w:rFonts w:ascii="Arial" w:cs="Arial" w:eastAsia="Arial" w:hAnsi="Arial"/>
                <w:sz w:val="14"/>
                <w:szCs w:val="14"/>
                <w:b w:val="1"/>
                <w:bCs w:val="1"/>
                <w:color w:val="auto"/>
              </w:rPr>
              <w:t>2010</w:t>
            </w:r>
          </w:p>
        </w:tc>
        <w:tc>
          <w:tcPr>
            <w:tcW w:w="24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36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3"/>
              </w:rPr>
              <w:t>2009</w:t>
            </w:r>
          </w:p>
        </w:tc>
        <w:tc>
          <w:tcPr>
            <w:tcW w:w="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2300" w:type="dxa"/>
            <w:vAlign w:val="bottom"/>
            <w:shd w:val="clear" w:color="auto" w:fill="000000"/>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2300" w:type="dxa"/>
            <w:vAlign w:val="bottom"/>
            <w:shd w:val="clear" w:color="auto" w:fill="CCEEFF"/>
          </w:tcPr>
          <w:p>
            <w:pPr>
              <w:spacing w:after="0"/>
              <w:rPr>
                <w:sz w:val="20"/>
                <w:szCs w:val="20"/>
                <w:color w:val="auto"/>
              </w:rPr>
            </w:pPr>
            <w:r>
              <w:rPr>
                <w:rFonts w:ascii="Arial" w:cs="Arial" w:eastAsia="Arial" w:hAnsi="Arial"/>
                <w:sz w:val="18"/>
                <w:szCs w:val="18"/>
                <w:color w:val="auto"/>
              </w:rPr>
              <w:t>LendingTree Loans</w:t>
            </w:r>
          </w:p>
        </w:tc>
        <w:tc>
          <w:tcPr>
            <w:tcW w:w="3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30%</w:t>
            </w:r>
          </w:p>
        </w:tc>
        <w:tc>
          <w:tcPr>
            <w:tcW w:w="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gridSpan w:val="2"/>
          </w:tcPr>
          <w:p>
            <w:pPr>
              <w:spacing w:after="0"/>
              <w:rPr>
                <w:sz w:val="20"/>
                <w:szCs w:val="20"/>
                <w:color w:val="auto"/>
              </w:rPr>
            </w:pPr>
            <w:r>
              <w:rPr>
                <w:rFonts w:ascii="Arial" w:cs="Arial" w:eastAsia="Arial" w:hAnsi="Arial"/>
                <w:sz w:val="18"/>
                <w:szCs w:val="18"/>
                <w:color w:val="auto"/>
              </w:rPr>
              <w:t>Exchanges</w:t>
            </w: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(9)%</w:t>
            </w:r>
          </w:p>
        </w:tc>
        <w:tc>
          <w:tcPr>
            <w:tcW w:w="80" w:type="dxa"/>
            <w:vAlign w:val="bottom"/>
          </w:tcPr>
          <w:p>
            <w:pPr>
              <w:spacing w:after="0"/>
              <w:rPr>
                <w:sz w:val="18"/>
                <w:szCs w:val="18"/>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Real Estate</w:t>
            </w: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(37)%</w:t>
            </w:r>
          </w:p>
        </w:tc>
        <w:tc>
          <w:tcPr>
            <w:tcW w:w="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420" w:type="dxa"/>
            <w:vAlign w:val="bottom"/>
            <w:gridSpan w:val="2"/>
          </w:tcPr>
          <w:p>
            <w:pPr>
              <w:spacing w:after="0"/>
              <w:rPr>
                <w:sz w:val="20"/>
                <w:szCs w:val="20"/>
                <w:color w:val="auto"/>
              </w:rPr>
            </w:pPr>
            <w:r>
              <w:rPr>
                <w:rFonts w:ascii="Arial" w:cs="Arial" w:eastAsia="Arial" w:hAnsi="Arial"/>
                <w:sz w:val="18"/>
                <w:szCs w:val="18"/>
                <w:color w:val="auto"/>
              </w:rPr>
              <w:t>Unallocated—corporate, as a percentage of total revenue</w:t>
            </w: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(12)%</w:t>
            </w:r>
          </w:p>
        </w:tc>
        <w:tc>
          <w:tcPr>
            <w:tcW w:w="80" w:type="dxa"/>
            <w:vAlign w:val="bottom"/>
          </w:tcPr>
          <w:p>
            <w:pPr>
              <w:spacing w:after="0"/>
              <w:rPr>
                <w:sz w:val="19"/>
                <w:szCs w:val="19"/>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bl>
    <w:p>
      <w:pPr>
        <w:spacing w:after="0" w:line="201" w:lineRule="exact"/>
        <w:rPr>
          <w:sz w:val="20"/>
          <w:szCs w:val="20"/>
          <w:color w:val="auto"/>
        </w:rPr>
      </w:pPr>
    </w:p>
    <w:p>
      <w:pPr>
        <w:ind w:right="60" w:firstLine="351"/>
        <w:spacing w:after="0" w:line="256" w:lineRule="auto"/>
        <w:rPr>
          <w:sz w:val="20"/>
          <w:szCs w:val="20"/>
          <w:color w:val="auto"/>
        </w:rPr>
      </w:pPr>
      <w:r>
        <w:rPr>
          <w:rFonts w:ascii="Arial" w:cs="Arial" w:eastAsia="Arial" w:hAnsi="Arial"/>
          <w:sz w:val="18"/>
          <w:szCs w:val="18"/>
          <w:color w:val="auto"/>
        </w:rPr>
        <w:t>Operating income in 2010 increased from 2009 resulting primarily from the increase in refinancing activity at LendingTree Loans. Year-over-year, revenue was 5% higher than the third quarter 2009. This year-over-year increase in total revenue is due to 18% more closed loans at LendingTree Loans, partially offset by fewer year-over-year matched loan requests on Exchanges and fewer closed home sales in the Real Estate segment. Corporate operating loss decreased due to a reduction of expenses, primarily litigation and professional fees.</w:t>
      </w:r>
    </w:p>
    <w:p>
      <w:pPr>
        <w:spacing w:after="0" w:line="197"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For the nine months ended September 30, 2010 compared to the nine months ended September 30, 2009:</w:t>
      </w:r>
    </w:p>
    <w:p>
      <w:pPr>
        <w:spacing w:after="0" w:line="275" w:lineRule="exact"/>
        <w:rPr>
          <w:sz w:val="20"/>
          <w:szCs w:val="20"/>
          <w:color w:val="auto"/>
        </w:rPr>
      </w:pPr>
    </w:p>
    <w:tbl>
      <w:tblPr>
        <w:tblLayout w:type="fixed"/>
        <w:tblInd w:w="2300" w:type="dxa"/>
        <w:tblCellMar>
          <w:top w:w="0" w:type="dxa"/>
          <w:left w:w="0" w:type="dxa"/>
          <w:bottom w:w="0" w:type="dxa"/>
          <w:right w:w="0" w:type="dxa"/>
        </w:tblCellMar>
      </w:tblPr>
      <w:tr>
        <w:trPr>
          <w:trHeight w:val="161"/>
        </w:trPr>
        <w:tc>
          <w:tcPr>
            <w:tcW w:w="28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2240" w:type="dxa"/>
            <w:vAlign w:val="bottom"/>
            <w:tcBorders>
              <w:bottom w:val="single" w:sz="8" w:color="auto"/>
            </w:tcBorders>
            <w:gridSpan w:val="7"/>
          </w:tcPr>
          <w:p>
            <w:pPr>
              <w:jc w:val="right"/>
              <w:ind w:right="220"/>
              <w:spacing w:after="0"/>
              <w:rPr>
                <w:sz w:val="20"/>
                <w:szCs w:val="20"/>
                <w:color w:val="auto"/>
              </w:rPr>
            </w:pPr>
            <w:r>
              <w:rPr>
                <w:rFonts w:ascii="Arial" w:cs="Arial" w:eastAsia="Arial" w:hAnsi="Arial"/>
                <w:sz w:val="14"/>
                <w:szCs w:val="14"/>
                <w:b w:val="1"/>
                <w:bCs w:val="1"/>
                <w:color w:val="auto"/>
                <w:w w:val="86"/>
              </w:rPr>
              <w:t>Nine Months Ended September 30,</w:t>
            </w:r>
          </w:p>
        </w:tc>
        <w:tc>
          <w:tcPr>
            <w:tcW w:w="60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r>
      <w:tr>
        <w:trPr>
          <w:trHeight w:val="142"/>
        </w:trPr>
        <w:tc>
          <w:tcPr>
            <w:tcW w:w="288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176"/>
              <w:spacing w:after="0" w:line="142" w:lineRule="exact"/>
              <w:rPr>
                <w:sz w:val="20"/>
                <w:szCs w:val="20"/>
                <w:color w:val="auto"/>
              </w:rPr>
            </w:pPr>
            <w:r>
              <w:rPr>
                <w:rFonts w:ascii="Arial" w:cs="Arial" w:eastAsia="Arial" w:hAnsi="Arial"/>
                <w:sz w:val="14"/>
                <w:szCs w:val="14"/>
                <w:b w:val="1"/>
                <w:bCs w:val="1"/>
                <w:color w:val="auto"/>
              </w:rPr>
              <w:t>2010</w:t>
            </w: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w:t>
            </w:r>
          </w:p>
        </w:tc>
        <w:tc>
          <w:tcPr>
            <w:tcW w:w="540" w:type="dxa"/>
            <w:vAlign w:val="bottom"/>
            <w:tcBorders>
              <w:bottom w:val="single" w:sz="8" w:color="auto"/>
            </w:tcBorders>
          </w:tcPr>
          <w:p>
            <w:pPr>
              <w:ind w:left="20"/>
              <w:spacing w:after="0" w:line="142" w:lineRule="exact"/>
              <w:rPr>
                <w:sz w:val="20"/>
                <w:szCs w:val="20"/>
                <w:color w:val="auto"/>
              </w:rPr>
            </w:pPr>
            <w:r>
              <w:rPr>
                <w:rFonts w:ascii="Arial" w:cs="Arial" w:eastAsia="Arial" w:hAnsi="Arial"/>
                <w:sz w:val="14"/>
                <w:szCs w:val="14"/>
                <w:b w:val="1"/>
                <w:bCs w:val="1"/>
                <w:color w:val="auto"/>
                <w:w w:val="97"/>
              </w:rPr>
              <w:t>Change</w:t>
            </w:r>
          </w:p>
        </w:tc>
        <w:tc>
          <w:tcPr>
            <w:tcW w:w="160" w:type="dxa"/>
            <w:vAlign w:val="bottom"/>
          </w:tcPr>
          <w:p>
            <w:pPr>
              <w:spacing w:after="0"/>
              <w:rPr>
                <w:sz w:val="12"/>
                <w:szCs w:val="12"/>
                <w:color w:val="auto"/>
              </w:rPr>
            </w:pPr>
          </w:p>
        </w:tc>
        <w:tc>
          <w:tcPr>
            <w:tcW w:w="7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7"/>
              </w:rPr>
              <w:t>% Change</w:t>
            </w:r>
          </w:p>
        </w:tc>
        <w:tc>
          <w:tcPr>
            <w:tcW w:w="26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56"/>
              <w:spacing w:after="0" w:line="142" w:lineRule="exact"/>
              <w:rPr>
                <w:sz w:val="20"/>
                <w:szCs w:val="20"/>
                <w:color w:val="auto"/>
              </w:rPr>
            </w:pPr>
            <w:r>
              <w:rPr>
                <w:rFonts w:ascii="Arial" w:cs="Arial" w:eastAsia="Arial" w:hAnsi="Arial"/>
                <w:sz w:val="14"/>
                <w:szCs w:val="14"/>
                <w:b w:val="1"/>
                <w:bCs w:val="1"/>
                <w:color w:val="auto"/>
              </w:rPr>
              <w:t>2009</w:t>
            </w:r>
          </w:p>
        </w:tc>
        <w:tc>
          <w:tcPr>
            <w:tcW w:w="280" w:type="dxa"/>
            <w:vAlign w:val="bottom"/>
          </w:tcPr>
          <w:p>
            <w:pPr>
              <w:spacing w:after="0"/>
              <w:rPr>
                <w:sz w:val="12"/>
                <w:szCs w:val="12"/>
                <w:color w:val="auto"/>
              </w:rPr>
            </w:pPr>
          </w:p>
        </w:tc>
      </w:tr>
      <w:tr>
        <w:trPr>
          <w:trHeight w:val="142"/>
        </w:trPr>
        <w:tc>
          <w:tcPr>
            <w:tcW w:w="28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80" w:type="dxa"/>
            <w:vAlign w:val="bottom"/>
            <w:gridSpan w:val="5"/>
          </w:tcPr>
          <w:p>
            <w:pPr>
              <w:jc w:val="right"/>
              <w:ind w:right="600"/>
              <w:spacing w:after="0" w:line="142" w:lineRule="exact"/>
              <w:rPr>
                <w:sz w:val="20"/>
                <w:szCs w:val="20"/>
                <w:color w:val="auto"/>
              </w:rPr>
            </w:pPr>
            <w:r>
              <w:rPr>
                <w:rFonts w:ascii="Arial" w:cs="Arial" w:eastAsia="Arial" w:hAnsi="Arial"/>
                <w:sz w:val="14"/>
                <w:szCs w:val="14"/>
                <w:b w:val="1"/>
                <w:bCs w:val="1"/>
                <w:color w:val="auto"/>
                <w:w w:val="85"/>
              </w:rPr>
              <w:t>(Dollars in thousands)</w:t>
            </w:r>
          </w:p>
        </w:tc>
        <w:tc>
          <w:tcPr>
            <w:tcW w:w="600" w:type="dxa"/>
            <w:vAlign w:val="bottom"/>
          </w:tcPr>
          <w:p>
            <w:pPr>
              <w:spacing w:after="0"/>
              <w:rPr>
                <w:sz w:val="12"/>
                <w:szCs w:val="12"/>
                <w:color w:val="auto"/>
              </w:rPr>
            </w:pPr>
          </w:p>
        </w:tc>
        <w:tc>
          <w:tcPr>
            <w:tcW w:w="280" w:type="dxa"/>
            <w:vAlign w:val="bottom"/>
          </w:tcPr>
          <w:p>
            <w:pPr>
              <w:spacing w:after="0"/>
              <w:rPr>
                <w:sz w:val="12"/>
                <w:szCs w:val="12"/>
                <w:color w:val="auto"/>
              </w:rPr>
            </w:pPr>
          </w:p>
        </w:tc>
      </w:tr>
      <w:tr>
        <w:trPr>
          <w:trHeight w:val="216"/>
        </w:trPr>
        <w:tc>
          <w:tcPr>
            <w:tcW w:w="2880" w:type="dxa"/>
            <w:vAlign w:val="bottom"/>
            <w:shd w:val="clear" w:color="auto" w:fill="CCEEFF"/>
          </w:tcPr>
          <w:p>
            <w:pPr>
              <w:spacing w:after="0"/>
              <w:rPr>
                <w:sz w:val="20"/>
                <w:szCs w:val="20"/>
                <w:color w:val="auto"/>
              </w:rPr>
            </w:pPr>
            <w:r>
              <w:rPr>
                <w:rFonts w:ascii="Arial" w:cs="Arial" w:eastAsia="Arial" w:hAnsi="Arial"/>
                <w:sz w:val="18"/>
                <w:szCs w:val="18"/>
                <w:color w:val="auto"/>
              </w:rPr>
              <w:t>LendingTree Loans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22,364</w:t>
            </w:r>
          </w:p>
        </w:tc>
        <w:tc>
          <w:tcPr>
            <w:tcW w:w="360" w:type="dxa"/>
            <w:vAlign w:val="bottom"/>
            <w:gridSpan w:val="2"/>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(8,873)</w:t>
            </w:r>
          </w:p>
        </w:tc>
        <w:tc>
          <w:tcPr>
            <w:tcW w:w="11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(28)% $</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31,237</w:t>
            </w:r>
          </w:p>
        </w:tc>
        <w:tc>
          <w:tcPr>
            <w:tcW w:w="280" w:type="dxa"/>
            <w:vAlign w:val="bottom"/>
            <w:shd w:val="clear" w:color="auto" w:fill="CCEEFF"/>
          </w:tcPr>
          <w:p>
            <w:pPr>
              <w:spacing w:after="0"/>
              <w:rPr>
                <w:sz w:val="18"/>
                <w:szCs w:val="18"/>
                <w:color w:val="auto"/>
              </w:rPr>
            </w:pPr>
          </w:p>
        </w:tc>
      </w:tr>
      <w:tr>
        <w:trPr>
          <w:trHeight w:val="216"/>
        </w:trPr>
        <w:tc>
          <w:tcPr>
            <w:tcW w:w="2880" w:type="dxa"/>
            <w:vAlign w:val="bottom"/>
          </w:tcPr>
          <w:p>
            <w:pPr>
              <w:spacing w:after="0"/>
              <w:rPr>
                <w:sz w:val="20"/>
                <w:szCs w:val="20"/>
                <w:color w:val="auto"/>
              </w:rPr>
            </w:pPr>
            <w:r>
              <w:rPr>
                <w:rFonts w:ascii="Arial" w:cs="Arial" w:eastAsia="Arial" w:hAnsi="Arial"/>
                <w:sz w:val="18"/>
                <w:szCs w:val="18"/>
                <w:color w:val="auto"/>
              </w:rPr>
              <w:t>Exchanges</w:t>
            </w:r>
          </w:p>
        </w:tc>
        <w:tc>
          <w:tcPr>
            <w:tcW w:w="160" w:type="dxa"/>
            <w:vAlign w:val="bottom"/>
          </w:tcPr>
          <w:p>
            <w:pPr>
              <w:spacing w:after="0"/>
              <w:rPr>
                <w:sz w:val="18"/>
                <w:szCs w:val="18"/>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(2,344)</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(5,399)</w:t>
            </w:r>
          </w:p>
        </w:tc>
        <w:tc>
          <w:tcPr>
            <w:tcW w:w="1180" w:type="dxa"/>
            <w:vAlign w:val="bottom"/>
            <w:gridSpan w:val="3"/>
          </w:tcPr>
          <w:p>
            <w:pPr>
              <w:jc w:val="right"/>
              <w:ind w:right="420"/>
              <w:spacing w:after="0"/>
              <w:rPr>
                <w:sz w:val="20"/>
                <w:szCs w:val="20"/>
                <w:color w:val="auto"/>
              </w:rPr>
            </w:pPr>
            <w:r>
              <w:rPr>
                <w:rFonts w:ascii="Arial" w:cs="Arial" w:eastAsia="Arial" w:hAnsi="Arial"/>
                <w:sz w:val="18"/>
                <w:szCs w:val="18"/>
                <w:color w:val="auto"/>
              </w:rPr>
              <w:t>NM</w:t>
            </w:r>
          </w:p>
        </w:tc>
        <w:tc>
          <w:tcPr>
            <w:tcW w:w="600" w:type="dxa"/>
            <w:vAlign w:val="bottom"/>
          </w:tcPr>
          <w:p>
            <w:pPr>
              <w:jc w:val="right"/>
              <w:spacing w:after="0"/>
              <w:rPr>
                <w:sz w:val="20"/>
                <w:szCs w:val="20"/>
                <w:color w:val="auto"/>
              </w:rPr>
            </w:pPr>
            <w:r>
              <w:rPr>
                <w:rFonts w:ascii="Arial" w:cs="Arial" w:eastAsia="Arial" w:hAnsi="Arial"/>
                <w:sz w:val="18"/>
                <w:szCs w:val="18"/>
                <w:color w:val="auto"/>
              </w:rPr>
              <w:t>3,055</w:t>
            </w:r>
          </w:p>
        </w:tc>
        <w:tc>
          <w:tcPr>
            <w:tcW w:w="280" w:type="dxa"/>
            <w:vAlign w:val="bottom"/>
          </w:tcPr>
          <w:p>
            <w:pPr>
              <w:spacing w:after="0"/>
              <w:rPr>
                <w:sz w:val="18"/>
                <w:szCs w:val="18"/>
                <w:color w:val="auto"/>
              </w:rPr>
            </w:pPr>
          </w:p>
        </w:tc>
      </w:tr>
      <w:tr>
        <w:trPr>
          <w:trHeight w:val="216"/>
        </w:trPr>
        <w:tc>
          <w:tcPr>
            <w:tcW w:w="2880" w:type="dxa"/>
            <w:vAlign w:val="bottom"/>
            <w:shd w:val="clear" w:color="auto" w:fill="CCEEFF"/>
          </w:tcPr>
          <w:p>
            <w:pPr>
              <w:spacing w:after="0"/>
              <w:rPr>
                <w:sz w:val="20"/>
                <w:szCs w:val="20"/>
                <w:color w:val="auto"/>
              </w:rPr>
            </w:pPr>
            <w:r>
              <w:rPr>
                <w:rFonts w:ascii="Arial" w:cs="Arial" w:eastAsia="Arial" w:hAnsi="Arial"/>
                <w:sz w:val="18"/>
                <w:szCs w:val="18"/>
                <w:color w:val="auto"/>
              </w:rPr>
              <w:t>Real Estate</w:t>
            </w:r>
          </w:p>
        </w:tc>
        <w:tc>
          <w:tcPr>
            <w:tcW w:w="1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(4,453)</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8,473</w:t>
            </w: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66%</w:t>
            </w: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5"/>
              </w:rPr>
              <w:t>(12,926)</w:t>
            </w:r>
          </w:p>
        </w:tc>
      </w:tr>
      <w:tr>
        <w:trPr>
          <w:trHeight w:val="222"/>
        </w:trPr>
        <w:tc>
          <w:tcPr>
            <w:tcW w:w="2880" w:type="dxa"/>
            <w:vAlign w:val="bottom"/>
          </w:tcPr>
          <w:p>
            <w:pPr>
              <w:spacing w:after="0"/>
              <w:rPr>
                <w:sz w:val="20"/>
                <w:szCs w:val="20"/>
                <w:color w:val="auto"/>
              </w:rPr>
            </w:pPr>
            <w:r>
              <w:rPr>
                <w:rFonts w:ascii="Arial" w:cs="Arial" w:eastAsia="Arial" w:hAnsi="Arial"/>
                <w:sz w:val="18"/>
                <w:szCs w:val="18"/>
                <w:color w:val="auto"/>
              </w:rPr>
              <w:t>Unallocated—corporate</w:t>
            </w:r>
          </w:p>
        </w:tc>
        <w:tc>
          <w:tcPr>
            <w:tcW w:w="160" w:type="dxa"/>
            <w:vAlign w:val="bottom"/>
          </w:tcPr>
          <w:p>
            <w:pPr>
              <w:spacing w:after="0"/>
              <w:rPr>
                <w:sz w:val="19"/>
                <w:szCs w:val="19"/>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w w:val="95"/>
              </w:rPr>
              <w:t>(19,457)</w:t>
            </w: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4,919</w:t>
            </w: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20%</w:t>
            </w:r>
          </w:p>
        </w:tc>
        <w:tc>
          <w:tcPr>
            <w:tcW w:w="160" w:type="dxa"/>
            <w:vAlign w:val="bottom"/>
          </w:tcPr>
          <w:p>
            <w:pPr>
              <w:spacing w:after="0"/>
              <w:rPr>
                <w:sz w:val="19"/>
                <w:szCs w:val="19"/>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w w:val="95"/>
              </w:rPr>
              <w:t>(24,376)</w:t>
            </w:r>
          </w:p>
        </w:tc>
      </w:tr>
      <w:tr>
        <w:trPr>
          <w:trHeight w:val="21"/>
        </w:trPr>
        <w:tc>
          <w:tcPr>
            <w:tcW w:w="28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210"/>
        </w:trPr>
        <w:tc>
          <w:tcPr>
            <w:tcW w:w="2880" w:type="dxa"/>
            <w:vAlign w:val="bottom"/>
            <w:shd w:val="clear" w:color="auto" w:fill="CCEEFF"/>
          </w:tcPr>
          <w:p>
            <w:pPr>
              <w:spacing w:after="0"/>
              <w:rPr>
                <w:sz w:val="20"/>
                <w:szCs w:val="20"/>
                <w:color w:val="auto"/>
              </w:rPr>
            </w:pPr>
            <w:r>
              <w:rPr>
                <w:rFonts w:ascii="Arial" w:cs="Arial" w:eastAsia="Arial" w:hAnsi="Arial"/>
                <w:sz w:val="18"/>
                <w:szCs w:val="18"/>
                <w:color w:val="auto"/>
              </w:rPr>
              <w:t>Operating loss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(3,890)</w:t>
            </w:r>
          </w:p>
        </w:tc>
        <w:tc>
          <w:tcPr>
            <w:tcW w:w="360" w:type="dxa"/>
            <w:vAlign w:val="bottom"/>
            <w:gridSpan w:val="2"/>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(880)</w:t>
            </w:r>
          </w:p>
        </w:tc>
        <w:tc>
          <w:tcPr>
            <w:tcW w:w="11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(29)% $</w:t>
            </w: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(3,010)</w:t>
            </w:r>
          </w:p>
        </w:tc>
      </w:tr>
      <w:tr>
        <w:trPr>
          <w:trHeight w:val="27"/>
        </w:trPr>
        <w:tc>
          <w:tcPr>
            <w:tcW w:w="28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280" w:type="dxa"/>
            <w:vAlign w:val="bottom"/>
          </w:tcPr>
          <w:p>
            <w:pPr>
              <w:spacing w:after="0"/>
              <w:rPr>
                <w:sz w:val="2"/>
                <w:szCs w:val="2"/>
                <w:color w:val="auto"/>
              </w:rPr>
            </w:pPr>
          </w:p>
        </w:tc>
      </w:tr>
      <w:tr>
        <w:trPr>
          <w:trHeight w:val="20"/>
        </w:trPr>
        <w:tc>
          <w:tcPr>
            <w:tcW w:w="28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bl>
    <w:p>
      <w:pPr>
        <w:spacing w:after="0" w:line="1" w:lineRule="exact"/>
        <w:rPr>
          <w:sz w:val="20"/>
          <w:szCs w:val="20"/>
          <w:color w:val="auto"/>
        </w:rPr>
      </w:pPr>
    </w:p>
    <w:tbl>
      <w:tblPr>
        <w:tblLayout w:type="fixed"/>
        <w:tblInd w:w="2300" w:type="dxa"/>
        <w:tblCellMar>
          <w:top w:w="0" w:type="dxa"/>
          <w:left w:w="0" w:type="dxa"/>
          <w:bottom w:w="0" w:type="dxa"/>
          <w:right w:w="0" w:type="dxa"/>
        </w:tblCellMar>
      </w:tblPr>
      <w:tr>
        <w:trPr>
          <w:trHeight w:val="222"/>
        </w:trPr>
        <w:tc>
          <w:tcPr>
            <w:tcW w:w="2320" w:type="dxa"/>
            <w:vAlign w:val="bottom"/>
            <w:gridSpan w:val="2"/>
          </w:tcPr>
          <w:p>
            <w:pPr>
              <w:spacing w:after="0"/>
              <w:rPr>
                <w:sz w:val="20"/>
                <w:szCs w:val="20"/>
                <w:color w:val="auto"/>
              </w:rPr>
            </w:pPr>
            <w:r>
              <w:rPr>
                <w:rFonts w:ascii="Arial" w:cs="Arial" w:eastAsia="Arial" w:hAnsi="Arial"/>
                <w:sz w:val="18"/>
                <w:szCs w:val="18"/>
                <w:color w:val="auto"/>
                <w:w w:val="88"/>
              </w:rPr>
              <w:t>As a percentage of total revenue</w:t>
            </w:r>
          </w:p>
        </w:tc>
        <w:tc>
          <w:tcPr>
            <w:tcW w:w="3040" w:type="dxa"/>
            <w:vAlign w:val="bottom"/>
          </w:tcPr>
          <w:p>
            <w:pPr>
              <w:jc w:val="right"/>
              <w:ind w:right="1412"/>
              <w:spacing w:after="0"/>
              <w:rPr>
                <w:sz w:val="20"/>
                <w:szCs w:val="20"/>
                <w:color w:val="auto"/>
              </w:rPr>
            </w:pPr>
            <w:r>
              <w:rPr>
                <w:rFonts w:ascii="Arial" w:cs="Arial" w:eastAsia="Arial" w:hAnsi="Arial"/>
                <w:sz w:val="18"/>
                <w:szCs w:val="18"/>
                <w:color w:val="auto"/>
              </w:rPr>
              <w:t>(3)%</w:t>
            </w:r>
          </w:p>
        </w:tc>
        <w:tc>
          <w:tcPr>
            <w:tcW w:w="440" w:type="dxa"/>
            <w:vAlign w:val="bottom"/>
          </w:tcPr>
          <w:p>
            <w:pPr>
              <w:jc w:val="right"/>
              <w:spacing w:after="0"/>
              <w:rPr>
                <w:sz w:val="20"/>
                <w:szCs w:val="20"/>
                <w:color w:val="auto"/>
              </w:rPr>
            </w:pPr>
            <w:r>
              <w:rPr>
                <w:rFonts w:ascii="Arial" w:cs="Arial" w:eastAsia="Arial" w:hAnsi="Arial"/>
                <w:sz w:val="18"/>
                <w:szCs w:val="18"/>
                <w:color w:val="auto"/>
                <w:w w:val="94"/>
              </w:rPr>
              <w:t>(1)%</w:t>
            </w:r>
          </w:p>
        </w:tc>
        <w:tc>
          <w:tcPr>
            <w:tcW w:w="380" w:type="dxa"/>
            <w:vAlign w:val="bottom"/>
          </w:tcPr>
          <w:p>
            <w:pPr>
              <w:spacing w:after="0"/>
              <w:rPr>
                <w:sz w:val="19"/>
                <w:szCs w:val="19"/>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778"/>
        </w:trPr>
        <w:tc>
          <w:tcPr>
            <w:tcW w:w="2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3040" w:type="dxa"/>
            <w:vAlign w:val="bottom"/>
          </w:tcPr>
          <w:p>
            <w:pPr>
              <w:spacing w:after="0"/>
              <w:rPr>
                <w:sz w:val="24"/>
                <w:szCs w:val="24"/>
                <w:color w:val="auto"/>
              </w:rPr>
            </w:pPr>
          </w:p>
        </w:tc>
        <w:tc>
          <w:tcPr>
            <w:tcW w:w="1480" w:type="dxa"/>
            <w:vAlign w:val="bottom"/>
            <w:gridSpan w:val="4"/>
          </w:tcPr>
          <w:p>
            <w:pPr>
              <w:jc w:val="center"/>
              <w:ind w:right="280"/>
              <w:spacing w:after="0"/>
              <w:rPr>
                <w:sz w:val="20"/>
                <w:szCs w:val="20"/>
                <w:color w:val="auto"/>
              </w:rPr>
            </w:pPr>
            <w:r>
              <w:rPr>
                <w:rFonts w:ascii="Arial" w:cs="Arial" w:eastAsia="Arial" w:hAnsi="Arial"/>
                <w:sz w:val="14"/>
                <w:szCs w:val="14"/>
                <w:b w:val="1"/>
                <w:bCs w:val="1"/>
                <w:color w:val="auto"/>
                <w:w w:val="90"/>
              </w:rPr>
              <w:t>Nine Months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300" w:type="dxa"/>
            <w:vAlign w:val="bottom"/>
          </w:tcPr>
          <w:p>
            <w:pPr>
              <w:spacing w:after="0"/>
              <w:rPr>
                <w:sz w:val="12"/>
                <w:szCs w:val="12"/>
                <w:color w:val="auto"/>
              </w:rPr>
            </w:pPr>
          </w:p>
        </w:tc>
        <w:tc>
          <w:tcPr>
            <w:tcW w:w="3040" w:type="dxa"/>
            <w:vAlign w:val="bottom"/>
          </w:tcPr>
          <w:p>
            <w:pPr>
              <w:spacing w:after="0"/>
              <w:rPr>
                <w:sz w:val="12"/>
                <w:szCs w:val="12"/>
                <w:color w:val="auto"/>
              </w:rPr>
            </w:pPr>
          </w:p>
        </w:tc>
        <w:tc>
          <w:tcPr>
            <w:tcW w:w="820" w:type="dxa"/>
            <w:vAlign w:val="bottom"/>
            <w:gridSpan w:val="2"/>
          </w:tcPr>
          <w:p>
            <w:pPr>
              <w:jc w:val="center"/>
              <w:ind w:left="301"/>
              <w:spacing w:after="0" w:line="149" w:lineRule="exact"/>
              <w:rPr>
                <w:sz w:val="20"/>
                <w:szCs w:val="20"/>
                <w:color w:val="auto"/>
              </w:rPr>
            </w:pPr>
            <w:r>
              <w:rPr>
                <w:rFonts w:ascii="Arial" w:cs="Arial" w:eastAsia="Arial" w:hAnsi="Arial"/>
                <w:sz w:val="14"/>
                <w:szCs w:val="14"/>
                <w:b w:val="1"/>
                <w:bCs w:val="1"/>
                <w:color w:val="auto"/>
                <w:w w:val="84"/>
              </w:rPr>
              <w:t>Ended</w:t>
            </w:r>
          </w:p>
        </w:tc>
        <w:tc>
          <w:tcPr>
            <w:tcW w:w="3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320" w:type="dxa"/>
            <w:vAlign w:val="bottom"/>
            <w:gridSpan w:val="2"/>
            <w:vMerge w:val="restart"/>
          </w:tcPr>
          <w:p>
            <w:pPr>
              <w:spacing w:after="0"/>
              <w:rPr>
                <w:sz w:val="20"/>
                <w:szCs w:val="20"/>
                <w:color w:val="auto"/>
              </w:rPr>
            </w:pPr>
            <w:r>
              <w:rPr>
                <w:rFonts w:ascii="Arial" w:cs="Arial" w:eastAsia="Arial" w:hAnsi="Arial"/>
                <w:sz w:val="14"/>
                <w:szCs w:val="14"/>
                <w:b w:val="1"/>
                <w:bCs w:val="1"/>
                <w:color w:val="auto"/>
                <w:w w:val="91"/>
              </w:rPr>
              <w:t>As a Percentage of Segment Revenue</w:t>
            </w:r>
          </w:p>
        </w:tc>
        <w:tc>
          <w:tcPr>
            <w:tcW w:w="3040" w:type="dxa"/>
            <w:vAlign w:val="bottom"/>
          </w:tcPr>
          <w:p>
            <w:pPr>
              <w:spacing w:after="0"/>
              <w:rPr>
                <w:sz w:val="14"/>
                <w:szCs w:val="14"/>
                <w:color w:val="auto"/>
              </w:rPr>
            </w:pPr>
          </w:p>
        </w:tc>
        <w:tc>
          <w:tcPr>
            <w:tcW w:w="1480" w:type="dxa"/>
            <w:vAlign w:val="bottom"/>
            <w:gridSpan w:val="4"/>
          </w:tcPr>
          <w:p>
            <w:pPr>
              <w:jc w:val="center"/>
              <w:ind w:right="280"/>
              <w:spacing w:after="0"/>
              <w:rPr>
                <w:sz w:val="20"/>
                <w:szCs w:val="20"/>
                <w:color w:val="auto"/>
              </w:rPr>
            </w:pPr>
            <w:r>
              <w:rPr>
                <w:rFonts w:ascii="Arial" w:cs="Arial" w:eastAsia="Arial" w:hAnsi="Arial"/>
                <w:sz w:val="14"/>
                <w:szCs w:val="14"/>
                <w:b w:val="1"/>
                <w:bCs w:val="1"/>
                <w:color w:val="auto"/>
                <w:w w:val="87"/>
              </w:rPr>
              <w:t>September 30,</w:t>
            </w:r>
          </w:p>
        </w:tc>
        <w:tc>
          <w:tcPr>
            <w:tcW w:w="0" w:type="dxa"/>
            <w:vAlign w:val="bottom"/>
          </w:tcPr>
          <w:p>
            <w:pPr>
              <w:spacing w:after="0"/>
              <w:rPr>
                <w:sz w:val="1"/>
                <w:szCs w:val="1"/>
                <w:color w:val="auto"/>
              </w:rPr>
            </w:pPr>
          </w:p>
        </w:tc>
      </w:tr>
      <w:tr>
        <w:trPr>
          <w:trHeight w:val="142"/>
        </w:trPr>
        <w:tc>
          <w:tcPr>
            <w:tcW w:w="2320" w:type="dxa"/>
            <w:vAlign w:val="bottom"/>
            <w:gridSpan w:val="2"/>
            <w:vMerge w:val="continue"/>
          </w:tcPr>
          <w:p>
            <w:pPr>
              <w:spacing w:after="0"/>
              <w:rPr>
                <w:sz w:val="12"/>
                <w:szCs w:val="12"/>
                <w:color w:val="auto"/>
              </w:rPr>
            </w:pPr>
          </w:p>
        </w:tc>
        <w:tc>
          <w:tcPr>
            <w:tcW w:w="3040" w:type="dxa"/>
            <w:vAlign w:val="bottom"/>
          </w:tcPr>
          <w:p>
            <w:pPr>
              <w:spacing w:after="0"/>
              <w:rPr>
                <w:sz w:val="12"/>
                <w:szCs w:val="12"/>
                <w:color w:val="auto"/>
              </w:rPr>
            </w:pPr>
          </w:p>
        </w:tc>
        <w:tc>
          <w:tcPr>
            <w:tcW w:w="440" w:type="dxa"/>
            <w:vAlign w:val="bottom"/>
            <w:tcBorders>
              <w:top w:val="single" w:sz="8" w:color="auto"/>
            </w:tcBorders>
          </w:tcPr>
          <w:p>
            <w:pPr>
              <w:jc w:val="right"/>
              <w:ind w:right="1"/>
              <w:spacing w:after="0" w:line="142" w:lineRule="exact"/>
              <w:rPr>
                <w:sz w:val="20"/>
                <w:szCs w:val="20"/>
                <w:color w:val="auto"/>
              </w:rPr>
            </w:pPr>
            <w:r>
              <w:rPr>
                <w:rFonts w:ascii="Arial" w:cs="Arial" w:eastAsia="Arial" w:hAnsi="Arial"/>
                <w:sz w:val="14"/>
                <w:szCs w:val="14"/>
                <w:b w:val="1"/>
                <w:bCs w:val="1"/>
                <w:color w:val="auto"/>
              </w:rPr>
              <w:t>2010</w:t>
            </w:r>
          </w:p>
        </w:tc>
        <w:tc>
          <w:tcPr>
            <w:tcW w:w="380" w:type="dxa"/>
            <w:vAlign w:val="bottom"/>
            <w:tcBorders>
              <w:top w:val="single" w:sz="8" w:color="auto"/>
            </w:tcBorders>
          </w:tcPr>
          <w:p>
            <w:pPr>
              <w:spacing w:after="0"/>
              <w:rPr>
                <w:sz w:val="12"/>
                <w:szCs w:val="12"/>
                <w:color w:val="auto"/>
              </w:rPr>
            </w:pPr>
          </w:p>
        </w:tc>
        <w:tc>
          <w:tcPr>
            <w:tcW w:w="38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9"/>
              </w:rPr>
              <w:t>2009</w:t>
            </w: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2300" w:type="dxa"/>
            <w:vAlign w:val="bottom"/>
            <w:shd w:val="clear" w:color="auto" w:fill="000000"/>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380" w:type="dxa"/>
            <w:vAlign w:val="bottom"/>
            <w:tcBorders>
              <w:right w:val="single" w:sz="8" w:color="auto"/>
            </w:tcBorders>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2300" w:type="dxa"/>
            <w:vAlign w:val="bottom"/>
            <w:shd w:val="clear" w:color="auto" w:fill="CCEEFF"/>
          </w:tcPr>
          <w:p>
            <w:pPr>
              <w:spacing w:after="0"/>
              <w:rPr>
                <w:sz w:val="20"/>
                <w:szCs w:val="20"/>
                <w:color w:val="auto"/>
              </w:rPr>
            </w:pPr>
            <w:r>
              <w:rPr>
                <w:rFonts w:ascii="Arial" w:cs="Arial" w:eastAsia="Arial" w:hAnsi="Arial"/>
                <w:sz w:val="18"/>
                <w:szCs w:val="18"/>
                <w:color w:val="auto"/>
              </w:rPr>
              <w:t>LendingTree Loans</w:t>
            </w:r>
          </w:p>
        </w:tc>
        <w:tc>
          <w:tcPr>
            <w:tcW w:w="3040" w:type="dxa"/>
            <w:vAlign w:val="bottom"/>
            <w:shd w:val="clear" w:color="auto" w:fill="CCEEFF"/>
          </w:tcPr>
          <w:p>
            <w:pPr>
              <w:spacing w:after="0"/>
              <w:rPr>
                <w:sz w:val="18"/>
                <w:szCs w:val="18"/>
                <w:color w:val="auto"/>
              </w:rPr>
            </w:pPr>
          </w:p>
        </w:tc>
        <w:tc>
          <w:tcPr>
            <w:tcW w:w="820" w:type="dxa"/>
            <w:vAlign w:val="bottom"/>
            <w:tcBorders>
              <w:right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26%</w:t>
            </w: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00" w:type="dxa"/>
            <w:vAlign w:val="bottom"/>
          </w:tcPr>
          <w:p>
            <w:pPr>
              <w:spacing w:after="0"/>
              <w:rPr>
                <w:sz w:val="20"/>
                <w:szCs w:val="20"/>
                <w:color w:val="auto"/>
              </w:rPr>
            </w:pPr>
            <w:r>
              <w:rPr>
                <w:rFonts w:ascii="Arial" w:cs="Arial" w:eastAsia="Arial" w:hAnsi="Arial"/>
                <w:sz w:val="18"/>
                <w:szCs w:val="18"/>
                <w:color w:val="auto"/>
              </w:rPr>
              <w:t>Exchanges</w:t>
            </w:r>
          </w:p>
        </w:tc>
        <w:tc>
          <w:tcPr>
            <w:tcW w:w="3040" w:type="dxa"/>
            <w:vAlign w:val="bottom"/>
          </w:tcPr>
          <w:p>
            <w:pPr>
              <w:spacing w:after="0"/>
              <w:rPr>
                <w:sz w:val="18"/>
                <w:szCs w:val="18"/>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rPr>
              <w:t>(5)%</w:t>
            </w:r>
          </w:p>
        </w:tc>
        <w:tc>
          <w:tcPr>
            <w:tcW w:w="660" w:type="dxa"/>
            <w:vAlign w:val="bottom"/>
            <w:gridSpan w:val="2"/>
          </w:tcPr>
          <w:p>
            <w:pPr>
              <w:jc w:val="right"/>
              <w:ind w:right="14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00" w:type="dxa"/>
            <w:vAlign w:val="bottom"/>
            <w:shd w:val="clear" w:color="auto" w:fill="CCEEFF"/>
          </w:tcPr>
          <w:p>
            <w:pPr>
              <w:spacing w:after="0"/>
              <w:rPr>
                <w:sz w:val="20"/>
                <w:szCs w:val="20"/>
                <w:color w:val="auto"/>
              </w:rPr>
            </w:pPr>
            <w:r>
              <w:rPr>
                <w:rFonts w:ascii="Arial" w:cs="Arial" w:eastAsia="Arial" w:hAnsi="Arial"/>
                <w:sz w:val="18"/>
                <w:szCs w:val="18"/>
                <w:color w:val="auto"/>
              </w:rPr>
              <w:t>Real Estate</w:t>
            </w:r>
          </w:p>
        </w:tc>
        <w:tc>
          <w:tcPr>
            <w:tcW w:w="3040" w:type="dxa"/>
            <w:vAlign w:val="bottom"/>
            <w:shd w:val="clear" w:color="auto" w:fill="CCEEFF"/>
          </w:tcPr>
          <w:p>
            <w:pPr>
              <w:spacing w:after="0"/>
              <w:rPr>
                <w:sz w:val="18"/>
                <w:szCs w:val="18"/>
                <w:color w:val="auto"/>
              </w:rPr>
            </w:pPr>
          </w:p>
        </w:tc>
        <w:tc>
          <w:tcPr>
            <w:tcW w:w="82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(38)%</w:t>
            </w: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340" w:type="dxa"/>
            <w:vAlign w:val="bottom"/>
            <w:gridSpan w:val="2"/>
          </w:tcPr>
          <w:p>
            <w:pPr>
              <w:spacing w:after="0"/>
              <w:rPr>
                <w:sz w:val="20"/>
                <w:szCs w:val="20"/>
                <w:color w:val="auto"/>
              </w:rPr>
            </w:pPr>
            <w:r>
              <w:rPr>
                <w:rFonts w:ascii="Arial" w:cs="Arial" w:eastAsia="Arial" w:hAnsi="Arial"/>
                <w:sz w:val="18"/>
                <w:szCs w:val="18"/>
                <w:color w:val="auto"/>
              </w:rPr>
              <w:t>Unallocated—corporate, as a percentage of total revenue</w:t>
            </w: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rPr>
              <w:t>(13)%</w:t>
            </w:r>
          </w:p>
        </w:tc>
        <w:tc>
          <w:tcPr>
            <w:tcW w:w="660" w:type="dxa"/>
            <w:vAlign w:val="bottom"/>
            <w:gridSpan w:val="2"/>
          </w:tcPr>
          <w:p>
            <w:pPr>
              <w:jc w:val="right"/>
              <w:ind w:right="8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bl>
    <w:p>
      <w:pPr>
        <w:spacing w:after="0" w:line="201" w:lineRule="exact"/>
        <w:rPr>
          <w:sz w:val="20"/>
          <w:szCs w:val="20"/>
          <w:color w:val="auto"/>
        </w:rPr>
      </w:pPr>
    </w:p>
    <w:p>
      <w:pPr>
        <w:ind w:right="60" w:firstLine="351"/>
        <w:spacing w:after="0" w:line="259" w:lineRule="auto"/>
        <w:rPr>
          <w:sz w:val="20"/>
          <w:szCs w:val="20"/>
          <w:color w:val="auto"/>
        </w:rPr>
      </w:pPr>
      <w:r>
        <w:rPr>
          <w:rFonts w:ascii="Arial" w:cs="Arial" w:eastAsia="Arial" w:hAnsi="Arial"/>
          <w:sz w:val="18"/>
          <w:szCs w:val="18"/>
          <w:color w:val="auto"/>
        </w:rPr>
        <w:t>Operating loss in 2010 increased from 2009 resulting primarily from the decrease in revenue at LendingTree Loans due to lower closing rates and the increase in marketing expense on the Exchanges described above, partially offset by decreases to Real Estate and Corporate operating loss driven by cost-cutting reductions in marketing and general and administrative expenses.</w:t>
      </w:r>
    </w:p>
    <w:p>
      <w:pPr>
        <w:spacing w:after="0" w:line="194"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Income tax provision</w:t>
      </w:r>
    </w:p>
    <w:p>
      <w:pPr>
        <w:spacing w:after="0" w:line="225" w:lineRule="exact"/>
        <w:rPr>
          <w:sz w:val="20"/>
          <w:szCs w:val="20"/>
          <w:color w:val="auto"/>
        </w:rPr>
      </w:pPr>
    </w:p>
    <w:p>
      <w:pPr>
        <w:ind w:right="160" w:firstLine="351"/>
        <w:spacing w:after="0" w:line="306" w:lineRule="auto"/>
        <w:rPr>
          <w:sz w:val="20"/>
          <w:szCs w:val="20"/>
          <w:color w:val="auto"/>
        </w:rPr>
      </w:pPr>
      <w:r>
        <w:rPr>
          <w:rFonts w:ascii="Arial" w:cs="Arial" w:eastAsia="Arial" w:hAnsi="Arial"/>
          <w:sz w:val="16"/>
          <w:szCs w:val="16"/>
          <w:color w:val="auto"/>
        </w:rPr>
        <w:t>For the three months ended September 30, 2010 and 2009, Tree.com recorded a tax (provision) benefit of $(0.05) million and $0.2 million, respectively, which represents effective tax rates of 2.2% and (2.4)%, respectively. For both periods, the tax rate is lower than the federal statutory rate of 35% mainly due to the change in the valuation allowance on deferred tax assets and a partial release of reserves for uncertain tax positions.</w:t>
      </w:r>
    </w:p>
    <w:p>
      <w:pPr>
        <w:spacing w:after="0" w:line="161" w:lineRule="exact"/>
        <w:rPr>
          <w:sz w:val="20"/>
          <w:szCs w:val="20"/>
          <w:color w:val="auto"/>
        </w:rPr>
      </w:pPr>
    </w:p>
    <w:p>
      <w:pPr>
        <w:jc w:val="both"/>
        <w:ind w:firstLine="351"/>
        <w:spacing w:after="0" w:line="298" w:lineRule="auto"/>
        <w:rPr>
          <w:sz w:val="20"/>
          <w:szCs w:val="20"/>
          <w:color w:val="auto"/>
        </w:rPr>
      </w:pPr>
      <w:r>
        <w:rPr>
          <w:rFonts w:ascii="Arial" w:cs="Arial" w:eastAsia="Arial" w:hAnsi="Arial"/>
          <w:sz w:val="16"/>
          <w:szCs w:val="16"/>
          <w:color w:val="auto"/>
        </w:rPr>
        <w:t>For the nine months ended September 30, 2010 and 2009, Tree.com recorded a tax provision of $0.9 million and $0.1 million, respectively, which represents effective tax rates of (19.9)% and (3.6)%, respectively. For the nine months ended September 30, 2010, the tax rate is lower than the federal statutory rate of 35% mainly due to an increase in the valuation allowance on deferred tax assets. For the nine months ended September 30, 2009, there was an increase in the valuation allowance and non-deductible impairment charges that caused the tax rate to be lower than the federal statutory rate.</w:t>
      </w:r>
    </w:p>
    <w:p>
      <w:pPr>
        <w:spacing w:after="0" w:line="16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50" w:name="page51"/>
    <w:bookmarkEnd w:id="5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FINANCIAL POSITION, LIQUIDITY AND CAPITAL RESOURCES</w:t>
      </w:r>
    </w:p>
    <w:p>
      <w:pPr>
        <w:spacing w:after="0" w:line="23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As of September 30, 2010, Tree.com had $68.4 million of cash and cash equivalents and restricted cash and cash equivalents.</w:t>
      </w:r>
    </w:p>
    <w:p>
      <w:pPr>
        <w:spacing w:after="0" w:line="225" w:lineRule="exact"/>
        <w:rPr>
          <w:sz w:val="20"/>
          <w:szCs w:val="20"/>
          <w:color w:val="auto"/>
        </w:rPr>
      </w:pPr>
    </w:p>
    <w:p>
      <w:pPr>
        <w:ind w:firstLine="351"/>
        <w:spacing w:after="0" w:line="254" w:lineRule="auto"/>
        <w:rPr>
          <w:sz w:val="20"/>
          <w:szCs w:val="20"/>
          <w:color w:val="auto"/>
        </w:rPr>
      </w:pPr>
      <w:r>
        <w:rPr>
          <w:rFonts w:ascii="Arial" w:cs="Arial" w:eastAsia="Arial" w:hAnsi="Arial"/>
          <w:sz w:val="18"/>
          <w:szCs w:val="18"/>
          <w:color w:val="auto"/>
        </w:rPr>
        <w:t>Net cash used in operating activities was $81.0 million in the nine months ended September 30, 2010, compared to $24.4 million provided by operating activities in the same period in 2009. The change from cash provided by operating activities in 2009 to cash used in operating activities in 2010 was primarily due to funding $77 million more loans in September 2010 than in September 2009 and holding loans on the balance sheet for more days on average before sale. The increase in holding time is due to investor capacity issues causing them to take longer to purchase loans. Additionally, there was an $18.5 million decrease in accounts payable and other current liabilities, principally due to litigation related payments of $12.8 million that were made in the nine months ended September 30, 2010.</w:t>
      </w:r>
    </w:p>
    <w:p>
      <w:pPr>
        <w:spacing w:after="0" w:line="198" w:lineRule="exact"/>
        <w:rPr>
          <w:sz w:val="20"/>
          <w:szCs w:val="20"/>
          <w:color w:val="auto"/>
        </w:rPr>
      </w:pPr>
    </w:p>
    <w:p>
      <w:pPr>
        <w:ind w:left="360"/>
        <w:spacing w:after="0"/>
        <w:rPr>
          <w:sz w:val="20"/>
          <w:szCs w:val="20"/>
          <w:color w:val="auto"/>
        </w:rPr>
      </w:pPr>
      <w:r>
        <w:rPr>
          <w:rFonts w:ascii="Arial" w:cs="Arial" w:eastAsia="Arial" w:hAnsi="Arial"/>
          <w:sz w:val="16"/>
          <w:szCs w:val="16"/>
          <w:color w:val="auto"/>
        </w:rPr>
        <w:t>Net cash used in investing activities in the nine months ended September 30, 2010 of $4.3 million primarily resulted from capital expenditures of</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$5.0 million, offset by the release of restricted cash of $0.8 million. Net cash used in investing activities in the nine months ended September 30, 2009 of</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$4.7 million primarily resulted from acquisitions totaling $5.7 million and capital expenditures of $2.2 million.</w:t>
      </w:r>
    </w:p>
    <w:p>
      <w:pPr>
        <w:spacing w:after="0" w:line="219" w:lineRule="exact"/>
        <w:rPr>
          <w:sz w:val="20"/>
          <w:szCs w:val="20"/>
          <w:color w:val="auto"/>
        </w:rPr>
      </w:pPr>
    </w:p>
    <w:p>
      <w:pPr>
        <w:ind w:right="260" w:firstLine="351"/>
        <w:spacing w:after="0" w:line="298" w:lineRule="auto"/>
        <w:rPr>
          <w:sz w:val="20"/>
          <w:szCs w:val="20"/>
          <w:color w:val="auto"/>
        </w:rPr>
      </w:pPr>
      <w:r>
        <w:rPr>
          <w:rFonts w:ascii="Arial" w:cs="Arial" w:eastAsia="Arial" w:hAnsi="Arial"/>
          <w:sz w:val="16"/>
          <w:szCs w:val="16"/>
          <w:color w:val="auto"/>
        </w:rPr>
        <w:t>Net cash provided by financing activities in the nine months ended September 30, 2010 of $56.5 million was primarily due to net borrowings under warehouse lines of credit of $61.6 million related to the increase in loans held for sale as discussed above, less purchases of treasury stock of $4.7 million. Net cash used in financing activities in the nine months ended September 30, 2009 of $6.6 million was primarily due to net repayments under warehouse lines of credit of $9.1 million less proceeds from the sale of common stock of $3.4 million.</w:t>
      </w:r>
    </w:p>
    <w:p>
      <w:pPr>
        <w:spacing w:after="0" w:line="167" w:lineRule="exact"/>
        <w:rPr>
          <w:sz w:val="20"/>
          <w:szCs w:val="20"/>
          <w:color w:val="auto"/>
        </w:rPr>
      </w:pPr>
    </w:p>
    <w:p>
      <w:pPr>
        <w:ind w:right="80" w:firstLine="341"/>
        <w:spacing w:after="0" w:line="255" w:lineRule="auto"/>
        <w:rPr>
          <w:sz w:val="20"/>
          <w:szCs w:val="20"/>
          <w:color w:val="auto"/>
        </w:rPr>
      </w:pPr>
      <w:r>
        <w:rPr>
          <w:rFonts w:ascii="Arial" w:cs="Arial" w:eastAsia="Arial" w:hAnsi="Arial"/>
          <w:sz w:val="18"/>
          <w:szCs w:val="18"/>
          <w:color w:val="auto"/>
        </w:rPr>
        <w:t>As of September 30, 2010, LendingTree Loans had two committed warehouse lines of credit totaling $125.0 million of borrowing capacity. The total borrowing capacity under these lines was increased to $150.0 million effective October 29, 2010 upon renewal of the second line. LendingTree Loans also has a $25.0 million uncommitted line with one of these lenders. Borrowings under these lines of credit are used to fund, and are secured by, consumer residential loans that are held for sale. Loans under these lines of credit are repaid using proceeds from the sales of loans held for sale by LendingTree Loans. At September 30, 2010, there was $140.1 million outstanding under the lines of credit.</w:t>
      </w:r>
    </w:p>
    <w:p>
      <w:pPr>
        <w:spacing w:after="0" w:line="197"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The $50.0 million first line is scheduled to expire on June 29, 2011. This line can be cancelled at the option of the lender without default upon sixty days</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notice. This first line includes an additional uncommitted credit facility of $25.0 million. This first line is also guaranteed by Tree.com, Inc., Lending Tree, LLC</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and Lending Tree Holdings Corp. The interest rate under the first line is 2.25% plus the greater of (a) 30-day LIBOR or (b) 2.00%. The interest rate under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$25.0 million uncommitted line is 30-day LIBOR plus 1.50%. LendingTree Loans is also required to sell at least 25% of the loans it originates to the lender under</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this line or pay a "pair-off fee" of 0.25% on the difference between the required and actual volume of loans sold.</w:t>
      </w:r>
    </w:p>
    <w:p>
      <w:pPr>
        <w:spacing w:after="0" w:line="219" w:lineRule="exact"/>
        <w:rPr>
          <w:sz w:val="20"/>
          <w:szCs w:val="20"/>
          <w:color w:val="auto"/>
        </w:rPr>
      </w:pPr>
    </w:p>
    <w:p>
      <w:pPr>
        <w:ind w:right="60" w:firstLine="348"/>
        <w:spacing w:after="0" w:line="254" w:lineRule="auto"/>
        <w:rPr>
          <w:sz w:val="20"/>
          <w:szCs w:val="20"/>
          <w:color w:val="auto"/>
        </w:rPr>
      </w:pPr>
      <w:r>
        <w:rPr>
          <w:rFonts w:ascii="Arial" w:cs="Arial" w:eastAsia="Arial" w:hAnsi="Arial"/>
          <w:sz w:val="18"/>
          <w:szCs w:val="18"/>
          <w:color w:val="auto"/>
        </w:rPr>
        <w:t>The borrowing capacity of the second line was increased from $75.0 million to $100.0 million upon renewal of the line effective October 29, 2010. The expiration date of this line is October 28, 2011. This second line is also guaranteed by Tree.com, Inc., LendingTree, LLC and LendingTree Holdings Corp. The interest rate under this line was decreased from 30-day Adjusted LIBOR or 2.0% (whichever is greater) plus 2.50% to 3.0% prior to renewal, to 30-day Adjusted LIBOR or 2.0% (whichever is greater) plus 2.25% to 2.5% after renewal, for loans being sold to the lender. Additionally, the interest rate for loans not being sold to the lender was decreased from 30-day Adjusted LIBOR or 2.0% (whichever is greater) plus 2.75% prior to renewal, to 30-day Adjusted LIBOR or 2.0% (whichever is greater) plus 2.25% after renewal.</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51" w:name="page52"/>
    <w:bookmarkEnd w:id="5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0" w:firstLine="351"/>
        <w:spacing w:after="0" w:line="298" w:lineRule="auto"/>
        <w:rPr>
          <w:sz w:val="20"/>
          <w:szCs w:val="20"/>
          <w:color w:val="auto"/>
        </w:rPr>
      </w:pPr>
      <w:r>
        <w:rPr>
          <w:rFonts w:ascii="Arial" w:cs="Arial" w:eastAsia="Arial" w:hAnsi="Arial"/>
          <w:sz w:val="16"/>
          <w:szCs w:val="16"/>
          <w:color w:val="auto"/>
        </w:rPr>
        <w:t>Under the terms of these warehouse lines, LendingTree Loans is required to maintain various financial and other covenants. These financial covenants include, but are not limited to, maintaining (i) minimum tangible net worth of $25.0 million, (ii) minimum liquidity, (iii) a minimum current ratio, (iv) a maximum ratio of total liabilities to net worth, (v) a maximum leverage ratio,(vi) pre-tax net income requirements and (vii) a maximum warehouse capacity ratio. During the quarter ended September 30, 2010, LendingTree Loans was in compliance with the covenants under the lines.</w:t>
      </w:r>
    </w:p>
    <w:p>
      <w:pPr>
        <w:spacing w:after="0" w:line="167" w:lineRule="exact"/>
        <w:rPr>
          <w:sz w:val="20"/>
          <w:szCs w:val="20"/>
          <w:color w:val="auto"/>
        </w:rPr>
      </w:pPr>
    </w:p>
    <w:p>
      <w:pPr>
        <w:ind w:firstLine="348"/>
        <w:spacing w:after="0" w:line="256" w:lineRule="auto"/>
        <w:rPr>
          <w:sz w:val="20"/>
          <w:szCs w:val="20"/>
          <w:color w:val="auto"/>
        </w:rPr>
      </w:pPr>
      <w:r>
        <w:rPr>
          <w:rFonts w:ascii="Arial" w:cs="Arial" w:eastAsia="Arial" w:hAnsi="Arial"/>
          <w:sz w:val="18"/>
          <w:szCs w:val="18"/>
          <w:color w:val="auto"/>
        </w:rPr>
        <w:t>The LendingTree Loans business is highly dependent on the availability of these warehouse lines. Although we believe that our existing lines of credit are adequate for our current operations, reductions in our available credit, or the inability to renew or replace these lines, would have a material adverse effect on our business, financial condition and results of operations. Management has determined that it could continue to operate the LendingTree Loans business at a reduced capacity if one, but not both, of the warehouse lines were lost.</w:t>
      </w:r>
    </w:p>
    <w:p>
      <w:pPr>
        <w:spacing w:after="0" w:line="197"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Tree.com anticipates that it will need to make capital and other expenditures in connection with the development and expansion of its overall operations.</w:t>
      </w:r>
    </w:p>
    <w:p>
      <w:pPr>
        <w:spacing w:after="0" w:line="248" w:lineRule="exact"/>
        <w:rPr>
          <w:sz w:val="20"/>
          <w:szCs w:val="20"/>
          <w:color w:val="auto"/>
        </w:rPr>
      </w:pPr>
    </w:p>
    <w:p>
      <w:pPr>
        <w:ind w:firstLine="351"/>
        <w:spacing w:after="0" w:line="298" w:lineRule="auto"/>
        <w:rPr>
          <w:sz w:val="20"/>
          <w:szCs w:val="20"/>
          <w:color w:val="auto"/>
        </w:rPr>
      </w:pPr>
      <w:r>
        <w:rPr>
          <w:rFonts w:ascii="Arial" w:cs="Arial" w:eastAsia="Arial" w:hAnsi="Arial"/>
          <w:sz w:val="16"/>
          <w:szCs w:val="16"/>
          <w:color w:val="auto"/>
        </w:rPr>
        <w:t>In connection with the completion of the spin-off, intercompany payable balances with IAC were extinguished and IAC transferred to Tree.com an amount of cash that was sufficient for its initial capitalization. Tree.com has considered its anticipated operating cash flows in 2010, cash and cash equivalents, current capacity under its warehouse lines of credit and access to capital markets, subject to restrictions in the tax sharing agreement, and believes that these are sufficient to fund its operating needs, including debt requirements, commitments, contingencies, capital and investing commitments for the foreseeable future.</w:t>
      </w: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CONTRACTUAL OBLIGATIONS AND COMMERCIAL COMMITMENTS</w:t>
      </w:r>
    </w:p>
    <w:p>
      <w:pPr>
        <w:spacing w:after="0" w:line="281"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6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840" w:type="dxa"/>
            <w:vAlign w:val="bottom"/>
            <w:tcBorders>
              <w:bottom w:val="single" w:sz="8" w:color="auto"/>
            </w:tcBorders>
            <w:gridSpan w:val="6"/>
          </w:tcPr>
          <w:p>
            <w:pPr>
              <w:jc w:val="right"/>
              <w:ind w:right="120"/>
              <w:spacing w:after="0"/>
              <w:rPr>
                <w:sz w:val="20"/>
                <w:szCs w:val="20"/>
                <w:color w:val="auto"/>
              </w:rPr>
            </w:pPr>
            <w:r>
              <w:rPr>
                <w:rFonts w:ascii="Arial" w:cs="Arial" w:eastAsia="Arial" w:hAnsi="Arial"/>
                <w:sz w:val="14"/>
                <w:szCs w:val="14"/>
                <w:b w:val="1"/>
                <w:bCs w:val="1"/>
                <w:color w:val="auto"/>
              </w:rPr>
              <w:t>Payments Due by Period</w:t>
            </w:r>
          </w:p>
        </w:tc>
        <w:tc>
          <w:tcPr>
            <w:tcW w:w="5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r>
      <w:tr>
        <w:trPr>
          <w:trHeight w:val="129"/>
        </w:trPr>
        <w:tc>
          <w:tcPr>
            <w:tcW w:w="20" w:type="dxa"/>
            <w:vAlign w:val="bottom"/>
          </w:tcPr>
          <w:p>
            <w:pPr>
              <w:spacing w:after="0"/>
              <w:rPr>
                <w:sz w:val="11"/>
                <w:szCs w:val="11"/>
                <w:color w:val="auto"/>
              </w:rPr>
            </w:pPr>
          </w:p>
        </w:tc>
        <w:tc>
          <w:tcPr>
            <w:tcW w:w="26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9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ind w:left="20"/>
              <w:spacing w:after="0" w:line="129" w:lineRule="exact"/>
              <w:rPr>
                <w:sz w:val="20"/>
                <w:szCs w:val="20"/>
                <w:color w:val="auto"/>
              </w:rPr>
            </w:pPr>
            <w:r>
              <w:rPr>
                <w:rFonts w:ascii="Arial" w:cs="Arial" w:eastAsia="Arial" w:hAnsi="Arial"/>
                <w:sz w:val="14"/>
                <w:szCs w:val="14"/>
                <w:b w:val="1"/>
                <w:bCs w:val="1"/>
                <w:color w:val="auto"/>
              </w:rPr>
              <w:t>More</w:t>
            </w:r>
          </w:p>
        </w:tc>
        <w:tc>
          <w:tcPr>
            <w:tcW w:w="160" w:type="dxa"/>
            <w:vAlign w:val="bottom"/>
          </w:tcPr>
          <w:p>
            <w:pPr>
              <w:spacing w:after="0"/>
              <w:rPr>
                <w:sz w:val="11"/>
                <w:szCs w:val="11"/>
                <w:color w:val="auto"/>
              </w:rPr>
            </w:pPr>
          </w:p>
        </w:tc>
      </w:tr>
      <w:tr>
        <w:trPr>
          <w:trHeight w:val="149"/>
        </w:trPr>
        <w:tc>
          <w:tcPr>
            <w:tcW w:w="20" w:type="dxa"/>
            <w:vAlign w:val="bottom"/>
          </w:tcPr>
          <w:p>
            <w:pPr>
              <w:spacing w:after="0"/>
              <w:rPr>
                <w:sz w:val="12"/>
                <w:szCs w:val="12"/>
                <w:color w:val="auto"/>
              </w:rPr>
            </w:pPr>
          </w:p>
        </w:tc>
        <w:tc>
          <w:tcPr>
            <w:tcW w:w="26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9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jc w:val="right"/>
              <w:ind w:right="20"/>
              <w:spacing w:after="0" w:line="149" w:lineRule="exact"/>
              <w:rPr>
                <w:sz w:val="20"/>
                <w:szCs w:val="20"/>
                <w:color w:val="auto"/>
              </w:rPr>
            </w:pPr>
            <w:r>
              <w:rPr>
                <w:rFonts w:ascii="Arial" w:cs="Arial" w:eastAsia="Arial" w:hAnsi="Arial"/>
                <w:sz w:val="14"/>
                <w:szCs w:val="14"/>
                <w:b w:val="1"/>
                <w:bCs w:val="1"/>
                <w:color w:val="auto"/>
                <w:w w:val="83"/>
              </w:rPr>
              <w:t>Less Than</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jc w:val="right"/>
              <w:ind w:right="157"/>
              <w:spacing w:after="0" w:line="149" w:lineRule="exact"/>
              <w:rPr>
                <w:sz w:val="20"/>
                <w:szCs w:val="20"/>
                <w:color w:val="auto"/>
              </w:rPr>
            </w:pPr>
            <w:r>
              <w:rPr>
                <w:rFonts w:ascii="Arial" w:cs="Arial" w:eastAsia="Arial" w:hAnsi="Arial"/>
                <w:sz w:val="14"/>
                <w:szCs w:val="14"/>
                <w:b w:val="1"/>
                <w:bCs w:val="1"/>
                <w:color w:val="auto"/>
              </w:rPr>
              <w:t>1 - 3</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jc w:val="right"/>
              <w:ind w:right="117"/>
              <w:spacing w:after="0" w:line="149" w:lineRule="exact"/>
              <w:rPr>
                <w:sz w:val="20"/>
                <w:szCs w:val="20"/>
                <w:color w:val="auto"/>
              </w:rPr>
            </w:pPr>
            <w:r>
              <w:rPr>
                <w:rFonts w:ascii="Arial" w:cs="Arial" w:eastAsia="Arial" w:hAnsi="Arial"/>
                <w:sz w:val="14"/>
                <w:szCs w:val="14"/>
                <w:b w:val="1"/>
                <w:bCs w:val="1"/>
                <w:color w:val="auto"/>
                <w:w w:val="99"/>
              </w:rPr>
              <w:t>3 - 5</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rPr>
              <w:t>Than</w:t>
            </w:r>
          </w:p>
        </w:tc>
      </w:tr>
      <w:tr>
        <w:trPr>
          <w:trHeight w:val="161"/>
        </w:trPr>
        <w:tc>
          <w:tcPr>
            <w:tcW w:w="4860" w:type="dxa"/>
            <w:vAlign w:val="bottom"/>
            <w:gridSpan w:val="4"/>
          </w:tcPr>
          <w:p>
            <w:pPr>
              <w:spacing w:after="0"/>
              <w:rPr>
                <w:sz w:val="20"/>
                <w:szCs w:val="20"/>
                <w:color w:val="auto"/>
              </w:rPr>
            </w:pPr>
            <w:r>
              <w:rPr>
                <w:rFonts w:ascii="Arial" w:cs="Arial" w:eastAsia="Arial" w:hAnsi="Arial"/>
                <w:sz w:val="14"/>
                <w:szCs w:val="14"/>
                <w:b w:val="1"/>
                <w:bCs w:val="1"/>
                <w:color w:val="auto"/>
              </w:rPr>
              <w:t>Contractual Obligations as of September 30, 2010</w:t>
            </w:r>
          </w:p>
        </w:tc>
        <w:tc>
          <w:tcPr>
            <w:tcW w:w="160" w:type="dxa"/>
            <w:vAlign w:val="bottom"/>
          </w:tcPr>
          <w:p>
            <w:pPr>
              <w:spacing w:after="0"/>
              <w:rPr>
                <w:sz w:val="14"/>
                <w:szCs w:val="14"/>
                <w:color w:val="auto"/>
              </w:rPr>
            </w:pPr>
          </w:p>
        </w:tc>
        <w:tc>
          <w:tcPr>
            <w:tcW w:w="620" w:type="dxa"/>
            <w:vAlign w:val="bottom"/>
          </w:tcPr>
          <w:p>
            <w:pPr>
              <w:jc w:val="right"/>
              <w:ind w:right="155"/>
              <w:spacing w:after="0"/>
              <w:rPr>
                <w:sz w:val="20"/>
                <w:szCs w:val="20"/>
                <w:color w:val="auto"/>
              </w:rPr>
            </w:pPr>
            <w:r>
              <w:rPr>
                <w:rFonts w:ascii="Arial" w:cs="Arial" w:eastAsia="Arial" w:hAnsi="Arial"/>
                <w:sz w:val="14"/>
                <w:szCs w:val="14"/>
                <w:b w:val="1"/>
                <w:bCs w:val="1"/>
                <w:color w:val="auto"/>
              </w:rPr>
              <w:t>Total</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jc w:val="right"/>
              <w:ind w:right="140"/>
              <w:spacing w:after="0"/>
              <w:rPr>
                <w:sz w:val="20"/>
                <w:szCs w:val="20"/>
                <w:color w:val="auto"/>
              </w:rPr>
            </w:pPr>
            <w:r>
              <w:rPr>
                <w:rFonts w:ascii="Arial" w:cs="Arial" w:eastAsia="Arial" w:hAnsi="Arial"/>
                <w:sz w:val="14"/>
                <w:szCs w:val="14"/>
                <w:b w:val="1"/>
                <w:bCs w:val="1"/>
                <w:color w:val="auto"/>
              </w:rPr>
              <w:t>1 Year</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jc w:val="right"/>
              <w:ind w:right="117"/>
              <w:spacing w:after="0"/>
              <w:rPr>
                <w:sz w:val="20"/>
                <w:szCs w:val="20"/>
                <w:color w:val="auto"/>
              </w:rPr>
            </w:pPr>
            <w:r>
              <w:rPr>
                <w:rFonts w:ascii="Arial" w:cs="Arial" w:eastAsia="Arial" w:hAnsi="Arial"/>
                <w:sz w:val="14"/>
                <w:szCs w:val="14"/>
                <w:b w:val="1"/>
                <w:bCs w:val="1"/>
                <w:color w:val="auto"/>
                <w:w w:val="89"/>
              </w:rPr>
              <w:t>Years</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jc w:val="right"/>
              <w:ind w:right="77"/>
              <w:spacing w:after="0"/>
              <w:rPr>
                <w:sz w:val="20"/>
                <w:szCs w:val="20"/>
                <w:color w:val="auto"/>
              </w:rPr>
            </w:pPr>
            <w:r>
              <w:rPr>
                <w:rFonts w:ascii="Arial" w:cs="Arial" w:eastAsia="Arial" w:hAnsi="Arial"/>
                <w:sz w:val="14"/>
                <w:szCs w:val="14"/>
                <w:b w:val="1"/>
                <w:bCs w:val="1"/>
                <w:color w:val="auto"/>
                <w:w w:val="83"/>
              </w:rPr>
              <w:t>Years</w:t>
            </w:r>
          </w:p>
        </w:tc>
        <w:tc>
          <w:tcPr>
            <w:tcW w:w="160" w:type="dxa"/>
            <w:vAlign w:val="bottom"/>
          </w:tcPr>
          <w:p>
            <w:pPr>
              <w:spacing w:after="0"/>
              <w:rPr>
                <w:sz w:val="14"/>
                <w:szCs w:val="14"/>
                <w:color w:val="auto"/>
              </w:rPr>
            </w:pPr>
          </w:p>
        </w:tc>
        <w:tc>
          <w:tcPr>
            <w:tcW w:w="740" w:type="dxa"/>
            <w:vAlign w:val="bottom"/>
            <w:gridSpan w:val="3"/>
          </w:tcPr>
          <w:p>
            <w:pPr>
              <w:ind w:left="80"/>
              <w:spacing w:after="0"/>
              <w:rPr>
                <w:sz w:val="20"/>
                <w:szCs w:val="20"/>
                <w:color w:val="auto"/>
              </w:rPr>
            </w:pPr>
            <w:r>
              <w:rPr>
                <w:rFonts w:ascii="Arial" w:cs="Arial" w:eastAsia="Arial" w:hAnsi="Arial"/>
                <w:sz w:val="14"/>
                <w:szCs w:val="14"/>
                <w:b w:val="1"/>
                <w:bCs w:val="1"/>
                <w:color w:val="auto"/>
              </w:rPr>
              <w:t>5 Years</w:t>
            </w:r>
          </w:p>
        </w:tc>
      </w:tr>
      <w:tr>
        <w:trPr>
          <w:trHeight w:val="20"/>
        </w:trPr>
        <w:tc>
          <w:tcPr>
            <w:tcW w:w="20" w:type="dxa"/>
            <w:vAlign w:val="bottom"/>
          </w:tcPr>
          <w:p>
            <w:pPr>
              <w:spacing w:after="0" w:line="20" w:lineRule="exact"/>
              <w:rPr>
                <w:sz w:val="1"/>
                <w:szCs w:val="1"/>
                <w:color w:val="auto"/>
              </w:rPr>
            </w:pPr>
          </w:p>
        </w:tc>
        <w:tc>
          <w:tcPr>
            <w:tcW w:w="26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gridSpan w:val="2"/>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142"/>
        </w:trPr>
        <w:tc>
          <w:tcPr>
            <w:tcW w:w="20" w:type="dxa"/>
            <w:vAlign w:val="bottom"/>
          </w:tcPr>
          <w:p>
            <w:pPr>
              <w:spacing w:after="0"/>
              <w:rPr>
                <w:sz w:val="12"/>
                <w:szCs w:val="12"/>
                <w:color w:val="auto"/>
              </w:rPr>
            </w:pPr>
          </w:p>
        </w:tc>
        <w:tc>
          <w:tcPr>
            <w:tcW w:w="26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9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60" w:type="dxa"/>
            <w:vAlign w:val="bottom"/>
            <w:gridSpan w:val="4"/>
          </w:tcPr>
          <w:p>
            <w:pPr>
              <w:jc w:val="right"/>
              <w:ind w:right="37"/>
              <w:spacing w:after="0" w:line="142" w:lineRule="exact"/>
              <w:rPr>
                <w:sz w:val="20"/>
                <w:szCs w:val="20"/>
                <w:color w:val="auto"/>
              </w:rPr>
            </w:pPr>
            <w:r>
              <w:rPr>
                <w:rFonts w:ascii="Arial" w:cs="Arial" w:eastAsia="Arial" w:hAnsi="Arial"/>
                <w:sz w:val="14"/>
                <w:szCs w:val="14"/>
                <w:b w:val="1"/>
                <w:bCs w:val="1"/>
                <w:color w:val="auto"/>
              </w:rPr>
              <w:t>(In thousands)</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48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Short-term borrowings(a)</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140,112</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140,112</w:t>
            </w:r>
          </w:p>
        </w:tc>
        <w:tc>
          <w:tcPr>
            <w:tcW w:w="3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4840" w:type="dxa"/>
            <w:vAlign w:val="bottom"/>
            <w:gridSpan w:val="3"/>
          </w:tcPr>
          <w:p>
            <w:pPr>
              <w:spacing w:after="0"/>
              <w:rPr>
                <w:sz w:val="20"/>
                <w:szCs w:val="20"/>
                <w:color w:val="auto"/>
              </w:rPr>
            </w:pPr>
            <w:r>
              <w:rPr>
                <w:rFonts w:ascii="Arial" w:cs="Arial" w:eastAsia="Arial" w:hAnsi="Arial"/>
                <w:sz w:val="18"/>
                <w:szCs w:val="18"/>
                <w:color w:val="auto"/>
              </w:rPr>
              <w:t>Capital lease obligations</w:t>
            </w: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108</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44</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64</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gridSpan w:val="2"/>
          </w:tcPr>
          <w:p>
            <w:pPr>
              <w:ind w:left="28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48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Purchase obligations(b)</w:t>
            </w: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3,736</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3,736</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4840" w:type="dxa"/>
            <w:vAlign w:val="bottom"/>
            <w:gridSpan w:val="3"/>
          </w:tcPr>
          <w:p>
            <w:pPr>
              <w:spacing w:after="0"/>
              <w:rPr>
                <w:sz w:val="20"/>
                <w:szCs w:val="20"/>
                <w:color w:val="auto"/>
              </w:rPr>
            </w:pPr>
            <w:r>
              <w:rPr>
                <w:rFonts w:ascii="Arial" w:cs="Arial" w:eastAsia="Arial" w:hAnsi="Arial"/>
                <w:sz w:val="18"/>
                <w:szCs w:val="18"/>
                <w:color w:val="auto"/>
              </w:rPr>
              <w:t>Loan loss settlement obligations(c)</w:t>
            </w: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1,350</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1,350</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gridSpan w:val="2"/>
          </w:tcPr>
          <w:p>
            <w:pPr>
              <w:ind w:left="28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48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Preferred stock liquidation value and accreted interest(d)</w:t>
            </w: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3,112</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3,112</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r>
      <w:tr>
        <w:trPr>
          <w:trHeight w:val="222"/>
        </w:trPr>
        <w:tc>
          <w:tcPr>
            <w:tcW w:w="20" w:type="dxa"/>
            <w:vAlign w:val="bottom"/>
          </w:tcPr>
          <w:p>
            <w:pPr>
              <w:spacing w:after="0"/>
              <w:rPr>
                <w:sz w:val="19"/>
                <w:szCs w:val="19"/>
                <w:color w:val="auto"/>
              </w:rPr>
            </w:pPr>
          </w:p>
        </w:tc>
        <w:tc>
          <w:tcPr>
            <w:tcW w:w="4840" w:type="dxa"/>
            <w:vAlign w:val="bottom"/>
            <w:gridSpan w:val="3"/>
          </w:tcPr>
          <w:p>
            <w:pPr>
              <w:spacing w:after="0"/>
              <w:rPr>
                <w:sz w:val="20"/>
                <w:szCs w:val="20"/>
                <w:color w:val="auto"/>
              </w:rPr>
            </w:pPr>
            <w:r>
              <w:rPr>
                <w:rFonts w:ascii="Arial" w:cs="Arial" w:eastAsia="Arial" w:hAnsi="Arial"/>
                <w:sz w:val="18"/>
                <w:szCs w:val="18"/>
                <w:color w:val="auto"/>
              </w:rPr>
              <w:t>Operating leases</w:t>
            </w:r>
          </w:p>
        </w:tc>
        <w:tc>
          <w:tcPr>
            <w:tcW w:w="1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19,280</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4,496</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8,220</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6,564</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gridSpan w:val="2"/>
          </w:tcPr>
          <w:p>
            <w:pPr>
              <w:ind w:left="280"/>
              <w:spacing w:after="0"/>
              <w:rPr>
                <w:sz w:val="20"/>
                <w:szCs w:val="20"/>
                <w:color w:val="auto"/>
              </w:rPr>
            </w:pPr>
            <w:r>
              <w:rPr>
                <w:rFonts w:ascii="Arial" w:cs="Arial" w:eastAsia="Arial" w:hAnsi="Arial"/>
                <w:sz w:val="18"/>
                <w:szCs w:val="18"/>
                <w:color w:val="auto"/>
              </w:rPr>
              <w:t>—</w:t>
            </w:r>
          </w:p>
        </w:tc>
      </w:tr>
      <w:tr>
        <w:trPr>
          <w:trHeight w:val="21"/>
        </w:trPr>
        <w:tc>
          <w:tcPr>
            <w:tcW w:w="2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8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Total contractual cash obligations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167,698</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149,738</w:t>
            </w:r>
          </w:p>
        </w:tc>
        <w:tc>
          <w:tcPr>
            <w:tcW w:w="3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11,396</w:t>
            </w:r>
          </w:p>
        </w:tc>
        <w:tc>
          <w:tcPr>
            <w:tcW w:w="2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6,564</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r>
      <w:tr>
        <w:trPr>
          <w:trHeight w:val="27"/>
        </w:trPr>
        <w:tc>
          <w:tcPr>
            <w:tcW w:w="20" w:type="dxa"/>
            <w:vAlign w:val="bottom"/>
          </w:tcPr>
          <w:p>
            <w:pPr>
              <w:spacing w:after="0"/>
              <w:rPr>
                <w:sz w:val="2"/>
                <w:szCs w:val="2"/>
                <w:color w:val="auto"/>
              </w:rPr>
            </w:pPr>
          </w:p>
        </w:tc>
        <w:tc>
          <w:tcPr>
            <w:tcW w:w="26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9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r>
      <w:tr>
        <w:trPr>
          <w:trHeight w:val="20"/>
        </w:trPr>
        <w:tc>
          <w:tcPr>
            <w:tcW w:w="2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89"/>
        </w:trPr>
        <w:tc>
          <w:tcPr>
            <w:tcW w:w="20" w:type="dxa"/>
            <w:vAlign w:val="bottom"/>
          </w:tcPr>
          <w:p>
            <w:pPr>
              <w:spacing w:after="0"/>
              <w:rPr>
                <w:sz w:val="7"/>
                <w:szCs w:val="7"/>
                <w:color w:val="auto"/>
              </w:rPr>
            </w:pPr>
          </w:p>
        </w:tc>
        <w:tc>
          <w:tcPr>
            <w:tcW w:w="2680" w:type="dxa"/>
            <w:vAlign w:val="bottom"/>
            <w:tcBorders>
              <w:bottom w:val="single" w:sz="8" w:color="auto"/>
            </w:tcBorders>
          </w:tcPr>
          <w:p>
            <w:pPr>
              <w:spacing w:after="0"/>
              <w:rPr>
                <w:sz w:val="7"/>
                <w:szCs w:val="7"/>
                <w:color w:val="auto"/>
              </w:rPr>
            </w:pPr>
          </w:p>
        </w:tc>
        <w:tc>
          <w:tcPr>
            <w:tcW w:w="180" w:type="dxa"/>
            <w:vAlign w:val="bottom"/>
          </w:tcPr>
          <w:p>
            <w:pPr>
              <w:spacing w:after="0"/>
              <w:rPr>
                <w:sz w:val="7"/>
                <w:szCs w:val="7"/>
                <w:color w:val="auto"/>
              </w:rPr>
            </w:pPr>
          </w:p>
        </w:tc>
        <w:tc>
          <w:tcPr>
            <w:tcW w:w="1980" w:type="dxa"/>
            <w:vAlign w:val="bottom"/>
          </w:tcPr>
          <w:p>
            <w:pPr>
              <w:spacing w:after="0"/>
              <w:rPr>
                <w:sz w:val="7"/>
                <w:szCs w:val="7"/>
                <w:color w:val="auto"/>
              </w:rPr>
            </w:pPr>
          </w:p>
        </w:tc>
        <w:tc>
          <w:tcPr>
            <w:tcW w:w="160" w:type="dxa"/>
            <w:vAlign w:val="bottom"/>
          </w:tcPr>
          <w:p>
            <w:pPr>
              <w:spacing w:after="0"/>
              <w:rPr>
                <w:sz w:val="7"/>
                <w:szCs w:val="7"/>
                <w:color w:val="auto"/>
              </w:rPr>
            </w:pPr>
          </w:p>
        </w:tc>
        <w:tc>
          <w:tcPr>
            <w:tcW w:w="62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0" w:type="dxa"/>
            <w:vAlign w:val="bottom"/>
          </w:tcPr>
          <w:p>
            <w:pPr>
              <w:spacing w:after="0"/>
              <w:rPr>
                <w:sz w:val="7"/>
                <w:szCs w:val="7"/>
                <w:color w:val="auto"/>
              </w:rPr>
            </w:pPr>
          </w:p>
        </w:tc>
        <w:tc>
          <w:tcPr>
            <w:tcW w:w="700" w:type="dxa"/>
            <w:vAlign w:val="bottom"/>
          </w:tcPr>
          <w:p>
            <w:pPr>
              <w:spacing w:after="0"/>
              <w:rPr>
                <w:sz w:val="7"/>
                <w:szCs w:val="7"/>
                <w:color w:val="auto"/>
              </w:rPr>
            </w:pPr>
          </w:p>
        </w:tc>
        <w:tc>
          <w:tcPr>
            <w:tcW w:w="160" w:type="dxa"/>
            <w:vAlign w:val="bottom"/>
          </w:tcPr>
          <w:p>
            <w:pPr>
              <w:spacing w:after="0"/>
              <w:rPr>
                <w:sz w:val="7"/>
                <w:szCs w:val="7"/>
                <w:color w:val="auto"/>
              </w:rPr>
            </w:pPr>
          </w:p>
        </w:tc>
        <w:tc>
          <w:tcPr>
            <w:tcW w:w="140" w:type="dxa"/>
            <w:vAlign w:val="bottom"/>
          </w:tcPr>
          <w:p>
            <w:pPr>
              <w:spacing w:after="0"/>
              <w:rPr>
                <w:sz w:val="7"/>
                <w:szCs w:val="7"/>
                <w:color w:val="auto"/>
              </w:rPr>
            </w:pPr>
          </w:p>
        </w:tc>
        <w:tc>
          <w:tcPr>
            <w:tcW w:w="560" w:type="dxa"/>
            <w:vAlign w:val="bottom"/>
          </w:tcPr>
          <w:p>
            <w:pPr>
              <w:spacing w:after="0"/>
              <w:rPr>
                <w:sz w:val="7"/>
                <w:szCs w:val="7"/>
                <w:color w:val="auto"/>
              </w:rPr>
            </w:pPr>
          </w:p>
        </w:tc>
        <w:tc>
          <w:tcPr>
            <w:tcW w:w="160" w:type="dxa"/>
            <w:vAlign w:val="bottom"/>
          </w:tcPr>
          <w:p>
            <w:pPr>
              <w:spacing w:after="0"/>
              <w:rPr>
                <w:sz w:val="7"/>
                <w:szCs w:val="7"/>
                <w:color w:val="auto"/>
              </w:rPr>
            </w:pPr>
          </w:p>
        </w:tc>
        <w:tc>
          <w:tcPr>
            <w:tcW w:w="120" w:type="dxa"/>
            <w:vAlign w:val="bottom"/>
          </w:tcPr>
          <w:p>
            <w:pPr>
              <w:spacing w:after="0"/>
              <w:rPr>
                <w:sz w:val="7"/>
                <w:szCs w:val="7"/>
                <w:color w:val="auto"/>
              </w:rPr>
            </w:pPr>
          </w:p>
        </w:tc>
        <w:tc>
          <w:tcPr>
            <w:tcW w:w="500" w:type="dxa"/>
            <w:vAlign w:val="bottom"/>
          </w:tcPr>
          <w:p>
            <w:pPr>
              <w:spacing w:after="0"/>
              <w:rPr>
                <w:sz w:val="7"/>
                <w:szCs w:val="7"/>
                <w:color w:val="auto"/>
              </w:rPr>
            </w:pPr>
          </w:p>
        </w:tc>
        <w:tc>
          <w:tcPr>
            <w:tcW w:w="160" w:type="dxa"/>
            <w:vAlign w:val="bottom"/>
          </w:tcPr>
          <w:p>
            <w:pPr>
              <w:spacing w:after="0"/>
              <w:rPr>
                <w:sz w:val="7"/>
                <w:szCs w:val="7"/>
                <w:color w:val="auto"/>
              </w:rPr>
            </w:pPr>
          </w:p>
        </w:tc>
        <w:tc>
          <w:tcPr>
            <w:tcW w:w="120" w:type="dxa"/>
            <w:vAlign w:val="bottom"/>
          </w:tcPr>
          <w:p>
            <w:pPr>
              <w:spacing w:after="0"/>
              <w:rPr>
                <w:sz w:val="7"/>
                <w:szCs w:val="7"/>
                <w:color w:val="auto"/>
              </w:rPr>
            </w:pPr>
          </w:p>
        </w:tc>
        <w:tc>
          <w:tcPr>
            <w:tcW w:w="460" w:type="dxa"/>
            <w:vAlign w:val="bottom"/>
          </w:tcPr>
          <w:p>
            <w:pPr>
              <w:spacing w:after="0"/>
              <w:rPr>
                <w:sz w:val="7"/>
                <w:szCs w:val="7"/>
                <w:color w:val="auto"/>
              </w:rPr>
            </w:pPr>
          </w:p>
        </w:tc>
        <w:tc>
          <w:tcPr>
            <w:tcW w:w="160" w:type="dxa"/>
            <w:vAlign w:val="bottom"/>
          </w:tcPr>
          <w:p>
            <w:pPr>
              <w:spacing w:after="0"/>
              <w:rPr>
                <w:sz w:val="7"/>
                <w:szCs w:val="7"/>
                <w:color w:val="auto"/>
              </w:rPr>
            </w:pPr>
          </w:p>
        </w:tc>
      </w:tr>
    </w:tbl>
    <w:p>
      <w:pPr>
        <w:spacing w:after="0" w:line="221" w:lineRule="exact"/>
        <w:rPr>
          <w:sz w:val="20"/>
          <w:szCs w:val="20"/>
          <w:color w:val="auto"/>
        </w:rPr>
      </w:pPr>
    </w:p>
    <w:p>
      <w:pPr>
        <w:ind w:left="1680" w:right="200" w:hanging="531"/>
        <w:spacing w:after="0" w:line="259" w:lineRule="auto"/>
        <w:tabs>
          <w:tab w:leader="none" w:pos="168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short-term borrowings are the Company's warehouse lines of credit that are used exclusively for funding loans held for sale. These borrowings are collateralized by and are repaid from proceeds from selling the loans held for sale. Interest on these borrowings as of September 30, 2010 is not significant.</w:t>
      </w:r>
    </w:p>
    <w:p>
      <w:pPr>
        <w:spacing w:after="0" w:line="221" w:lineRule="exact"/>
        <w:rPr>
          <w:rFonts w:ascii="Arial" w:cs="Arial" w:eastAsia="Arial" w:hAnsi="Arial"/>
          <w:sz w:val="18"/>
          <w:szCs w:val="18"/>
          <w:color w:val="auto"/>
        </w:rPr>
      </w:pPr>
    </w:p>
    <w:p>
      <w:pPr>
        <w:ind w:left="1680" w:hanging="531"/>
        <w:spacing w:after="0"/>
        <w:tabs>
          <w:tab w:leader="none" w:pos="168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purchase obligations primarily relate to marketing event contracts in 2010.</w:t>
      </w:r>
    </w:p>
    <w:p>
      <w:pPr>
        <w:spacing w:after="0" w:line="238" w:lineRule="exact"/>
        <w:rPr>
          <w:rFonts w:ascii="Arial" w:cs="Arial" w:eastAsia="Arial" w:hAnsi="Arial"/>
          <w:sz w:val="18"/>
          <w:szCs w:val="18"/>
          <w:color w:val="auto"/>
        </w:rPr>
      </w:pPr>
    </w:p>
    <w:p>
      <w:pPr>
        <w:ind w:left="1680" w:right="40" w:hanging="531"/>
        <w:spacing w:after="0" w:line="306" w:lineRule="auto"/>
        <w:tabs>
          <w:tab w:leader="none" w:pos="1680" w:val="left"/>
        </w:tabs>
        <w:numPr>
          <w:ilvl w:val="0"/>
          <w:numId w:val="8"/>
        </w:numPr>
        <w:rPr>
          <w:rFonts w:ascii="Arial" w:cs="Arial" w:eastAsia="Arial" w:hAnsi="Arial"/>
          <w:sz w:val="16"/>
          <w:szCs w:val="16"/>
          <w:color w:val="auto"/>
        </w:rPr>
      </w:pPr>
      <w:r>
        <w:rPr>
          <w:rFonts w:ascii="Arial" w:cs="Arial" w:eastAsia="Arial" w:hAnsi="Arial"/>
          <w:sz w:val="16"/>
          <w:szCs w:val="16"/>
          <w:color w:val="auto"/>
        </w:rPr>
        <w:t>In the fourth quarter of 2009, LendingTree Loans completed settlement negotiations with a buyer of previously purchased stated income second lien position loans. The settlement provides for fixed payments to be made in 2010 by LendingTree Loans as full settlement of all future losses with this investor related to this type of loans. Additionally, this amount includes the accrual of a pair-off</w:t>
      </w:r>
    </w:p>
    <w:p>
      <w:pPr>
        <w:spacing w:after="0" w:line="16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52" w:name="page53"/>
    <w:bookmarkEnd w:id="5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1680"/>
        <w:spacing w:after="0"/>
        <w:rPr>
          <w:sz w:val="20"/>
          <w:szCs w:val="20"/>
          <w:color w:val="auto"/>
        </w:rPr>
      </w:pPr>
      <w:r>
        <w:rPr>
          <w:rFonts w:ascii="Arial" w:cs="Arial" w:eastAsia="Arial" w:hAnsi="Arial"/>
          <w:sz w:val="16"/>
          <w:szCs w:val="16"/>
          <w:color w:val="auto"/>
        </w:rPr>
        <w:t>fee in conjunction with this settlement because LendingTree Loans did not sell a specified amount of loans to this investor in 2010.</w:t>
      </w:r>
    </w:p>
    <w:p>
      <w:pPr>
        <w:spacing w:after="0" w:line="262" w:lineRule="exact"/>
        <w:rPr>
          <w:sz w:val="20"/>
          <w:szCs w:val="20"/>
          <w:color w:val="auto"/>
        </w:rPr>
      </w:pPr>
    </w:p>
    <w:p>
      <w:pPr>
        <w:ind w:left="1680" w:right="180" w:hanging="531"/>
        <w:spacing w:after="0" w:line="256" w:lineRule="auto"/>
        <w:tabs>
          <w:tab w:leader="none" w:pos="168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preferred stock obligation represents the obligation the Company has to redeem at maturity the 2,097.67 shares of preferred stock which the Company's CEO was granted in LendingTree Holdings Corp., a subsidiary of Tree.com at the time of the spin-off from IAC. These shares earn dividends at 12%, will fully vest on August 20, 2011 but not payable until 2013, and have a liquidation preference of $2.1 million.</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Seasonality</w:t>
      </w:r>
    </w:p>
    <w:p>
      <w:pPr>
        <w:spacing w:after="0" w:line="231" w:lineRule="exact"/>
        <w:rPr>
          <w:sz w:val="20"/>
          <w:szCs w:val="20"/>
          <w:color w:val="auto"/>
        </w:rPr>
      </w:pPr>
    </w:p>
    <w:p>
      <w:pPr>
        <w:ind w:right="120" w:firstLine="351"/>
        <w:spacing w:after="0" w:line="306" w:lineRule="auto"/>
        <w:rPr>
          <w:sz w:val="20"/>
          <w:szCs w:val="20"/>
          <w:color w:val="auto"/>
        </w:rPr>
      </w:pPr>
      <w:r>
        <w:rPr>
          <w:rFonts w:ascii="Arial" w:cs="Arial" w:eastAsia="Arial" w:hAnsi="Arial"/>
          <w:sz w:val="16"/>
          <w:szCs w:val="16"/>
          <w:color w:val="auto"/>
        </w:rPr>
        <w:t>LendingTree Loans, Exchanges and Real Estate revenue is subject to the cyclical and seasonal trends of the U.S. housing market. Home sales typically rise during the spring and summer months and decline during the fall and winter months. Refinancing and home equity activity is principally driven by mortgage interest rates as well as real estate values. The broader cyclical trends in the mortgage and real estate markets have upset the usual seasonal trends.</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Accounting Pronouncements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Refer to Note 2 to the consolidated financial statements for a description of recent accounting pronouncements.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Nasdaq Compliance</w:t>
      </w:r>
    </w:p>
    <w:p>
      <w:pPr>
        <w:spacing w:after="0" w:line="231" w:lineRule="exact"/>
        <w:rPr>
          <w:sz w:val="20"/>
          <w:szCs w:val="20"/>
          <w:color w:val="auto"/>
        </w:rPr>
      </w:pPr>
    </w:p>
    <w:p>
      <w:pPr>
        <w:ind w:firstLine="351"/>
        <w:spacing w:after="0" w:line="289" w:lineRule="auto"/>
        <w:rPr>
          <w:sz w:val="20"/>
          <w:szCs w:val="20"/>
          <w:color w:val="auto"/>
        </w:rPr>
      </w:pPr>
      <w:r>
        <w:rPr>
          <w:rFonts w:ascii="Arial" w:cs="Arial" w:eastAsia="Arial" w:hAnsi="Arial"/>
          <w:sz w:val="16"/>
          <w:szCs w:val="16"/>
          <w:color w:val="auto"/>
        </w:rPr>
        <w:t>Steven Ozonian, a former independent member of our Board of Directors, voluntarily resigned from service on the Board of Directors, effective November 1, 2010, in connection with joining the Company as Chief Executive Officer of the Real Estate division. On November 1, 2010, we notified the Listings Qualifications Department of the Nasdaq Stock Market of Steven Ozonian's resignation from the Company's Board of Directors, effective November 1, 2010, and the resulting non-compliance with Nasdaq Marketplace Rule 5605 ("Rule 5605"), which requires that a majority of the Company's Board of Directors be comprised of independent members. On November 3, 2010, we received notice from Nasdaq advising that, as a result of Mr. Ozonian's resignation from the Board of Directors, we were not in compliance with Rule 5605 and confirming that we were provided a cure period until the earlier of the Company's next annual shareholders' meeting or October 31, 2011 to regain compliance, provided that if the next annual shareholders' meeting is held before April 29, 2011, then we must regain compliance no later than April 29, 2011. We anticipate that we will regain compliance within the time period noted.</w:t>
      </w: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TREE.COM'S PRINCIPLES OF FINANCIAL REPORTING</w:t>
      </w:r>
    </w:p>
    <w:p>
      <w:pPr>
        <w:spacing w:after="0" w:line="231" w:lineRule="exact"/>
        <w:rPr>
          <w:sz w:val="20"/>
          <w:szCs w:val="20"/>
          <w:color w:val="auto"/>
        </w:rPr>
      </w:pPr>
    </w:p>
    <w:p>
      <w:pPr>
        <w:jc w:val="both"/>
        <w:ind w:right="100" w:firstLine="348"/>
        <w:spacing w:after="0" w:line="291" w:lineRule="auto"/>
        <w:rPr>
          <w:sz w:val="20"/>
          <w:szCs w:val="20"/>
          <w:color w:val="auto"/>
        </w:rPr>
      </w:pPr>
      <w:r>
        <w:rPr>
          <w:rFonts w:ascii="Arial" w:cs="Arial" w:eastAsia="Arial" w:hAnsi="Arial"/>
          <w:sz w:val="16"/>
          <w:szCs w:val="16"/>
          <w:color w:val="auto"/>
        </w:rPr>
        <w:t>Tree.com reports Earnings Before Interest, Taxes, Depreciation and Amortization ("EBITDA"), and adjusted for certain items discussed below ("Adjusted EBITDA"), as supplemental measures to GAAP. These measures are two of the primary metrics by which Tree.com evaluates the performance of its businesses, on which its internal budgets are based and by which management is compensated. Tree.com believes that investors should have access to the same set of tools that it uses in analyzing its results. These non-GAAP measures should be considered in addition to results prepared in accordance with GAAP, but should not be considered a substitute for or superior to GAAP results. Tree.com provides and encourages investors to examine the reconciling adjustments between the GAAP and non-GAAP measure discussed below.</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Definition of Tree.com's Non-GAAP Measures</w:t>
      </w:r>
    </w:p>
    <w:p>
      <w:pPr>
        <w:spacing w:after="0" w:line="231" w:lineRule="exact"/>
        <w:rPr>
          <w:sz w:val="20"/>
          <w:szCs w:val="20"/>
          <w:color w:val="auto"/>
        </w:rPr>
      </w:pPr>
    </w:p>
    <w:p>
      <w:pPr>
        <w:jc w:val="both"/>
        <w:ind w:right="100" w:firstLine="341"/>
        <w:spacing w:after="0" w:line="268" w:lineRule="auto"/>
        <w:rPr>
          <w:sz w:val="20"/>
          <w:szCs w:val="20"/>
          <w:color w:val="auto"/>
        </w:rPr>
      </w:pPr>
      <w:r>
        <w:rPr>
          <w:rFonts w:ascii="Arial" w:cs="Arial" w:eastAsia="Arial" w:hAnsi="Arial"/>
          <w:sz w:val="18"/>
          <w:szCs w:val="18"/>
          <w:color w:val="auto"/>
        </w:rPr>
        <w:t>Adjusted EBITDA is defined as EBITDA excluding (1) non-cash compensation expense, (2) non-cash intangible asset impairment charges, (3) gain/loss on disposal of assets, (4) restructuring</w:t>
      </w:r>
    </w:p>
    <w:p>
      <w:pPr>
        <w:spacing w:after="0" w:line="18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53" w:name="page54"/>
    <w:bookmarkEnd w:id="5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expenses, (5) litigation loss contingencies and settlements, (6) pro forma adjustments for significant acquisitions, and (7) one-time items. Adjusted EBITDA has certain limitations in that it does not take into account the impact to Tree.com's statement of operations of certain expenses, including depreciation, non-cash compensation and acquisition related accounting. Tree.com endeavors to compensate for the limitations of the non-GAAP measure presented by also providing the comparable GAAP measure with equal or greater prominence and descriptions of the reconciling items, including quantifying such items, to derive the non-GAAP measure.</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 Forma Results</w:t>
      </w:r>
    </w:p>
    <w:p>
      <w:pPr>
        <w:spacing w:after="0" w:line="231" w:lineRule="exact"/>
        <w:rPr>
          <w:sz w:val="20"/>
          <w:szCs w:val="20"/>
          <w:color w:val="auto"/>
        </w:rPr>
      </w:pPr>
    </w:p>
    <w:p>
      <w:pPr>
        <w:ind w:right="40" w:firstLine="348"/>
        <w:spacing w:after="0" w:line="268" w:lineRule="auto"/>
        <w:rPr>
          <w:sz w:val="20"/>
          <w:szCs w:val="20"/>
          <w:color w:val="auto"/>
        </w:rPr>
      </w:pPr>
      <w:r>
        <w:rPr>
          <w:rFonts w:ascii="Arial" w:cs="Arial" w:eastAsia="Arial" w:hAnsi="Arial"/>
          <w:sz w:val="18"/>
          <w:szCs w:val="18"/>
          <w:color w:val="auto"/>
        </w:rPr>
        <w:t>Tree.com will only present EBITDA and Adjusted EBITDA on a pro forma basis if it views a particular transaction as significant in size or transformational in nature. For the periods presented in this report, there are no transactions that Tree.com has included on a pro forma basis.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One-Time Items</w:t>
      </w:r>
    </w:p>
    <w:p>
      <w:pPr>
        <w:spacing w:after="0" w:line="231" w:lineRule="exact"/>
        <w:rPr>
          <w:sz w:val="20"/>
          <w:szCs w:val="20"/>
          <w:color w:val="auto"/>
        </w:rPr>
      </w:pPr>
    </w:p>
    <w:p>
      <w:pPr>
        <w:jc w:val="both"/>
        <w:ind w:right="140" w:firstLine="341"/>
        <w:spacing w:after="0" w:line="259" w:lineRule="auto"/>
        <w:rPr>
          <w:sz w:val="20"/>
          <w:szCs w:val="20"/>
          <w:color w:val="auto"/>
        </w:rPr>
      </w:pPr>
      <w:r>
        <w:rPr>
          <w:rFonts w:ascii="Arial" w:cs="Arial" w:eastAsia="Arial" w:hAnsi="Arial"/>
          <w:sz w:val="18"/>
          <w:szCs w:val="18"/>
          <w:color w:val="auto"/>
        </w:rPr>
        <w:t>Adjusted EBITDA is presented before one-time items, if applicable. These items are truly one-time in nature and non-recurring, infrequent or unusual, and have not occurred in the past two years or are not expected to recur in the next two years, in accordance with SEC rules. For the periods presented in this report, there are no one-time items.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Non-Cash Expenses That Are Excluded From Tree.com's Non-GAAP Measures</w:t>
      </w:r>
    </w:p>
    <w:p>
      <w:pPr>
        <w:spacing w:after="0" w:line="231" w:lineRule="exact"/>
        <w:rPr>
          <w:sz w:val="20"/>
          <w:szCs w:val="20"/>
          <w:color w:val="auto"/>
        </w:rPr>
      </w:pPr>
    </w:p>
    <w:p>
      <w:pPr>
        <w:ind w:firstLine="351"/>
        <w:spacing w:after="0" w:line="256" w:lineRule="auto"/>
        <w:rPr>
          <w:sz w:val="20"/>
          <w:szCs w:val="20"/>
          <w:color w:val="auto"/>
        </w:rPr>
      </w:pPr>
      <w:r>
        <w:rPr>
          <w:rFonts w:ascii="Arial" w:cs="Arial" w:eastAsia="Arial" w:hAnsi="Arial"/>
          <w:sz w:val="18"/>
          <w:szCs w:val="18"/>
          <w:color w:val="auto"/>
        </w:rPr>
        <w:t>Non-cash compensation expense consists principally of expense associated with the grants of restricted stock units and stock options. These expenses are not paid in cash, and Tree.com will include the related shares in its future calculations of fully diluted shares outstanding. Upon vesting of restricted stock units and the exercise of certain stock options, the awards will be settled, at Tree.com's discretion, on a net basis, with Tree.com remitting the required tax withholding amount from its current funds.</w:t>
      </w:r>
    </w:p>
    <w:p>
      <w:pPr>
        <w:spacing w:after="0" w:line="197" w:lineRule="exact"/>
        <w:rPr>
          <w:sz w:val="20"/>
          <w:szCs w:val="20"/>
          <w:color w:val="auto"/>
        </w:rPr>
      </w:pPr>
    </w:p>
    <w:p>
      <w:pPr>
        <w:ind w:right="200" w:firstLine="341"/>
        <w:spacing w:after="0" w:line="332" w:lineRule="auto"/>
        <w:rPr>
          <w:sz w:val="20"/>
          <w:szCs w:val="20"/>
          <w:color w:val="auto"/>
        </w:rPr>
      </w:pPr>
      <w:r>
        <w:rPr>
          <w:rFonts w:ascii="Arial" w:cs="Arial" w:eastAsia="Arial" w:hAnsi="Arial"/>
          <w:sz w:val="16"/>
          <w:szCs w:val="16"/>
          <w:color w:val="auto"/>
        </w:rPr>
        <w:t>Amortization and impairment of intangibles are non-cash expenses relating primarily to acquisitions. At the time of an acquisition, the intangible assets of the acquired company, such as purchase agreements, technology and customer relationships, are valued and amortized over their estimated lives.</w:t>
      </w: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RECONCILIATION OF EBITDA</w:t>
      </w:r>
    </w:p>
    <w:p>
      <w:pPr>
        <w:spacing w:after="0" w:line="231" w:lineRule="exact"/>
        <w:rPr>
          <w:sz w:val="20"/>
          <w:szCs w:val="20"/>
          <w:color w:val="auto"/>
        </w:rPr>
      </w:pPr>
    </w:p>
    <w:p>
      <w:pPr>
        <w:ind w:firstLine="351"/>
        <w:spacing w:after="0" w:line="332" w:lineRule="auto"/>
        <w:rPr>
          <w:sz w:val="20"/>
          <w:szCs w:val="20"/>
          <w:color w:val="auto"/>
        </w:rPr>
      </w:pPr>
      <w:r>
        <w:rPr>
          <w:rFonts w:ascii="Arial" w:cs="Arial" w:eastAsia="Arial" w:hAnsi="Arial"/>
          <w:sz w:val="16"/>
          <w:szCs w:val="16"/>
          <w:color w:val="auto"/>
        </w:rPr>
        <w:t>For a reconciliation of EBITDA and Adjusted EBITDA to operating income (loss) for Tree.com's operating segments and to net income (loss) in total for the three months and the nine months ended September 30, 2010 and 2009, see Note 7 to the consolidated financial statements.</w:t>
      </w: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OTHER</w:t>
      </w:r>
    </w:p>
    <w:p>
      <w:pPr>
        <w:spacing w:after="0" w:line="231" w:lineRule="exact"/>
        <w:rPr>
          <w:sz w:val="20"/>
          <w:szCs w:val="20"/>
          <w:color w:val="auto"/>
        </w:rPr>
      </w:pPr>
    </w:p>
    <w:p>
      <w:pPr>
        <w:ind w:right="780" w:firstLine="351"/>
        <w:spacing w:after="0" w:line="268" w:lineRule="auto"/>
        <w:rPr>
          <w:sz w:val="20"/>
          <w:szCs w:val="20"/>
          <w:color w:val="auto"/>
        </w:rPr>
      </w:pPr>
      <w:r>
        <w:rPr>
          <w:rFonts w:ascii="Arial" w:cs="Arial" w:eastAsia="Arial" w:hAnsi="Arial"/>
          <w:sz w:val="18"/>
          <w:szCs w:val="18"/>
          <w:color w:val="auto"/>
        </w:rPr>
        <w:t>REALTORS®—a registered collective membership mark that identifies a real estate professional who is a member of the National Association of REALTORS® and subscribes to its strict Code of Ethics.</w:t>
      </w:r>
    </w:p>
    <w:p>
      <w:pPr>
        <w:spacing w:after="0" w:line="180"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5"/>
          <w:szCs w:val="15"/>
          <w:b w:val="1"/>
          <w:bCs w:val="1"/>
          <w:i w:val="1"/>
          <w:iCs w:val="1"/>
          <w:color w:val="auto"/>
        </w:rPr>
        <w:t>Quantitative and Qualitative Disclosures about Market Risk</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Risk</w:t>
      </w:r>
    </w:p>
    <w:p>
      <w:pPr>
        <w:spacing w:after="0" w:line="231" w:lineRule="exact"/>
        <w:rPr>
          <w:sz w:val="20"/>
          <w:szCs w:val="20"/>
          <w:color w:val="auto"/>
        </w:rPr>
      </w:pPr>
    </w:p>
    <w:p>
      <w:pPr>
        <w:ind w:right="620" w:firstLine="348"/>
        <w:spacing w:after="0" w:line="268" w:lineRule="auto"/>
        <w:rPr>
          <w:sz w:val="20"/>
          <w:szCs w:val="20"/>
          <w:color w:val="auto"/>
        </w:rPr>
      </w:pPr>
      <w:r>
        <w:rPr>
          <w:rFonts w:ascii="Arial" w:cs="Arial" w:eastAsia="Arial" w:hAnsi="Arial"/>
          <w:sz w:val="18"/>
          <w:szCs w:val="18"/>
          <w:color w:val="auto"/>
        </w:rPr>
        <w:t>Tree.com's exposure to market rate risk for changes in interest rates relates primarily to LendingTree Loans' loans held for sale and interest rate lock commitments.</w:t>
      </w:r>
    </w:p>
    <w:p>
      <w:pPr>
        <w:spacing w:after="0" w:line="1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54" w:name="page55"/>
    <w:bookmarkEnd w:id="5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Loans Held for Sale and Interest Rate Lock Commitments</w:t>
      </w:r>
    </w:p>
    <w:p>
      <w:pPr>
        <w:spacing w:after="0" w:line="231" w:lineRule="exact"/>
        <w:rPr>
          <w:sz w:val="20"/>
          <w:szCs w:val="20"/>
          <w:color w:val="auto"/>
        </w:rPr>
      </w:pPr>
    </w:p>
    <w:p>
      <w:pPr>
        <w:ind w:right="280" w:firstLine="351"/>
        <w:spacing w:after="0" w:line="323" w:lineRule="auto"/>
        <w:rPr>
          <w:sz w:val="20"/>
          <w:szCs w:val="20"/>
          <w:color w:val="auto"/>
        </w:rPr>
      </w:pPr>
      <w:r>
        <w:rPr>
          <w:rFonts w:ascii="Arial" w:cs="Arial" w:eastAsia="Arial" w:hAnsi="Arial"/>
          <w:sz w:val="15"/>
          <w:szCs w:val="15"/>
          <w:color w:val="auto"/>
        </w:rPr>
        <w:t>LendingTree Loans' mortgage banking operations expose the Company to interest rate risk for loans originated until those loans are sold in the secondary market ("loans held for sale"). The fair value of loans held for sale is subject to change primarily due to changes in market interest rates. LendingTree Loans hedges the changes in fair value of certain loans held for sale primarily by entering into "to be announced mortgage-backed securities" ("TBA MBS") and best efforts forward delivery commitments. The changes in fair value of the derivative instruments are recognized in current earnings as a component of revenue.</w:t>
      </w:r>
    </w:p>
    <w:p>
      <w:pPr>
        <w:spacing w:after="0" w:line="152" w:lineRule="exact"/>
        <w:rPr>
          <w:sz w:val="20"/>
          <w:szCs w:val="20"/>
          <w:color w:val="auto"/>
        </w:rPr>
      </w:pPr>
    </w:p>
    <w:p>
      <w:pPr>
        <w:ind w:right="120" w:firstLine="351"/>
        <w:spacing w:after="0" w:line="298" w:lineRule="auto"/>
        <w:rPr>
          <w:sz w:val="20"/>
          <w:szCs w:val="20"/>
          <w:color w:val="auto"/>
        </w:rPr>
      </w:pPr>
      <w:r>
        <w:rPr>
          <w:rFonts w:ascii="Arial" w:cs="Arial" w:eastAsia="Arial" w:hAnsi="Arial"/>
          <w:sz w:val="16"/>
          <w:szCs w:val="16"/>
          <w:color w:val="auto"/>
        </w:rPr>
        <w:t>In addition, LendingTree Loans provides interest rate lock commitments ("IRLCs") to fund mortgage loans at interest rates previously agreed upon with the borrower for specified periods of time, which also expose it to interest rate risk. IRLCs are considered derivative instruments and, therefore, are recorded at fair value, with changes in fair value reflected in current period earnings. To manage the interest rate risk associated with the IRLCs, the Company uses derivative instruments, including TBA MBS and best efforts forward delivery commitments.</w:t>
      </w:r>
    </w:p>
    <w:p>
      <w:pPr>
        <w:spacing w:after="0" w:line="167" w:lineRule="exact"/>
        <w:rPr>
          <w:sz w:val="20"/>
          <w:szCs w:val="20"/>
          <w:color w:val="auto"/>
        </w:rPr>
      </w:pPr>
    </w:p>
    <w:p>
      <w:pPr>
        <w:ind w:firstLine="348"/>
        <w:spacing w:after="0" w:line="294" w:lineRule="auto"/>
        <w:rPr>
          <w:sz w:val="20"/>
          <w:szCs w:val="20"/>
          <w:color w:val="auto"/>
        </w:rPr>
      </w:pPr>
      <w:r>
        <w:rPr>
          <w:rFonts w:ascii="Arial" w:cs="Arial" w:eastAsia="Arial" w:hAnsi="Arial"/>
          <w:sz w:val="16"/>
          <w:szCs w:val="16"/>
          <w:color w:val="auto"/>
        </w:rPr>
        <w:t>The fair values of derivative financial instruments at LendingTree Loans are impacted by movements in market interest rates. Changes in the fair value of the derivative financial instruments are substantially offset by changes in the fair value of the items for which risk is being mitigated. As of September 30, 2010, if market interest rates had increased by 1.00%, the aggregate fair value of the derivative financial instruments and the hedged items at LendingTree Loans would have decreased by $1.5 million. As of September 30, 2010, if market interest rates had decreased by 1.00%, the aggregate fair value of the derivative financial instruments and the hedged items at LendingTree Loans would have decreased by $0.8 million.</w:t>
      </w:r>
    </w:p>
    <w:p>
      <w:pPr>
        <w:spacing w:after="0" w:line="164"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4T.</w:t>
      </w:r>
      <w:r>
        <w:rPr>
          <w:sz w:val="20"/>
          <w:szCs w:val="20"/>
          <w:color w:val="auto"/>
        </w:rPr>
        <w:tab/>
      </w:r>
      <w:r>
        <w:rPr>
          <w:rFonts w:ascii="Arial" w:cs="Arial" w:eastAsia="Arial" w:hAnsi="Arial"/>
          <w:sz w:val="15"/>
          <w:szCs w:val="15"/>
          <w:b w:val="1"/>
          <w:bCs w:val="1"/>
          <w:i w:val="1"/>
          <w:iCs w:val="1"/>
          <w:color w:val="auto"/>
        </w:rPr>
        <w:t>Controls and Procedures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231" w:lineRule="exact"/>
        <w:rPr>
          <w:sz w:val="20"/>
          <w:szCs w:val="20"/>
          <w:color w:val="auto"/>
        </w:rPr>
      </w:pPr>
    </w:p>
    <w:p>
      <w:pPr>
        <w:ind w:right="40" w:firstLine="341"/>
        <w:spacing w:after="0" w:line="289" w:lineRule="auto"/>
        <w:rPr>
          <w:sz w:val="20"/>
          <w:szCs w:val="20"/>
          <w:color w:val="auto"/>
        </w:rPr>
      </w:pPr>
      <w:r>
        <w:rPr>
          <w:rFonts w:ascii="Arial" w:cs="Arial" w:eastAsia="Arial" w:hAnsi="Arial"/>
          <w:sz w:val="16"/>
          <w:szCs w:val="16"/>
          <w:color w:val="auto"/>
        </w:rPr>
        <w:t>As of the end of the period covered by this report, an evaluation of the effectiveness of the Company's disclosure controls and procedures (as defined in Rule 13a-15(e) and 15d-15(e) promulgated under the Securities Exchange Act of 1934, as amended (the "Exchange Act")) was performed under the supervision and with the participation of the Company's management, including the principal executive officer and principal financial officer. Based on that evaluation, the Company's principal executive officer and principal financial officer have concluded that the Company's disclosure controls and procedures are effective to ensure that information required to be disclosed by the Company in its reports that it files or submits under the Exchange Act is recorded, processed, summarized and reported within the time periods specified in the SEC rules and forms, and that information required to be disclosed by the Company in the reports the Company files or submits under the Exchange Act is accumulated and communicated to the Company's management, including its principal executive officer and principal financial officer, as appropriate to allow timely decisions regarding required disclosure.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31" w:lineRule="exact"/>
        <w:rPr>
          <w:sz w:val="20"/>
          <w:szCs w:val="20"/>
          <w:color w:val="auto"/>
        </w:rPr>
      </w:pPr>
    </w:p>
    <w:p>
      <w:pPr>
        <w:jc w:val="both"/>
        <w:ind w:right="540" w:firstLine="351"/>
        <w:spacing w:after="0" w:line="259" w:lineRule="auto"/>
        <w:rPr>
          <w:sz w:val="20"/>
          <w:szCs w:val="20"/>
          <w:color w:val="auto"/>
        </w:rPr>
      </w:pPr>
      <w:r>
        <w:rPr>
          <w:rFonts w:ascii="Arial" w:cs="Arial" w:eastAsia="Arial" w:hAnsi="Arial"/>
          <w:sz w:val="18"/>
          <w:szCs w:val="18"/>
          <w:color w:val="auto"/>
        </w:rPr>
        <w:t>During the Company's third quarter of fiscal 2010, there has been no change in the Company's internal controls over financial reporting (as defined in Rule 13a-15(f) and 15d-15(f) promulgated under the Exchange Act) that has materially affected, or is reasonably likely to materially affect, the Company's internal controls over financial reporting.</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55" w:name="page56"/>
    <w:bookmarkEnd w:id="5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OTHER INFORMATION</w:t>
      </w:r>
    </w:p>
    <w:p>
      <w:pPr>
        <w:spacing w:after="0" w:line="225"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i w:val="1"/>
          <w:iCs w:val="1"/>
          <w:color w:val="auto"/>
        </w:rPr>
        <w:t>Legal Proceedings</w:t>
      </w:r>
    </w:p>
    <w:p>
      <w:pPr>
        <w:spacing w:after="0" w:line="231" w:lineRule="exact"/>
        <w:rPr>
          <w:sz w:val="20"/>
          <w:szCs w:val="20"/>
          <w:color w:val="auto"/>
        </w:rPr>
      </w:pPr>
    </w:p>
    <w:p>
      <w:pPr>
        <w:ind w:right="340" w:firstLine="351"/>
        <w:spacing w:after="0" w:line="281" w:lineRule="auto"/>
        <w:rPr>
          <w:sz w:val="20"/>
          <w:szCs w:val="20"/>
          <w:color w:val="auto"/>
        </w:rPr>
      </w:pPr>
      <w:r>
        <w:rPr>
          <w:rFonts w:ascii="Arial" w:cs="Arial" w:eastAsia="Arial" w:hAnsi="Arial"/>
          <w:sz w:val="15"/>
          <w:szCs w:val="15"/>
          <w:color w:val="auto"/>
        </w:rPr>
        <w:t>In the ordinary course of business, the Company and its subsidiaries are parties to litigation involving property, contract, intellectual property and other claims. We included a discussion of certain legal proceedings in Part I, Item 3, of our Annual Report on Form 10-K for the year ended December 31, 2009 as amended by our Annual Report on Form 10-K/A (the "2009 Form 10-K") and in our Current Reports on Form 8-K filed with the Securities and Exchange Commission (the "SEC") on January 11, 2010, January 15, 2010 and February 19, 2010 (the "Form 8-Ks"), and an update in Part II, Item 1, of our Quarterly Report on Form 10-Q for the quarter ended March 31, 2010 ("1</w:t>
      </w:r>
      <w:r>
        <w:rPr>
          <w:rFonts w:ascii="Arial" w:cs="Arial" w:eastAsia="Arial" w:hAnsi="Arial"/>
          <w:sz w:val="24"/>
          <w:szCs w:val="24"/>
          <w:color w:val="auto"/>
          <w:vertAlign w:val="superscript"/>
        </w:rPr>
        <w:t>st</w:t>
      </w:r>
      <w:r>
        <w:rPr>
          <w:rFonts w:ascii="Arial" w:cs="Arial" w:eastAsia="Arial" w:hAnsi="Arial"/>
          <w:sz w:val="15"/>
          <w:szCs w:val="15"/>
          <w:color w:val="auto"/>
        </w:rPr>
        <w:t xml:space="preserve"> Quarter 2010 10-Q"). During the quarter ended September 30, 2010, there were no material</w:t>
      </w:r>
    </w:p>
    <w:p>
      <w:pPr>
        <w:spacing w:after="0" w:line="3" w:lineRule="exact"/>
        <w:rPr>
          <w:sz w:val="20"/>
          <w:szCs w:val="20"/>
          <w:color w:val="auto"/>
        </w:rPr>
      </w:pPr>
    </w:p>
    <w:p>
      <w:pPr>
        <w:ind w:right="160"/>
        <w:spacing w:after="0" w:line="206" w:lineRule="auto"/>
        <w:rPr>
          <w:sz w:val="20"/>
          <w:szCs w:val="20"/>
          <w:color w:val="auto"/>
        </w:rPr>
      </w:pPr>
      <w:r>
        <w:rPr>
          <w:rFonts w:ascii="Arial" w:cs="Arial" w:eastAsia="Arial" w:hAnsi="Arial"/>
          <w:sz w:val="18"/>
          <w:szCs w:val="18"/>
          <w:color w:val="auto"/>
        </w:rPr>
        <w:t>developments to the legal proceedings disclosed in our Form 8-Ks, in the 2009 Form 10-K or 1</w:t>
      </w:r>
      <w:r>
        <w:rPr>
          <w:rFonts w:ascii="Arial" w:cs="Arial" w:eastAsia="Arial" w:hAnsi="Arial"/>
          <w:sz w:val="29"/>
          <w:szCs w:val="29"/>
          <w:color w:val="auto"/>
          <w:vertAlign w:val="superscript"/>
        </w:rPr>
        <w:t>st</w:t>
      </w:r>
      <w:r>
        <w:rPr>
          <w:rFonts w:ascii="Arial" w:cs="Arial" w:eastAsia="Arial" w:hAnsi="Arial"/>
          <w:sz w:val="18"/>
          <w:szCs w:val="18"/>
          <w:color w:val="auto"/>
        </w:rPr>
        <w:t xml:space="preserve"> Quarter 2010 10-Q and no new material proceedings except as set forth below.</w:t>
      </w:r>
    </w:p>
    <w:p>
      <w:pPr>
        <w:spacing w:after="0" w:line="212" w:lineRule="exact"/>
        <w:rPr>
          <w:sz w:val="20"/>
          <w:szCs w:val="20"/>
          <w:color w:val="auto"/>
        </w:rPr>
      </w:pPr>
    </w:p>
    <w:p>
      <w:pPr>
        <w:ind w:right="240" w:firstLine="351"/>
        <w:spacing w:after="0" w:line="283" w:lineRule="auto"/>
        <w:rPr>
          <w:sz w:val="20"/>
          <w:szCs w:val="20"/>
          <w:color w:val="auto"/>
        </w:rPr>
      </w:pPr>
      <w:r>
        <w:rPr>
          <w:rFonts w:ascii="Arial" w:cs="Arial" w:eastAsia="Arial" w:hAnsi="Arial"/>
          <w:sz w:val="16"/>
          <w:szCs w:val="16"/>
          <w:b w:val="1"/>
          <w:bCs w:val="1"/>
          <w:i w:val="1"/>
          <w:iCs w:val="1"/>
          <w:color w:val="auto"/>
        </w:rPr>
        <w:t xml:space="preserve">LendingTree v. Zillow, Inc., et.al. Civil Action No. 3:10-cv-439. </w:t>
      </w:r>
      <w:r>
        <w:rPr>
          <w:rFonts w:ascii="Arial" w:cs="Arial" w:eastAsia="Arial" w:hAnsi="Arial"/>
          <w:sz w:val="16"/>
          <w:szCs w:val="16"/>
          <w:color w:val="auto"/>
        </w:rPr>
        <w:t>On September 8, 2010, the Company filed an action for patent infringement in the US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District Court for the Western District of NC against Zillow, Inc., Nextag, Inc., Quinstreet, Inc., Quinstreet Media, Inc., and Adchemy, Inc. The complaint was amended to include Leadpoint, Inc. d/b/a Securerights on September 24, 2010. The Company alleges that each of the defendants infringe one or both of the Company's patents—U.S. Patent No. 6,385,594, entitled "Method and Computer Network for Co-Ordinating a Loan over the Internet," and U.S. Patent</w:t>
      </w:r>
    </w:p>
    <w:p>
      <w:pPr>
        <w:spacing w:after="0" w:line="3" w:lineRule="exact"/>
        <w:rPr>
          <w:sz w:val="20"/>
          <w:szCs w:val="20"/>
          <w:color w:val="auto"/>
        </w:rPr>
      </w:pPr>
    </w:p>
    <w:p>
      <w:pPr>
        <w:ind w:right="60"/>
        <w:spacing w:after="0" w:line="261" w:lineRule="auto"/>
        <w:rPr>
          <w:sz w:val="20"/>
          <w:szCs w:val="20"/>
          <w:color w:val="auto"/>
        </w:rPr>
      </w:pPr>
      <w:r>
        <w:rPr>
          <w:rFonts w:ascii="Arial" w:cs="Arial" w:eastAsia="Arial" w:hAnsi="Arial"/>
          <w:sz w:val="18"/>
          <w:szCs w:val="18"/>
          <w:color w:val="auto"/>
        </w:rPr>
        <w:t>No. 6,611,816, entitled "Method and Computer Network for Co-Ordinating a Loan over the Internet." Collectively, the asserted patents cover computer hardware and software used in facilitating business between computer users and multiple lenders on the Internet.</w:t>
      </w:r>
    </w:p>
    <w:p>
      <w:pPr>
        <w:spacing w:after="0" w:line="192" w:lineRule="exact"/>
        <w:rPr>
          <w:sz w:val="20"/>
          <w:szCs w:val="20"/>
          <w:color w:val="auto"/>
        </w:rPr>
      </w:pPr>
    </w:p>
    <w:p>
      <w:pPr>
        <w:ind w:firstLine="345"/>
        <w:spacing w:after="0" w:line="291" w:lineRule="auto"/>
        <w:rPr>
          <w:sz w:val="20"/>
          <w:szCs w:val="20"/>
          <w:color w:val="auto"/>
        </w:rPr>
      </w:pPr>
      <w:r>
        <w:rPr>
          <w:rFonts w:ascii="Arial" w:cs="Arial" w:eastAsia="Arial" w:hAnsi="Arial"/>
          <w:sz w:val="16"/>
          <w:szCs w:val="16"/>
          <w:b w:val="1"/>
          <w:bCs w:val="1"/>
          <w:i w:val="1"/>
          <w:iCs w:val="1"/>
          <w:color w:val="auto"/>
        </w:rPr>
        <w:t xml:space="preserve">Arizona Attorney General Civil Investigation Demand. </w:t>
      </w:r>
      <w:r>
        <w:rPr>
          <w:rFonts w:ascii="Arial" w:cs="Arial" w:eastAsia="Arial" w:hAnsi="Arial"/>
          <w:sz w:val="16"/>
          <w:szCs w:val="16"/>
          <w:color w:val="auto"/>
        </w:rPr>
        <w:t>On March 30, 2010, HLC received a civil investigative demand from the state of Arizona. HLC</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agreed to a voluntary compromise of disputed claims made by the Arizona Attorney General concerning alleged violations of the Arizona Consumer Fraud Act pertaining to marketing of payment option arm loans made to Arizona consumers from 2005 to 2007. The Arizona Attorney General alleged HLC misrepresented the true nature of monthly payment and mortgage structure for pay option arms and did not properly disclose the risks of these products. Arizona uses a "least sophisticated consumer" standard to determine if marketing materials might tend to deceive a consumer. On October 29, 2010, HLC entered into a settlement agreement to settle the matter, without admitting wrongdoing, for $1.2 million plus attorneys' fees and costs.</w:t>
      </w:r>
    </w:p>
    <w:p>
      <w:pPr>
        <w:spacing w:after="0" w:line="168"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5"/>
          <w:szCs w:val="15"/>
          <w:b w:val="1"/>
          <w:bCs w:val="1"/>
          <w:i w:val="1"/>
          <w:iCs w:val="1"/>
          <w:color w:val="auto"/>
        </w:rPr>
        <w:t>Risk Factors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Cautionary Statement Regarding Forward-Looking Information</w:t>
      </w:r>
    </w:p>
    <w:p>
      <w:pPr>
        <w:spacing w:after="0" w:line="231" w:lineRule="exact"/>
        <w:rPr>
          <w:sz w:val="20"/>
          <w:szCs w:val="20"/>
          <w:color w:val="auto"/>
        </w:rPr>
      </w:pPr>
    </w:p>
    <w:p>
      <w:pPr>
        <w:ind w:firstLine="348"/>
        <w:spacing w:after="0" w:line="288" w:lineRule="auto"/>
        <w:rPr>
          <w:sz w:val="20"/>
          <w:szCs w:val="20"/>
          <w:color w:val="auto"/>
        </w:rPr>
      </w:pPr>
      <w:r>
        <w:rPr>
          <w:rFonts w:ascii="Arial" w:cs="Arial" w:eastAsia="Arial" w:hAnsi="Arial"/>
          <w:sz w:val="16"/>
          <w:szCs w:val="16"/>
          <w:color w:val="auto"/>
        </w:rPr>
        <w:t>This Quarterly Report on Form 10-Q contains "forward looking statements" within the meaning of the Private Securities Litigation Reform Act of 1995. The use of words such as "anticipates," "estimates," "expects," "projects," "intends," "plans" and "believes," among others, generally identify forward-looking statements. These forward-looking statements include, among others, statements relating to: the adequacy of our current warehouse lines for our current operations and our ability to operate our LendingTree Loans business at a reduced capacity if we were to lose one of these lines; our belief that we will continue to adjust selling and marketing expenditures generally in relation to revenue producing opportunities and that our selling and marketing efforts will continue to represent a high percentage of our revenues; our Compensation Committee's belief that placing a greater emphasis on incentive arrangements and equity compensation will result in the Company's executives and employees being paid for performance and will better align their incentives with the Company's strategic goals; our belief that we will need to make capital and other expenditures in connection with the development and expansion of our overall operations; and our belief that our sources of liquidity are sufficient to fund our operating needs, including debt requirements, commitments and</w:t>
      </w:r>
    </w:p>
    <w:p>
      <w:pPr>
        <w:spacing w:after="0" w:line="17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56" w:name="page57"/>
    <w:bookmarkEnd w:id="5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right="140"/>
        <w:spacing w:after="0" w:line="294" w:lineRule="auto"/>
        <w:rPr>
          <w:sz w:val="20"/>
          <w:szCs w:val="20"/>
          <w:color w:val="auto"/>
        </w:rPr>
      </w:pPr>
      <w:r>
        <w:rPr>
          <w:rFonts w:ascii="Arial" w:cs="Arial" w:eastAsia="Arial" w:hAnsi="Arial"/>
          <w:sz w:val="16"/>
          <w:szCs w:val="16"/>
          <w:color w:val="auto"/>
        </w:rPr>
        <w:t>contingencies and capital and investing commitments for the foreseeable future and our ability to successfully implement our strategic initiatives in Real Estate. These forward-looking statements also include statements related to: Tree.com's anticipated financial performance; Tree.com's business prospects and strategy; anticipated trends and prospects in the various industries in which Tree.com businesses operate; new products, services and related strategies; and other similar matters. These forward looking statements are based on management's current expectations and assumptions about future events, which are inherently subject to uncertainties, risks and changes in circumstances that are difficult to predict.</w:t>
      </w:r>
    </w:p>
    <w:p>
      <w:pPr>
        <w:spacing w:after="0" w:line="170" w:lineRule="exact"/>
        <w:rPr>
          <w:sz w:val="20"/>
          <w:szCs w:val="20"/>
          <w:color w:val="auto"/>
        </w:rPr>
      </w:pPr>
    </w:p>
    <w:p>
      <w:pPr>
        <w:ind w:right="280" w:firstLine="341"/>
        <w:spacing w:after="0" w:line="294" w:lineRule="auto"/>
        <w:rPr>
          <w:sz w:val="20"/>
          <w:szCs w:val="20"/>
          <w:color w:val="auto"/>
        </w:rPr>
      </w:pPr>
      <w:r>
        <w:rPr>
          <w:rFonts w:ascii="Arial" w:cs="Arial" w:eastAsia="Arial" w:hAnsi="Arial"/>
          <w:sz w:val="16"/>
          <w:szCs w:val="16"/>
          <w:color w:val="auto"/>
        </w:rPr>
        <w:t>Actual results could differ materially from those contained in the forward looking statements included in this report for a variety of reasons, including, among others, the risk factors set forth below. Other unknown or unpredictable factors that could also adversely affect Tree.com's business, financial condition and results of operations may arise from time to time. In light of these risks and uncertainties, the forward looking statements discussed in this report may not prove to be accurate. Accordingly, you should not place undue reliance on these forward looking statements, which only reflect the views of Tree.com management as of the date of this report. Tree.com does not undertake to update these forward-looking statements.</w:t>
      </w:r>
    </w:p>
    <w:p>
      <w:pPr>
        <w:spacing w:after="0" w:line="170" w:lineRule="exact"/>
        <w:rPr>
          <w:sz w:val="20"/>
          <w:szCs w:val="20"/>
          <w:color w:val="auto"/>
        </w:rPr>
      </w:pPr>
    </w:p>
    <w:p>
      <w:pPr>
        <w:ind w:right="300" w:firstLine="351"/>
        <w:spacing w:after="0" w:line="332" w:lineRule="auto"/>
        <w:rPr>
          <w:sz w:val="20"/>
          <w:szCs w:val="20"/>
          <w:color w:val="auto"/>
        </w:rPr>
      </w:pPr>
      <w:r>
        <w:rPr>
          <w:rFonts w:ascii="Arial" w:cs="Arial" w:eastAsia="Arial" w:hAnsi="Arial"/>
          <w:sz w:val="16"/>
          <w:szCs w:val="16"/>
          <w:color w:val="auto"/>
        </w:rPr>
        <w:t>Other than the risk factors set forth below, there have been no material changes to the risk factors included in Part I, Item 1A, of the 2009 Form 10-K and Part II, Item 1A of our quarterly reports on Form 10-Q for the quarterly periods ended March 31, 2010 and June 30, 2010.</w:t>
      </w:r>
    </w:p>
    <w:p>
      <w:pPr>
        <w:spacing w:after="0" w:line="139" w:lineRule="exact"/>
        <w:rPr>
          <w:sz w:val="20"/>
          <w:szCs w:val="20"/>
          <w:color w:val="auto"/>
        </w:rPr>
      </w:pPr>
    </w:p>
    <w:p>
      <w:pPr>
        <w:ind w:right="200"/>
        <w:spacing w:after="0" w:line="268" w:lineRule="auto"/>
        <w:rPr>
          <w:sz w:val="20"/>
          <w:szCs w:val="20"/>
          <w:color w:val="auto"/>
        </w:rPr>
      </w:pPr>
      <w:r>
        <w:rPr>
          <w:rFonts w:ascii="Arial" w:cs="Arial" w:eastAsia="Arial" w:hAnsi="Arial"/>
          <w:sz w:val="18"/>
          <w:szCs w:val="18"/>
          <w:b w:val="1"/>
          <w:bCs w:val="1"/>
          <w:i w:val="1"/>
          <w:iCs w:val="1"/>
          <w:color w:val="auto"/>
        </w:rPr>
        <w:t>Adverse Events and Trends—Adverse conditions in the credit markets could materially and adversely affect our business, financial condition and results of operations.</w:t>
      </w:r>
    </w:p>
    <w:p>
      <w:pPr>
        <w:spacing w:after="0" w:line="186" w:lineRule="exact"/>
        <w:rPr>
          <w:sz w:val="20"/>
          <w:szCs w:val="20"/>
          <w:color w:val="auto"/>
        </w:rPr>
      </w:pPr>
    </w:p>
    <w:p>
      <w:pPr>
        <w:ind w:right="20" w:firstLine="348"/>
        <w:spacing w:after="0" w:line="290" w:lineRule="auto"/>
        <w:rPr>
          <w:sz w:val="20"/>
          <w:szCs w:val="20"/>
          <w:color w:val="auto"/>
        </w:rPr>
      </w:pPr>
      <w:r>
        <w:rPr>
          <w:rFonts w:ascii="Arial" w:cs="Arial" w:eastAsia="Arial" w:hAnsi="Arial"/>
          <w:sz w:val="16"/>
          <w:szCs w:val="16"/>
          <w:color w:val="auto"/>
        </w:rPr>
        <w:t>The credit markets, in particular those financial institutions that provide warehouse financing and similar arrangements to mortgage lenders, have been experiencing unprecedented and continued disruptions resulting from instability in the mortgage and housing markets. LendingTree Loans originates, processes, approves and funds various consumer mortgage loans through HLC, which operates primarily under the brand name "LendingTree Loans®." These direct lending operations have significant financing needs that are currently being met through borrowings under warehouse lines of credit or repurchase agreements to fund and close loans, followed by the sale of substantially all loans funded to investors in the secondary mortgage markets. Current credit market conditions, such as significantly reduced and limited availability of credit, increased credit risk premiums for certain market participants and increased interest rates generally, increase the cost and reduce the availability of debt and may continue for a prolonged period of time or worsen in the future.</w:t>
      </w:r>
    </w:p>
    <w:p>
      <w:pPr>
        <w:spacing w:after="0" w:line="172" w:lineRule="exact"/>
        <w:rPr>
          <w:sz w:val="20"/>
          <w:szCs w:val="20"/>
          <w:color w:val="auto"/>
        </w:rPr>
      </w:pPr>
    </w:p>
    <w:p>
      <w:pPr>
        <w:ind w:firstLine="341"/>
        <w:spacing w:after="0" w:line="255" w:lineRule="auto"/>
        <w:rPr>
          <w:sz w:val="20"/>
          <w:szCs w:val="20"/>
          <w:color w:val="auto"/>
        </w:rPr>
      </w:pPr>
      <w:r>
        <w:rPr>
          <w:rFonts w:ascii="Arial" w:cs="Arial" w:eastAsia="Arial" w:hAnsi="Arial"/>
          <w:sz w:val="18"/>
          <w:szCs w:val="18"/>
          <w:color w:val="auto"/>
        </w:rPr>
        <w:t>As of September 30, 2010, LendingTree Loans had two committed lines of credit totaling $125.0 million of borrowing capacity. The total borrowing capacity on these lines was increased to $150.0 million effective October 29, 2010 upon renewal of the second line. LendingTree Loans also has a $25.0 million uncommitted line with one of these lendgers. Borrowings under these lines of credit are used to fund, and are secured by, consumer residential loans that are held for sale. Loans under these lines of credit are repaid using proceeds from the sales of loans held for sale by LendingTree Loans. At September 30, 2010, there was $140.1 million outstanding under the lines of credit.</w:t>
      </w:r>
    </w:p>
    <w:p>
      <w:pPr>
        <w:spacing w:after="0" w:line="197"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The $50.0 million first line is scheduled to expire on June 29, 2011. This line can be cancelled at the option of the lender without default upon sixty days</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notice. This first line includes an additional uncommitted credit facility of $25.0 million. This first line is also guaranteed by Tree.com, Inc., Lending Tree, LLC</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and Lending Tree Holdings Corp. The interest rate under the first line is 2.25% plus the greater of (a) 30-day LIBOR or (b) 2.00%. The interest rate under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$25.0 million uncommitted line is 30-day LIBOR plus 1.50%. LendingTree Loans is also required to sell at least 25% of the loans it originates to the lender under</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this line or pay a "pair-off fee" of 0.25% on the difference between the required and actual volume of loans sold.</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57" w:name="page58"/>
    <w:bookmarkEnd w:id="5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80" w:firstLine="348"/>
        <w:spacing w:after="0" w:line="254" w:lineRule="auto"/>
        <w:rPr>
          <w:sz w:val="20"/>
          <w:szCs w:val="20"/>
          <w:color w:val="auto"/>
        </w:rPr>
      </w:pPr>
      <w:r>
        <w:rPr>
          <w:rFonts w:ascii="Arial" w:cs="Arial" w:eastAsia="Arial" w:hAnsi="Arial"/>
          <w:sz w:val="18"/>
          <w:szCs w:val="18"/>
          <w:color w:val="auto"/>
        </w:rPr>
        <w:t>The borrowing capacity of the second line was increased from $75.0 million to $100.0 million upon renewal of the line effective October 29, 2010. The expiration date of this line is October 28, 2011. This second line is also guaranteed by Tree.com, Inc., LendingTree, LLC and LendingTree Holdings Corp. The interest rate under this line was decreased from 30-day Adjusted LIBOR or 2.0% (whichever is greater) plus 2.50% to 3.0% prior to renewal, to 30-day Adjusted LIBOR or 2.0% (whichever is greater) plus 2.25% to 2.5% after renewal, for loans being sold to the lender. Additionally, the interest rate for loans not being sold to the lender was decreased from 30-day Adjusted LIBOR or 2.0% (whichever is greater) plus 2.75% prior to renewal, to 30-day Adjusted LIBOR or 2.0% (whichever is greater) plus 2.25% after renewal.</w:t>
      </w:r>
    </w:p>
    <w:p>
      <w:pPr>
        <w:spacing w:after="0" w:line="198" w:lineRule="exact"/>
        <w:rPr>
          <w:sz w:val="20"/>
          <w:szCs w:val="20"/>
          <w:color w:val="auto"/>
        </w:rPr>
      </w:pPr>
    </w:p>
    <w:p>
      <w:pPr>
        <w:ind w:right="60" w:firstLine="341"/>
        <w:spacing w:after="0" w:line="288" w:lineRule="auto"/>
        <w:rPr>
          <w:sz w:val="20"/>
          <w:szCs w:val="20"/>
          <w:color w:val="auto"/>
        </w:rPr>
      </w:pPr>
      <w:r>
        <w:rPr>
          <w:rFonts w:ascii="Arial" w:cs="Arial" w:eastAsia="Arial" w:hAnsi="Arial"/>
          <w:sz w:val="16"/>
          <w:szCs w:val="16"/>
          <w:color w:val="auto"/>
        </w:rPr>
        <w:t>Although we believe that our existing lines of credit are adequate for our current operations, further reductions in our available credit, or the inability to renew or replace these lines, could have an adverse effect on our business, financial condition and results of operations. LendingTree Loans attempts to mitigate the impact of current conditions and future credit market disruptions by maintaining committed and uncommitted warehouse lines of credit with several financial institutions. However, these financial institutions, like all financial institutions, are subject to the same adverse market conditions and may be affected by recent market disruptions, which may affect the decision to reduce or renew these lines or the pricing for these lines. As a result, current committed warehouse lines of credit may be reduced or not renewed, and alternative financing may be unavailable or inadequate to support operations or the cost of such alternative financing may not allow LendingTree Loans to operate at profitable levels. Because LendingTree Loans is highly dependent on the availability of credit to finance its operations, the continuation of current credit market conditions for a prolonged period of time or the worsening of such conditions could have an adverse effect on our business, financial condition and results of operations, particularly over the next few years.</w:t>
      </w:r>
    </w:p>
    <w:p>
      <w:pPr>
        <w:spacing w:after="0" w:line="174" w:lineRule="exact"/>
        <w:rPr>
          <w:sz w:val="20"/>
          <w:szCs w:val="20"/>
          <w:color w:val="auto"/>
        </w:rPr>
      </w:pPr>
    </w:p>
    <w:p>
      <w:pPr>
        <w:spacing w:after="0" w:line="332" w:lineRule="auto"/>
        <w:rPr>
          <w:sz w:val="20"/>
          <w:szCs w:val="20"/>
          <w:color w:val="auto"/>
        </w:rPr>
      </w:pPr>
      <w:r>
        <w:rPr>
          <w:rFonts w:ascii="Arial" w:cs="Arial" w:eastAsia="Arial" w:hAnsi="Arial"/>
          <w:sz w:val="16"/>
          <w:szCs w:val="16"/>
          <w:b w:val="1"/>
          <w:bCs w:val="1"/>
          <w:i w:val="1"/>
          <w:iCs w:val="1"/>
          <w:color w:val="auto"/>
        </w:rPr>
        <w:t>If we fail to meet the listing requirements of the Nasdaq Stock Market and do not take corrective action as the Nasdaq Listing Qualifications Department may require, trading in our securities may be halted and we may be delisted from the Nasdaq Global Market.</w:t>
      </w:r>
    </w:p>
    <w:p>
      <w:pPr>
        <w:spacing w:after="0" w:line="139" w:lineRule="exact"/>
        <w:rPr>
          <w:sz w:val="20"/>
          <w:szCs w:val="20"/>
          <w:color w:val="auto"/>
        </w:rPr>
      </w:pPr>
    </w:p>
    <w:p>
      <w:pPr>
        <w:ind w:firstLine="341"/>
        <w:spacing w:after="0" w:line="259" w:lineRule="auto"/>
        <w:rPr>
          <w:sz w:val="20"/>
          <w:szCs w:val="20"/>
          <w:color w:val="auto"/>
        </w:rPr>
      </w:pPr>
      <w:r>
        <w:rPr>
          <w:rFonts w:ascii="Arial" w:cs="Arial" w:eastAsia="Arial" w:hAnsi="Arial"/>
          <w:sz w:val="18"/>
          <w:szCs w:val="18"/>
          <w:color w:val="auto"/>
        </w:rPr>
        <w:t>As an issuer listed on the Nasdaq Global Market, we must comply with the Marketplace Rules of the Nasdaq Stock Market in order to maintain that listing. Nasdaq-listed companies that do not maintain compliance with these rules may have trading in their stock halted and, if they do not regain compliance as required by the Nasdaq Listing Qualifications Department, may be delisted.</w:t>
      </w:r>
    </w:p>
    <w:p>
      <w:pPr>
        <w:spacing w:after="0" w:line="194" w:lineRule="exact"/>
        <w:rPr>
          <w:sz w:val="20"/>
          <w:szCs w:val="20"/>
          <w:color w:val="auto"/>
        </w:rPr>
      </w:pPr>
    </w:p>
    <w:p>
      <w:pPr>
        <w:ind w:right="40" w:firstLine="351"/>
        <w:spacing w:after="0" w:line="291" w:lineRule="auto"/>
        <w:rPr>
          <w:sz w:val="20"/>
          <w:szCs w:val="20"/>
          <w:color w:val="auto"/>
        </w:rPr>
      </w:pPr>
      <w:r>
        <w:rPr>
          <w:rFonts w:ascii="Arial" w:cs="Arial" w:eastAsia="Arial" w:hAnsi="Arial"/>
          <w:sz w:val="16"/>
          <w:szCs w:val="16"/>
          <w:color w:val="auto"/>
        </w:rPr>
        <w:t>On November 1, 2010, we notified the Listings Qualifications Department of the Nasdaq Stock Market of Steven Ozonian's resignation from the Company's Board of Directors, effective November 1, 2010, and the resulting non-compliance with Nasdaq Marketplace Rule 5605 ("Rule 5605"), which requires that a majority of the Company's Board of Directors be comprised of independent members. On November 3, 2010, we received notice from Nasdaq advising that, as a result of Mr. Ozonian's resignation from the Board of Directors, we were not in compliance with Rule 5605 and confirming that we were provided a cure period until the earlier of the Company's next annual shareholders' meeting or October 31, 2011 to regain compliance, provided that if the next annual shareholders' meeting is held before April 29, 2011, then we must regain compliance no later than April 29, 2011.</w:t>
      </w:r>
    </w:p>
    <w:p>
      <w:pPr>
        <w:spacing w:after="0" w:line="174" w:lineRule="exact"/>
        <w:rPr>
          <w:sz w:val="20"/>
          <w:szCs w:val="20"/>
          <w:color w:val="auto"/>
        </w:rPr>
      </w:pPr>
    </w:p>
    <w:p>
      <w:pPr>
        <w:ind w:right="20" w:firstLine="348"/>
        <w:spacing w:after="0" w:line="291" w:lineRule="auto"/>
        <w:rPr>
          <w:sz w:val="20"/>
          <w:szCs w:val="20"/>
          <w:color w:val="auto"/>
        </w:rPr>
      </w:pPr>
      <w:r>
        <w:rPr>
          <w:rFonts w:ascii="Arial" w:cs="Arial" w:eastAsia="Arial" w:hAnsi="Arial"/>
          <w:sz w:val="16"/>
          <w:szCs w:val="16"/>
          <w:color w:val="auto"/>
        </w:rPr>
        <w:t>The Company is reviewing alternative methods to regain compliance and is currently conducting a search for a qualified candidate to fill the vacancy left on its Board of Directors. The Company anticipates that it will regain compliance with Rule 5605 within the time period noted. A failure to regain compliance could result in the Company being delisted from the Nasdaq Stock Market. The delisting of our common stock would significantly affect the ability of investors to trade our securities and would negatively affect the value and liquidity of our common stock. In addition, the delisting of our common stock could materially affect our ability to raise capital on terms acceptable to us or at all and could also have other negative results, including the potential loss of confidence by customers and employees, the loss of institutional investor interest and fewer business development opportunities.</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58" w:name="page59"/>
    <w:bookmarkEnd w:id="5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i w:val="1"/>
          <w:iCs w:val="1"/>
          <w:color w:val="auto"/>
        </w:rPr>
        <w:t>Unregistered Sales of Equity Securities and Use of Proceeds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The following table provides information about the Company's purchases of equity securities during the three months ended September 30, 2010.</w:t>
      </w:r>
    </w:p>
    <w:p>
      <w:pPr>
        <w:spacing w:after="0" w:line="231"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2"/>
              </w:rPr>
              <w:t>Maximum</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Total Number of</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5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9"/>
              </w:rPr>
              <w:t>Number/Approximate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Total</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Shares Purchased as</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5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6"/>
              </w:rPr>
              <w:t>Dollar Value of Shares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Number of</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jc w:val="center"/>
              <w:ind w:right="19"/>
              <w:spacing w:after="0" w:line="149" w:lineRule="exact"/>
              <w:rPr>
                <w:sz w:val="20"/>
                <w:szCs w:val="20"/>
                <w:color w:val="auto"/>
              </w:rPr>
            </w:pPr>
            <w:r>
              <w:rPr>
                <w:rFonts w:ascii="Arial" w:cs="Arial" w:eastAsia="Arial" w:hAnsi="Arial"/>
                <w:sz w:val="14"/>
                <w:szCs w:val="14"/>
                <w:b w:val="1"/>
                <w:bCs w:val="1"/>
                <w:color w:val="auto"/>
                <w:w w:val="83"/>
              </w:rPr>
              <w:t>Average</w:t>
            </w:r>
          </w:p>
        </w:tc>
        <w:tc>
          <w:tcPr>
            <w:tcW w:w="160" w:type="dxa"/>
            <w:vAlign w:val="bottom"/>
          </w:tcPr>
          <w:p>
            <w:pPr>
              <w:spacing w:after="0"/>
              <w:rPr>
                <w:sz w:val="12"/>
                <w:szCs w:val="12"/>
                <w:color w:val="auto"/>
              </w:rPr>
            </w:pPr>
          </w:p>
        </w:tc>
        <w:tc>
          <w:tcPr>
            <w:tcW w:w="14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Part of Publicly</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5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9"/>
              </w:rPr>
              <w:t>that May Yet be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1"/>
              </w:rPr>
              <w:t>Shares</w:t>
            </w:r>
          </w:p>
        </w:tc>
        <w:tc>
          <w:tcPr>
            <w:tcW w:w="160" w:type="dxa"/>
            <w:vAlign w:val="bottom"/>
          </w:tcPr>
          <w:p>
            <w:pPr>
              <w:spacing w:after="0"/>
              <w:rPr>
                <w:sz w:val="12"/>
                <w:szCs w:val="12"/>
                <w:color w:val="auto"/>
              </w:rPr>
            </w:pPr>
          </w:p>
        </w:tc>
        <w:tc>
          <w:tcPr>
            <w:tcW w:w="76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5"/>
              </w:rPr>
              <w:t>Price Paid</w:t>
            </w:r>
          </w:p>
        </w:tc>
        <w:tc>
          <w:tcPr>
            <w:tcW w:w="160" w:type="dxa"/>
            <w:vAlign w:val="bottom"/>
          </w:tcPr>
          <w:p>
            <w:pPr>
              <w:spacing w:after="0"/>
              <w:rPr>
                <w:sz w:val="12"/>
                <w:szCs w:val="12"/>
                <w:color w:val="auto"/>
              </w:rPr>
            </w:pPr>
          </w:p>
        </w:tc>
        <w:tc>
          <w:tcPr>
            <w:tcW w:w="14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Announced Plans or</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58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6"/>
              </w:rPr>
              <w:t>Purchased Under the</w:t>
            </w:r>
          </w:p>
        </w:tc>
        <w:tc>
          <w:tcPr>
            <w:tcW w:w="0" w:type="dxa"/>
            <w:vAlign w:val="bottom"/>
          </w:tcPr>
          <w:p>
            <w:pPr>
              <w:spacing w:after="0"/>
              <w:rPr>
                <w:sz w:val="1"/>
                <w:szCs w:val="1"/>
                <w:color w:val="auto"/>
              </w:rPr>
            </w:pPr>
          </w:p>
        </w:tc>
      </w:tr>
      <w:tr>
        <w:trPr>
          <w:trHeight w:val="161"/>
        </w:trPr>
        <w:tc>
          <w:tcPr>
            <w:tcW w:w="4060" w:type="dxa"/>
            <w:vAlign w:val="bottom"/>
            <w:gridSpan w:val="4"/>
          </w:tcPr>
          <w:p>
            <w:pPr>
              <w:spacing w:after="0"/>
              <w:rPr>
                <w:sz w:val="20"/>
                <w:szCs w:val="20"/>
                <w:color w:val="auto"/>
              </w:rPr>
            </w:pPr>
            <w:r>
              <w:rPr>
                <w:rFonts w:ascii="Arial" w:cs="Arial" w:eastAsia="Arial" w:hAnsi="Arial"/>
                <w:sz w:val="14"/>
                <w:szCs w:val="14"/>
                <w:b w:val="1"/>
                <w:bCs w:val="1"/>
                <w:color w:val="auto"/>
              </w:rPr>
              <w:t>Period</w:t>
            </w:r>
          </w:p>
        </w:tc>
        <w:tc>
          <w:tcPr>
            <w:tcW w:w="800" w:type="dxa"/>
            <w:vAlign w:val="bottom"/>
          </w:tcPr>
          <w:p>
            <w:pPr>
              <w:jc w:val="center"/>
              <w:spacing w:after="0"/>
              <w:rPr>
                <w:sz w:val="20"/>
                <w:szCs w:val="20"/>
                <w:color w:val="auto"/>
              </w:rPr>
            </w:pPr>
            <w:r>
              <w:rPr>
                <w:rFonts w:ascii="Arial" w:cs="Arial" w:eastAsia="Arial" w:hAnsi="Arial"/>
                <w:sz w:val="14"/>
                <w:szCs w:val="14"/>
                <w:b w:val="1"/>
                <w:bCs w:val="1"/>
                <w:color w:val="auto"/>
                <w:w w:val="86"/>
              </w:rPr>
              <w:t>Purchased</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jc w:val="center"/>
              <w:ind w:right="19"/>
              <w:spacing w:after="0"/>
              <w:rPr>
                <w:sz w:val="20"/>
                <w:szCs w:val="20"/>
                <w:color w:val="auto"/>
              </w:rPr>
            </w:pPr>
            <w:r>
              <w:rPr>
                <w:rFonts w:ascii="Arial" w:cs="Arial" w:eastAsia="Arial" w:hAnsi="Arial"/>
                <w:sz w:val="14"/>
                <w:szCs w:val="14"/>
                <w:b w:val="1"/>
                <w:bCs w:val="1"/>
                <w:color w:val="auto"/>
                <w:w w:val="89"/>
              </w:rPr>
              <w:t>per Share</w:t>
            </w:r>
          </w:p>
        </w:tc>
        <w:tc>
          <w:tcPr>
            <w:tcW w:w="160" w:type="dxa"/>
            <w:vAlign w:val="bottom"/>
          </w:tcPr>
          <w:p>
            <w:pPr>
              <w:spacing w:after="0"/>
              <w:rPr>
                <w:sz w:val="14"/>
                <w:szCs w:val="14"/>
                <w:color w:val="auto"/>
              </w:rPr>
            </w:pPr>
          </w:p>
        </w:tc>
        <w:tc>
          <w:tcPr>
            <w:tcW w:w="1400" w:type="dxa"/>
            <w:vAlign w:val="bottom"/>
          </w:tcPr>
          <w:p>
            <w:pPr>
              <w:jc w:val="center"/>
              <w:spacing w:after="0"/>
              <w:rPr>
                <w:sz w:val="20"/>
                <w:szCs w:val="20"/>
                <w:color w:val="auto"/>
              </w:rPr>
            </w:pPr>
            <w:r>
              <w:rPr>
                <w:rFonts w:ascii="Arial" w:cs="Arial" w:eastAsia="Arial" w:hAnsi="Arial"/>
                <w:sz w:val="14"/>
                <w:szCs w:val="14"/>
                <w:b w:val="1"/>
                <w:bCs w:val="1"/>
                <w:color w:val="auto"/>
                <w:w w:val="87"/>
              </w:rPr>
              <w:t>Programs(1)</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6"/>
              </w:rPr>
              <w:t>Plans or Programs</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228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400" w:type="dxa"/>
            <w:vAlign w:val="bottom"/>
            <w:tcBorders>
              <w:top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420" w:type="dxa"/>
            <w:vAlign w:val="bottom"/>
            <w:tcBorders>
              <w:top w:val="single" w:sz="8" w:color="auto"/>
            </w:tcBorders>
          </w:tcPr>
          <w:p>
            <w:pPr>
              <w:jc w:val="center"/>
              <w:ind w:right="25"/>
              <w:spacing w:after="0" w:line="142" w:lineRule="exact"/>
              <w:rPr>
                <w:sz w:val="20"/>
                <w:szCs w:val="20"/>
                <w:color w:val="auto"/>
              </w:rPr>
            </w:pPr>
            <w:r>
              <w:rPr>
                <w:rFonts w:ascii="Arial" w:cs="Arial" w:eastAsia="Arial" w:hAnsi="Arial"/>
                <w:sz w:val="14"/>
                <w:szCs w:val="14"/>
                <w:b w:val="1"/>
                <w:bCs w:val="1"/>
                <w:color w:val="auto"/>
                <w:w w:val="87"/>
              </w:rPr>
              <w:t>(in thousands)</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07/01/10 - 07/31/10</w:t>
            </w:r>
          </w:p>
        </w:tc>
        <w:tc>
          <w:tcPr>
            <w:tcW w:w="13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109,163</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6.38</w:t>
            </w:r>
          </w:p>
        </w:tc>
        <w:tc>
          <w:tcPr>
            <w:tcW w:w="1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109,163</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5,832</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80" w:type="dxa"/>
            <w:vAlign w:val="bottom"/>
            <w:gridSpan w:val="2"/>
          </w:tcPr>
          <w:p>
            <w:pPr>
              <w:spacing w:after="0"/>
              <w:rPr>
                <w:sz w:val="20"/>
                <w:szCs w:val="20"/>
                <w:color w:val="auto"/>
              </w:rPr>
            </w:pPr>
            <w:r>
              <w:rPr>
                <w:rFonts w:ascii="Arial" w:cs="Arial" w:eastAsia="Arial" w:hAnsi="Arial"/>
                <w:sz w:val="18"/>
                <w:szCs w:val="18"/>
                <w:color w:val="auto"/>
              </w:rPr>
              <w:t>08/01/10 - 08/31/10</w:t>
            </w:r>
          </w:p>
        </w:tc>
        <w:tc>
          <w:tcPr>
            <w:tcW w:w="13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50,588</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7.05</w:t>
            </w:r>
          </w:p>
        </w:tc>
        <w:tc>
          <w:tcPr>
            <w:tcW w:w="1560" w:type="dxa"/>
            <w:vAlign w:val="bottom"/>
            <w:gridSpan w:val="2"/>
          </w:tcPr>
          <w:p>
            <w:pPr>
              <w:jc w:val="right"/>
              <w:spacing w:after="0"/>
              <w:rPr>
                <w:sz w:val="20"/>
                <w:szCs w:val="20"/>
                <w:color w:val="auto"/>
              </w:rPr>
            </w:pPr>
            <w:r>
              <w:rPr>
                <w:rFonts w:ascii="Arial" w:cs="Arial" w:eastAsia="Arial" w:hAnsi="Arial"/>
                <w:sz w:val="18"/>
                <w:szCs w:val="18"/>
                <w:color w:val="auto"/>
              </w:rPr>
              <w:t>50,588</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5,474</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09/01/10 - 09/30/10</w:t>
            </w:r>
          </w:p>
        </w:tc>
        <w:tc>
          <w:tcPr>
            <w:tcW w:w="13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22,916</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7.15</w:t>
            </w:r>
          </w:p>
        </w:tc>
        <w:tc>
          <w:tcPr>
            <w:tcW w:w="1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22,916</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5,309</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4060" w:type="dxa"/>
            <w:vAlign w:val="bottom"/>
            <w:gridSpan w:val="4"/>
            <w:vMerge w:val="restart"/>
          </w:tcPr>
          <w:p>
            <w:pPr>
              <w:spacing w:after="0"/>
              <w:rPr>
                <w:sz w:val="20"/>
                <w:szCs w:val="20"/>
                <w:color w:val="auto"/>
              </w:rPr>
            </w:pPr>
            <w:r>
              <w:rPr>
                <w:rFonts w:ascii="Arial" w:cs="Arial" w:eastAsia="Arial" w:hAnsi="Arial"/>
                <w:sz w:val="18"/>
                <w:szCs w:val="18"/>
                <w:color w:val="auto"/>
              </w:rPr>
              <w:t>Total</w:t>
            </w:r>
          </w:p>
        </w:tc>
        <w:tc>
          <w:tcPr>
            <w:tcW w:w="800" w:type="dxa"/>
            <w:vAlign w:val="bottom"/>
          </w:tcPr>
          <w:p>
            <w:pPr>
              <w:spacing w:after="0"/>
              <w:rPr>
                <w:sz w:val="2"/>
                <w:szCs w:val="2"/>
                <w:color w:val="auto"/>
              </w:rPr>
            </w:pPr>
          </w:p>
        </w:tc>
        <w:tc>
          <w:tcPr>
            <w:tcW w:w="240" w:type="dxa"/>
            <w:vAlign w:val="bottom"/>
            <w:gridSpan w:val="2"/>
          </w:tcPr>
          <w:p>
            <w:pPr>
              <w:spacing w:after="0"/>
              <w:rPr>
                <w:sz w:val="2"/>
                <w:szCs w:val="2"/>
                <w:color w:val="auto"/>
              </w:rPr>
            </w:pPr>
          </w:p>
        </w:tc>
        <w:tc>
          <w:tcPr>
            <w:tcW w:w="680" w:type="dxa"/>
            <w:vAlign w:val="bottom"/>
          </w:tcPr>
          <w:p>
            <w:pPr>
              <w:spacing w:after="0"/>
              <w:rPr>
                <w:sz w:val="2"/>
                <w:szCs w:val="2"/>
                <w:color w:val="auto"/>
              </w:rPr>
            </w:pPr>
          </w:p>
        </w:tc>
        <w:tc>
          <w:tcPr>
            <w:tcW w:w="1560" w:type="dxa"/>
            <w:vAlign w:val="bottom"/>
            <w:gridSpan w:val="2"/>
          </w:tcPr>
          <w:p>
            <w:pPr>
              <w:spacing w:after="0"/>
              <w:rPr>
                <w:sz w:val="2"/>
                <w:szCs w:val="2"/>
                <w:color w:val="auto"/>
              </w:rPr>
            </w:pPr>
          </w:p>
        </w:tc>
        <w:tc>
          <w:tcPr>
            <w:tcW w:w="260" w:type="dxa"/>
            <w:vAlign w:val="bottom"/>
            <w:gridSpan w:val="2"/>
          </w:tcPr>
          <w:p>
            <w:pPr>
              <w:spacing w:after="0"/>
              <w:rPr>
                <w:sz w:val="2"/>
                <w:szCs w:val="2"/>
                <w:color w:val="auto"/>
              </w:rPr>
            </w:pPr>
          </w:p>
        </w:tc>
        <w:tc>
          <w:tcPr>
            <w:tcW w:w="1420" w:type="dxa"/>
            <w:vAlign w:val="bottom"/>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4060" w:type="dxa"/>
            <w:vAlign w:val="bottom"/>
            <w:gridSpan w:val="4"/>
            <w:vMerge w:val="continue"/>
          </w:tcPr>
          <w:p>
            <w:pPr>
              <w:spacing w:after="0"/>
              <w:rPr>
                <w:sz w:val="18"/>
                <w:szCs w:val="18"/>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182,667</w:t>
            </w:r>
          </w:p>
        </w:tc>
        <w:tc>
          <w:tcPr>
            <w:tcW w:w="160" w:type="dxa"/>
            <w:vAlign w:val="bottom"/>
          </w:tcPr>
          <w:p>
            <w:pPr>
              <w:spacing w:after="0"/>
              <w:rPr>
                <w:sz w:val="18"/>
                <w:szCs w:val="18"/>
                <w:color w:val="auto"/>
              </w:rPr>
            </w:pP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6.69</w:t>
            </w:r>
          </w:p>
        </w:tc>
        <w:tc>
          <w:tcPr>
            <w:tcW w:w="160" w:type="dxa"/>
            <w:vAlign w:val="bottom"/>
          </w:tcPr>
          <w:p>
            <w:pPr>
              <w:spacing w:after="0"/>
              <w:rPr>
                <w:sz w:val="18"/>
                <w:szCs w:val="18"/>
                <w:color w:val="auto"/>
              </w:rPr>
            </w:pPr>
          </w:p>
        </w:tc>
        <w:tc>
          <w:tcPr>
            <w:tcW w:w="14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182,667</w:t>
            </w:r>
          </w:p>
        </w:tc>
        <w:tc>
          <w:tcPr>
            <w:tcW w:w="180" w:type="dxa"/>
            <w:vAlign w:val="bottom"/>
          </w:tcPr>
          <w:p>
            <w:pPr>
              <w:spacing w:after="0"/>
              <w:rPr>
                <w:sz w:val="18"/>
                <w:szCs w:val="18"/>
                <w:color w:val="auto"/>
              </w:rPr>
            </w:pP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4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5,309</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9"/>
        </w:trPr>
        <w:tc>
          <w:tcPr>
            <w:tcW w:w="20" w:type="dxa"/>
            <w:vAlign w:val="bottom"/>
          </w:tcPr>
          <w:p>
            <w:pPr>
              <w:spacing w:after="0"/>
              <w:rPr>
                <w:sz w:val="7"/>
                <w:szCs w:val="7"/>
                <w:color w:val="auto"/>
              </w:rPr>
            </w:pPr>
          </w:p>
        </w:tc>
        <w:tc>
          <w:tcPr>
            <w:tcW w:w="400" w:type="dxa"/>
            <w:vAlign w:val="bottom"/>
            <w:tcBorders>
              <w:bottom w:val="single" w:sz="8" w:color="auto"/>
            </w:tcBorders>
          </w:tcPr>
          <w:p>
            <w:pPr>
              <w:spacing w:after="0"/>
              <w:rPr>
                <w:sz w:val="7"/>
                <w:szCs w:val="7"/>
                <w:color w:val="auto"/>
              </w:rPr>
            </w:pPr>
          </w:p>
        </w:tc>
        <w:tc>
          <w:tcPr>
            <w:tcW w:w="2280" w:type="dxa"/>
            <w:vAlign w:val="bottom"/>
            <w:tcBorders>
              <w:bottom w:val="single" w:sz="8" w:color="auto"/>
            </w:tcBorders>
          </w:tcPr>
          <w:p>
            <w:pPr>
              <w:spacing w:after="0"/>
              <w:rPr>
                <w:sz w:val="7"/>
                <w:szCs w:val="7"/>
                <w:color w:val="auto"/>
              </w:rPr>
            </w:pPr>
          </w:p>
        </w:tc>
        <w:tc>
          <w:tcPr>
            <w:tcW w:w="1360" w:type="dxa"/>
            <w:vAlign w:val="bottom"/>
          </w:tcPr>
          <w:p>
            <w:pPr>
              <w:spacing w:after="0"/>
              <w:rPr>
                <w:sz w:val="7"/>
                <w:szCs w:val="7"/>
                <w:color w:val="auto"/>
              </w:rPr>
            </w:pPr>
          </w:p>
        </w:tc>
        <w:tc>
          <w:tcPr>
            <w:tcW w:w="800" w:type="dxa"/>
            <w:vAlign w:val="bottom"/>
          </w:tcPr>
          <w:p>
            <w:pPr>
              <w:spacing w:after="0"/>
              <w:rPr>
                <w:sz w:val="7"/>
                <w:szCs w:val="7"/>
                <w:color w:val="auto"/>
              </w:rPr>
            </w:pPr>
          </w:p>
        </w:tc>
        <w:tc>
          <w:tcPr>
            <w:tcW w:w="160" w:type="dxa"/>
            <w:vAlign w:val="bottom"/>
          </w:tcPr>
          <w:p>
            <w:pPr>
              <w:spacing w:after="0"/>
              <w:rPr>
                <w:sz w:val="7"/>
                <w:szCs w:val="7"/>
                <w:color w:val="auto"/>
              </w:rPr>
            </w:pPr>
          </w:p>
        </w:tc>
        <w:tc>
          <w:tcPr>
            <w:tcW w:w="80" w:type="dxa"/>
            <w:vAlign w:val="bottom"/>
          </w:tcPr>
          <w:p>
            <w:pPr>
              <w:spacing w:after="0"/>
              <w:rPr>
                <w:sz w:val="7"/>
                <w:szCs w:val="7"/>
                <w:color w:val="auto"/>
              </w:rPr>
            </w:pPr>
          </w:p>
        </w:tc>
        <w:tc>
          <w:tcPr>
            <w:tcW w:w="680" w:type="dxa"/>
            <w:vAlign w:val="bottom"/>
          </w:tcPr>
          <w:p>
            <w:pPr>
              <w:spacing w:after="0"/>
              <w:rPr>
                <w:sz w:val="7"/>
                <w:szCs w:val="7"/>
                <w:color w:val="auto"/>
              </w:rPr>
            </w:pPr>
          </w:p>
        </w:tc>
        <w:tc>
          <w:tcPr>
            <w:tcW w:w="160" w:type="dxa"/>
            <w:vAlign w:val="bottom"/>
          </w:tcPr>
          <w:p>
            <w:pPr>
              <w:spacing w:after="0"/>
              <w:rPr>
                <w:sz w:val="7"/>
                <w:szCs w:val="7"/>
                <w:color w:val="auto"/>
              </w:rPr>
            </w:pPr>
          </w:p>
        </w:tc>
        <w:tc>
          <w:tcPr>
            <w:tcW w:w="1400" w:type="dxa"/>
            <w:vAlign w:val="bottom"/>
          </w:tcPr>
          <w:p>
            <w:pPr>
              <w:spacing w:after="0"/>
              <w:rPr>
                <w:sz w:val="7"/>
                <w:szCs w:val="7"/>
                <w:color w:val="auto"/>
              </w:rPr>
            </w:pPr>
          </w:p>
        </w:tc>
        <w:tc>
          <w:tcPr>
            <w:tcW w:w="180" w:type="dxa"/>
            <w:vAlign w:val="bottom"/>
          </w:tcPr>
          <w:p>
            <w:pPr>
              <w:spacing w:after="0"/>
              <w:rPr>
                <w:sz w:val="7"/>
                <w:szCs w:val="7"/>
                <w:color w:val="auto"/>
              </w:rPr>
            </w:pPr>
          </w:p>
        </w:tc>
        <w:tc>
          <w:tcPr>
            <w:tcW w:w="80" w:type="dxa"/>
            <w:vAlign w:val="bottom"/>
          </w:tcPr>
          <w:p>
            <w:pPr>
              <w:spacing w:after="0"/>
              <w:rPr>
                <w:sz w:val="7"/>
                <w:szCs w:val="7"/>
                <w:color w:val="auto"/>
              </w:rPr>
            </w:pPr>
          </w:p>
        </w:tc>
        <w:tc>
          <w:tcPr>
            <w:tcW w:w="1420" w:type="dxa"/>
            <w:vAlign w:val="bottom"/>
          </w:tcPr>
          <w:p>
            <w:pPr>
              <w:spacing w:after="0"/>
              <w:rPr>
                <w:sz w:val="7"/>
                <w:szCs w:val="7"/>
                <w:color w:val="auto"/>
              </w:rPr>
            </w:pPr>
          </w:p>
        </w:tc>
        <w:tc>
          <w:tcPr>
            <w:tcW w:w="16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221" w:lineRule="exact"/>
        <w:rPr>
          <w:sz w:val="20"/>
          <w:szCs w:val="20"/>
          <w:color w:val="auto"/>
        </w:rPr>
      </w:pPr>
    </w:p>
    <w:p>
      <w:pPr>
        <w:ind w:left="1680" w:hanging="531"/>
        <w:spacing w:after="0"/>
        <w:tabs>
          <w:tab w:leader="none" w:pos="1680" w:val="left"/>
        </w:tabs>
        <w:numPr>
          <w:ilvl w:val="0"/>
          <w:numId w:val="10"/>
        </w:numPr>
        <w:rPr>
          <w:rFonts w:ascii="Arial" w:cs="Arial" w:eastAsia="Arial" w:hAnsi="Arial"/>
          <w:sz w:val="16"/>
          <w:szCs w:val="16"/>
          <w:color w:val="auto"/>
        </w:rPr>
      </w:pPr>
      <w:r>
        <w:rPr>
          <w:rFonts w:ascii="Arial" w:cs="Arial" w:eastAsia="Arial" w:hAnsi="Arial"/>
          <w:sz w:val="16"/>
          <w:szCs w:val="16"/>
          <w:color w:val="auto"/>
        </w:rPr>
        <w:t>On January 11, 2010, the Company announced that its Board of Directors approved a stock repurchase program for an amount up to</w:t>
      </w:r>
    </w:p>
    <w:p>
      <w:pPr>
        <w:spacing w:after="0" w:line="38" w:lineRule="exact"/>
        <w:rPr>
          <w:rFonts w:ascii="Arial" w:cs="Arial" w:eastAsia="Arial" w:hAnsi="Arial"/>
          <w:sz w:val="16"/>
          <w:szCs w:val="16"/>
          <w:color w:val="auto"/>
        </w:rPr>
      </w:pPr>
    </w:p>
    <w:p>
      <w:pPr>
        <w:ind w:left="1680"/>
        <w:spacing w:after="0" w:line="295" w:lineRule="auto"/>
        <w:rPr>
          <w:rFonts w:ascii="Arial" w:cs="Arial" w:eastAsia="Arial" w:hAnsi="Arial"/>
          <w:sz w:val="16"/>
          <w:szCs w:val="16"/>
          <w:color w:val="auto"/>
        </w:rPr>
      </w:pPr>
      <w:r>
        <w:rPr>
          <w:rFonts w:ascii="Arial" w:cs="Arial" w:eastAsia="Arial" w:hAnsi="Arial"/>
          <w:sz w:val="16"/>
          <w:szCs w:val="16"/>
          <w:color w:val="auto"/>
        </w:rPr>
        <w:t>$10 million. The program authorizes repurchases of common shares in the open market or through privately-negotiated transactions. The Company began this program in February 2010 and expects to use available cash to finance these repurchases. It will determine the timing and amount of such repurchases based on its evaluation of market conditions, applicable SEC guidelines and regulations, and other factors. This program may be suspended or discontinued at any time at the discretion of the Board of Directors.</w:t>
      </w:r>
    </w:p>
    <w:p>
      <w:pPr>
        <w:spacing w:after="0" w:line="169" w:lineRule="exact"/>
        <w:rPr>
          <w:sz w:val="20"/>
          <w:szCs w:val="20"/>
          <w:color w:val="auto"/>
        </w:rPr>
      </w:pPr>
    </w:p>
    <w:p>
      <w:pPr>
        <w:ind w:right="60" w:firstLine="348"/>
        <w:spacing w:after="0" w:line="268" w:lineRule="auto"/>
        <w:rPr>
          <w:sz w:val="20"/>
          <w:szCs w:val="20"/>
          <w:color w:val="auto"/>
        </w:rPr>
      </w:pPr>
      <w:r>
        <w:rPr>
          <w:rFonts w:ascii="Arial" w:cs="Arial" w:eastAsia="Arial" w:hAnsi="Arial"/>
          <w:sz w:val="18"/>
          <w:szCs w:val="18"/>
          <w:color w:val="auto"/>
        </w:rPr>
        <w:t>The Company did not have any unregistered sales of its equity securities during the three and nine months ended September 30, 2010 except as disclosed on our Current Report on Form 8-K filed with the SEC on September 1, 2010.</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59" w:name="page60"/>
    <w:bookmarkEnd w:id="5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5"/>
          <w:szCs w:val="15"/>
          <w:b w:val="1"/>
          <w:bCs w:val="1"/>
          <w:i w:val="1"/>
          <w:iCs w:val="1"/>
          <w:color w:val="auto"/>
        </w:rPr>
        <w:t>Exhibits</w:t>
      </w:r>
    </w:p>
    <w:p>
      <w:pPr>
        <w:spacing w:after="0" w:line="227" w:lineRule="exact"/>
        <w:rPr>
          <w:sz w:val="20"/>
          <w:szCs w:val="20"/>
          <w:color w:val="auto"/>
        </w:rPr>
      </w:pPr>
    </w:p>
    <w:p>
      <w:pPr>
        <w:ind w:left="1220"/>
        <w:spacing w:after="0"/>
        <w:tabs>
          <w:tab w:leader="none" w:pos="4440" w:val="left"/>
        </w:tabs>
        <w:rPr>
          <w:sz w:val="20"/>
          <w:szCs w:val="20"/>
          <w:color w:val="auto"/>
        </w:rPr>
      </w:pPr>
      <w:r>
        <w:rPr>
          <w:rFonts w:ascii="Arial" w:cs="Arial" w:eastAsia="Arial" w:hAnsi="Arial"/>
          <w:sz w:val="14"/>
          <w:szCs w:val="14"/>
          <w:b w:val="1"/>
          <w:bCs w:val="1"/>
          <w:color w:val="auto"/>
        </w:rPr>
        <w:t>Exhibit</w:t>
      </w:r>
      <w:r>
        <w:rPr>
          <w:sz w:val="20"/>
          <w:szCs w:val="20"/>
          <w:color w:val="auto"/>
        </w:rPr>
        <w:tab/>
      </w:r>
      <w:r>
        <w:rPr>
          <w:rFonts w:ascii="Arial" w:cs="Arial" w:eastAsia="Arial" w:hAnsi="Arial"/>
          <w:sz w:val="14"/>
          <w:szCs w:val="14"/>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0</wp:posOffset>
            </wp:positionV>
            <wp:extent cx="4150995"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4150995" cy="8890"/>
                    </a:xfrm>
                    <a:prstGeom prst="rect">
                      <a:avLst/>
                    </a:prstGeom>
                    <a:noFill/>
                  </pic:spPr>
                </pic:pic>
              </a:graphicData>
            </a:graphic>
          </wp:anchor>
        </w:drawing>
      </w:r>
    </w:p>
    <w:p>
      <w:pPr>
        <w:ind w:left="1420"/>
        <w:spacing w:after="0"/>
        <w:tabs>
          <w:tab w:leader="none" w:pos="1880" w:val="left"/>
        </w:tabs>
        <w:rPr>
          <w:sz w:val="20"/>
          <w:szCs w:val="20"/>
          <w:color w:val="auto"/>
        </w:rPr>
      </w:pPr>
      <w:r>
        <w:rPr>
          <w:rFonts w:ascii="Arial" w:cs="Arial" w:eastAsia="Arial" w:hAnsi="Arial"/>
          <w:sz w:val="18"/>
          <w:szCs w:val="18"/>
          <w:color w:val="auto"/>
        </w:rPr>
        <w:t>10.1</w:t>
      </w:r>
      <w:r>
        <w:rPr>
          <w:sz w:val="20"/>
          <w:szCs w:val="20"/>
          <w:color w:val="auto"/>
        </w:rPr>
        <w:tab/>
      </w:r>
      <w:r>
        <w:rPr>
          <w:rFonts w:ascii="Arial" w:cs="Arial" w:eastAsia="Arial" w:hAnsi="Arial"/>
          <w:sz w:val="15"/>
          <w:szCs w:val="15"/>
          <w:color w:val="auto"/>
        </w:rPr>
        <w:t>Amendment No. 4 to Master Repurchase Agreement, dated as of October 29,</w:t>
      </w:r>
    </w:p>
    <w:p>
      <w:pPr>
        <w:spacing w:after="0" w:line="8" w:lineRule="exact"/>
        <w:rPr>
          <w:sz w:val="20"/>
          <w:szCs w:val="20"/>
          <w:color w:val="auto"/>
        </w:rPr>
      </w:pPr>
    </w:p>
    <w:p>
      <w:pPr>
        <w:ind w:left="1900"/>
        <w:spacing w:after="0"/>
        <w:rPr>
          <w:sz w:val="20"/>
          <w:szCs w:val="20"/>
          <w:color w:val="auto"/>
        </w:rPr>
      </w:pPr>
      <w:r>
        <w:rPr>
          <w:rFonts w:ascii="Arial" w:cs="Arial" w:eastAsia="Arial" w:hAnsi="Arial"/>
          <w:sz w:val="16"/>
          <w:szCs w:val="16"/>
          <w:color w:val="auto"/>
        </w:rPr>
        <w:t>2010, by and between Home Loan Center, Inc. and JPMorgan Chase Bank, N.A.</w:t>
      </w:r>
    </w:p>
    <w:p>
      <w:pPr>
        <w:spacing w:after="0" w:line="200" w:lineRule="exact"/>
        <w:rPr>
          <w:sz w:val="20"/>
          <w:szCs w:val="20"/>
          <w:color w:val="auto"/>
        </w:rPr>
      </w:pPr>
    </w:p>
    <w:p>
      <w:pPr>
        <w:spacing w:after="0" w:line="285" w:lineRule="exact"/>
        <w:rPr>
          <w:sz w:val="20"/>
          <w:szCs w:val="20"/>
          <w:color w:val="auto"/>
        </w:rPr>
      </w:pPr>
    </w:p>
    <w:p>
      <w:pPr>
        <w:ind w:left="1900" w:hanging="468"/>
        <w:spacing w:after="0" w:line="332" w:lineRule="auto"/>
        <w:tabs>
          <w:tab w:leader="none" w:pos="1880" w:val="left"/>
        </w:tabs>
        <w:rPr>
          <w:sz w:val="20"/>
          <w:szCs w:val="20"/>
          <w:color w:val="auto"/>
        </w:rPr>
      </w:pPr>
      <w:r>
        <w:rPr>
          <w:rFonts w:ascii="Arial" w:cs="Arial" w:eastAsia="Arial" w:hAnsi="Arial"/>
          <w:sz w:val="18"/>
          <w:szCs w:val="18"/>
          <w:color w:val="auto"/>
        </w:rPr>
        <w:t>10.2</w:t>
      </w:r>
      <w:r>
        <w:rPr>
          <w:sz w:val="20"/>
          <w:szCs w:val="20"/>
          <w:color w:val="auto"/>
        </w:rPr>
        <w:tab/>
      </w:r>
      <w:r>
        <w:rPr>
          <w:rFonts w:ascii="Arial" w:cs="Arial" w:eastAsia="Arial" w:hAnsi="Arial"/>
          <w:sz w:val="16"/>
          <w:szCs w:val="16"/>
          <w:color w:val="auto"/>
        </w:rPr>
        <w:t>Second Amendment to Side Letter dated as of October 29, 2010, with respect to the Home Loan Center, Inc. warehouse facility with JPMorgan Chase Bank, N.A.</w:t>
      </w:r>
    </w:p>
    <w:p>
      <w:pPr>
        <w:spacing w:after="0" w:line="382" w:lineRule="exact"/>
        <w:rPr>
          <w:sz w:val="20"/>
          <w:szCs w:val="20"/>
          <w:color w:val="auto"/>
        </w:rPr>
      </w:pPr>
    </w:p>
    <w:p>
      <w:pPr>
        <w:ind w:left="1900" w:right="60" w:hanging="468"/>
        <w:spacing w:after="0" w:line="268" w:lineRule="auto"/>
        <w:tabs>
          <w:tab w:leader="none" w:pos="1880" w:val="left"/>
        </w:tabs>
        <w:rPr>
          <w:sz w:val="20"/>
          <w:szCs w:val="20"/>
          <w:color w:val="auto"/>
        </w:rPr>
      </w:pPr>
      <w:r>
        <w:rPr>
          <w:rFonts w:ascii="Arial" w:cs="Arial" w:eastAsia="Arial" w:hAnsi="Arial"/>
          <w:sz w:val="18"/>
          <w:szCs w:val="18"/>
          <w:color w:val="auto"/>
        </w:rPr>
        <w:t>10.3</w:t>
        <w:tab/>
        <w:t>Share Exchange Agreement, dated August 30, 2010, between Tree.com, Inc. and Douglas R. Lebda</w:t>
      </w:r>
    </w:p>
    <w:p>
      <w:pPr>
        <w:spacing w:after="0" w:line="200" w:lineRule="exact"/>
        <w:rPr>
          <w:sz w:val="20"/>
          <w:szCs w:val="20"/>
          <w:color w:val="auto"/>
        </w:rPr>
      </w:pPr>
    </w:p>
    <w:p>
      <w:pPr>
        <w:spacing w:after="0" w:line="229" w:lineRule="exact"/>
        <w:rPr>
          <w:sz w:val="20"/>
          <w:szCs w:val="20"/>
          <w:color w:val="auto"/>
        </w:rPr>
      </w:pPr>
    </w:p>
    <w:p>
      <w:pPr>
        <w:ind w:left="1900" w:hanging="468"/>
        <w:spacing w:after="0" w:line="259" w:lineRule="auto"/>
        <w:tabs>
          <w:tab w:leader="none" w:pos="1880" w:val="left"/>
        </w:tabs>
        <w:rPr>
          <w:sz w:val="20"/>
          <w:szCs w:val="20"/>
          <w:color w:val="auto"/>
        </w:rPr>
      </w:pPr>
      <w:r>
        <w:rPr>
          <w:rFonts w:ascii="Arial" w:cs="Arial" w:eastAsia="Arial" w:hAnsi="Arial"/>
          <w:sz w:val="18"/>
          <w:szCs w:val="18"/>
          <w:color w:val="auto"/>
        </w:rPr>
        <w:t>10.4</w:t>
        <w:tab/>
        <w:t>Amendment No. 1 to the Restricted Share Grant and Stockholder's Agreement, dated August 30, 2010, between Tree.com, Inc., LendingTree Holdings Corp. and Douglas R. Lebda</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left="960"/>
        <w:spacing w:after="0"/>
        <w:rPr>
          <w:sz w:val="20"/>
          <w:szCs w:val="20"/>
          <w:color w:val="auto"/>
        </w:rPr>
      </w:pPr>
      <w:r>
        <w:rPr>
          <w:rFonts w:ascii="Arial" w:cs="Arial" w:eastAsia="Arial" w:hAnsi="Arial"/>
          <w:sz w:val="14"/>
          <w:szCs w:val="14"/>
          <w:b w:val="1"/>
          <w:bCs w:val="1"/>
          <w:color w:val="auto"/>
        </w:rPr>
        <w:t>Location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0</wp:posOffset>
            </wp:positionV>
            <wp:extent cx="1543685"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1543685" cy="8890"/>
                    </a:xfrm>
                    <a:prstGeom prst="rect">
                      <a:avLst/>
                    </a:prstGeom>
                    <a:noFill/>
                  </pic:spPr>
                </pic:pic>
              </a:graphicData>
            </a:graphic>
          </wp:anchor>
        </w:drawing>
      </w:r>
    </w:p>
    <w:p>
      <w:pPr>
        <w:spacing w:after="0" w:line="301" w:lineRule="auto"/>
        <w:rPr>
          <w:sz w:val="20"/>
          <w:szCs w:val="20"/>
          <w:color w:val="auto"/>
        </w:rPr>
      </w:pPr>
      <w:r>
        <w:rPr>
          <w:rFonts w:ascii="Arial" w:cs="Arial" w:eastAsia="Arial" w:hAnsi="Arial"/>
          <w:sz w:val="16"/>
          <w:szCs w:val="16"/>
          <w:color w:val="auto"/>
        </w:rPr>
        <w:t>Exhibit 10.1 to the Registrant's Current Report on Form 8-K filed October 25, 2010</w:t>
      </w:r>
    </w:p>
    <w:p>
      <w:pPr>
        <w:spacing w:after="0" w:line="191" w:lineRule="exact"/>
        <w:rPr>
          <w:sz w:val="20"/>
          <w:szCs w:val="20"/>
          <w:color w:val="auto"/>
        </w:rPr>
      </w:pPr>
    </w:p>
    <w:p>
      <w:pPr>
        <w:spacing w:after="0" w:line="306" w:lineRule="auto"/>
        <w:rPr>
          <w:sz w:val="20"/>
          <w:szCs w:val="20"/>
          <w:color w:val="auto"/>
        </w:rPr>
      </w:pPr>
      <w:r>
        <w:rPr>
          <w:rFonts w:ascii="Arial" w:cs="Arial" w:eastAsia="Arial" w:hAnsi="Arial"/>
          <w:sz w:val="16"/>
          <w:szCs w:val="16"/>
          <w:color w:val="auto"/>
        </w:rPr>
        <w:t>Exhibit 10.2 to the Registrant's Current Report on Form 8-K filed October 25, 2010</w:t>
      </w:r>
    </w:p>
    <w:p>
      <w:pPr>
        <w:spacing w:after="0" w:line="188" w:lineRule="exact"/>
        <w:rPr>
          <w:sz w:val="20"/>
          <w:szCs w:val="20"/>
          <w:color w:val="auto"/>
        </w:rPr>
      </w:pPr>
    </w:p>
    <w:p>
      <w:pPr>
        <w:spacing w:after="0" w:line="306" w:lineRule="auto"/>
        <w:rPr>
          <w:sz w:val="20"/>
          <w:szCs w:val="20"/>
          <w:color w:val="auto"/>
        </w:rPr>
      </w:pPr>
      <w:r>
        <w:rPr>
          <w:rFonts w:ascii="Arial" w:cs="Arial" w:eastAsia="Arial" w:hAnsi="Arial"/>
          <w:sz w:val="16"/>
          <w:szCs w:val="16"/>
          <w:color w:val="auto"/>
        </w:rPr>
        <w:t>Exhibit 10.1 to the Registrant's Current Report on Form 8-K filed September 1, 2010</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663" w:lineRule="exact"/>
        <w:rPr>
          <w:sz w:val="20"/>
          <w:szCs w:val="20"/>
          <w:color w:val="auto"/>
        </w:rPr>
      </w:pPr>
    </w:p>
    <w:p>
      <w:pPr>
        <w:sectPr>
          <w:pgSz w:w="11900" w:h="16838" w:orient="portrait"/>
          <w:cols w:equalWidth="0" w:num="2">
            <w:col w:w="7620" w:space="220"/>
            <w:col w:w="2400"/>
          </w:cols>
          <w:pgMar w:left="240" w:top="131" w:right="1419" w:bottom="1440" w:gutter="0" w:footer="0" w:header="0"/>
        </w:sectPr>
      </w:pPr>
    </w:p>
    <w:p>
      <w:pPr>
        <w:spacing w:after="0" w:line="21" w:lineRule="exact"/>
        <w:rPr>
          <w:sz w:val="20"/>
          <w:szCs w:val="20"/>
          <w:color w:val="auto"/>
        </w:rPr>
      </w:pPr>
    </w:p>
    <w:p>
      <w:pPr>
        <w:ind w:left="1900" w:hanging="468"/>
        <w:spacing w:after="0" w:line="332" w:lineRule="auto"/>
        <w:tabs>
          <w:tab w:leader="none" w:pos="1880" w:val="left"/>
        </w:tabs>
        <w:rPr>
          <w:sz w:val="20"/>
          <w:szCs w:val="20"/>
          <w:color w:val="auto"/>
        </w:rPr>
      </w:pPr>
      <w:r>
        <w:rPr>
          <w:rFonts w:ascii="Arial" w:cs="Arial" w:eastAsia="Arial" w:hAnsi="Arial"/>
          <w:sz w:val="18"/>
          <w:szCs w:val="18"/>
          <w:color w:val="auto"/>
        </w:rPr>
        <w:t>10.5</w:t>
      </w:r>
      <w:r>
        <w:rPr>
          <w:sz w:val="20"/>
          <w:szCs w:val="20"/>
          <w:color w:val="auto"/>
        </w:rPr>
        <w:tab/>
      </w:r>
      <w:r>
        <w:rPr>
          <w:rFonts w:ascii="Arial" w:cs="Arial" w:eastAsia="Arial" w:hAnsi="Arial"/>
          <w:sz w:val="16"/>
          <w:szCs w:val="16"/>
          <w:color w:val="auto"/>
        </w:rPr>
        <w:t>Amendment No. 3 to the Master Repurchase Agreement, dated July 22, 2010, by and between Home Loan Center, Inc. and JPMorgan Chase Bank, N.A.</w:t>
      </w:r>
    </w:p>
    <w:p>
      <w:pPr>
        <w:spacing w:after="0" w:line="382" w:lineRule="exact"/>
        <w:rPr>
          <w:sz w:val="20"/>
          <w:szCs w:val="20"/>
          <w:color w:val="auto"/>
        </w:rPr>
      </w:pPr>
    </w:p>
    <w:p>
      <w:pPr>
        <w:ind w:left="1900" w:right="340" w:hanging="468"/>
        <w:spacing w:after="0" w:line="268" w:lineRule="auto"/>
        <w:tabs>
          <w:tab w:leader="none" w:pos="1880" w:val="left"/>
        </w:tabs>
        <w:rPr>
          <w:sz w:val="20"/>
          <w:szCs w:val="20"/>
          <w:color w:val="auto"/>
        </w:rPr>
      </w:pPr>
      <w:r>
        <w:rPr>
          <w:rFonts w:ascii="Arial" w:cs="Arial" w:eastAsia="Arial" w:hAnsi="Arial"/>
          <w:sz w:val="18"/>
          <w:szCs w:val="18"/>
          <w:color w:val="auto"/>
        </w:rPr>
        <w:t>10.6</w:t>
        <w:tab/>
        <w:t>Employment Agreement between Tree.com, Inc. and Steven Ozonian, dated October 31, 2010</w:t>
      </w:r>
    </w:p>
    <w:p>
      <w:pPr>
        <w:spacing w:after="0" w:line="200" w:lineRule="exact"/>
        <w:rPr>
          <w:sz w:val="20"/>
          <w:szCs w:val="20"/>
          <w:color w:val="auto"/>
        </w:rPr>
      </w:pPr>
    </w:p>
    <w:p>
      <w:pPr>
        <w:spacing w:after="0" w:line="229" w:lineRule="exact"/>
        <w:rPr>
          <w:sz w:val="20"/>
          <w:szCs w:val="20"/>
          <w:color w:val="auto"/>
        </w:rPr>
      </w:pPr>
    </w:p>
    <w:p>
      <w:pPr>
        <w:ind w:left="1420"/>
        <w:spacing w:after="0"/>
        <w:tabs>
          <w:tab w:leader="none" w:pos="1880" w:val="left"/>
        </w:tabs>
        <w:rPr>
          <w:sz w:val="20"/>
          <w:szCs w:val="20"/>
          <w:color w:val="auto"/>
        </w:rPr>
      </w:pPr>
      <w:r>
        <w:rPr>
          <w:rFonts w:ascii="Arial" w:cs="Arial" w:eastAsia="Arial" w:hAnsi="Arial"/>
          <w:sz w:val="18"/>
          <w:szCs w:val="18"/>
          <w:color w:val="auto"/>
        </w:rPr>
        <w:t>10.7</w:t>
      </w:r>
      <w:r>
        <w:rPr>
          <w:sz w:val="20"/>
          <w:szCs w:val="20"/>
          <w:color w:val="auto"/>
        </w:rPr>
        <w:tab/>
      </w:r>
      <w:r>
        <w:rPr>
          <w:rFonts w:ascii="Arial" w:cs="Arial" w:eastAsia="Arial" w:hAnsi="Arial"/>
          <w:sz w:val="15"/>
          <w:szCs w:val="15"/>
          <w:color w:val="auto"/>
        </w:rPr>
        <w:t>Amended and Restated Employment Agreement by and between Tree.com, Inc.</w:t>
      </w:r>
    </w:p>
    <w:p>
      <w:pPr>
        <w:spacing w:after="0" w:line="15" w:lineRule="exact"/>
        <w:rPr>
          <w:sz w:val="20"/>
          <w:szCs w:val="20"/>
          <w:color w:val="auto"/>
        </w:rPr>
      </w:pPr>
    </w:p>
    <w:p>
      <w:pPr>
        <w:ind w:left="1900"/>
        <w:spacing w:after="0"/>
        <w:rPr>
          <w:sz w:val="20"/>
          <w:szCs w:val="20"/>
          <w:color w:val="auto"/>
        </w:rPr>
      </w:pPr>
      <w:r>
        <w:rPr>
          <w:rFonts w:ascii="Arial" w:cs="Arial" w:eastAsia="Arial" w:hAnsi="Arial"/>
          <w:sz w:val="18"/>
          <w:szCs w:val="18"/>
          <w:color w:val="auto"/>
        </w:rPr>
        <w:t>and Douglas R. Lebda, dated October 26, 2010</w:t>
      </w:r>
    </w:p>
    <w:p>
      <w:pPr>
        <w:spacing w:after="0" w:line="200" w:lineRule="exact"/>
        <w:rPr>
          <w:sz w:val="20"/>
          <w:szCs w:val="20"/>
          <w:color w:val="auto"/>
        </w:rPr>
      </w:pPr>
    </w:p>
    <w:p>
      <w:pPr>
        <w:spacing w:after="0" w:line="262" w:lineRule="exact"/>
        <w:rPr>
          <w:sz w:val="20"/>
          <w:szCs w:val="20"/>
          <w:color w:val="auto"/>
        </w:rPr>
      </w:pPr>
    </w:p>
    <w:p>
      <w:pPr>
        <w:ind w:left="1900" w:right="200" w:hanging="468"/>
        <w:spacing w:after="0" w:line="259" w:lineRule="auto"/>
        <w:tabs>
          <w:tab w:leader="none" w:pos="1880" w:val="left"/>
        </w:tabs>
        <w:rPr>
          <w:sz w:val="20"/>
          <w:szCs w:val="20"/>
          <w:color w:val="auto"/>
        </w:rPr>
      </w:pPr>
      <w:r>
        <w:rPr>
          <w:rFonts w:ascii="Arial" w:cs="Arial" w:eastAsia="Arial" w:hAnsi="Arial"/>
          <w:sz w:val="18"/>
          <w:szCs w:val="18"/>
          <w:color w:val="auto"/>
        </w:rPr>
        <w:t>31.1</w:t>
        <w:tab/>
        <w:t>Certification of the principal executive officer pursuant to Rule 13a-14(a) or Rule 15d-14(a) of the Securities Exchange Act of 1934 as adopted pursuant to Section 302 of the Sarbanes-Oxley Act of 2002.</w:t>
      </w:r>
    </w:p>
    <w:p>
      <w:pPr>
        <w:spacing w:after="0" w:line="20" w:lineRule="exact"/>
        <w:rPr>
          <w:sz w:val="20"/>
          <w:szCs w:val="20"/>
          <w:color w:val="auto"/>
        </w:rPr>
      </w:pPr>
      <w:r>
        <w:rPr>
          <w:sz w:val="20"/>
          <w:szCs w:val="20"/>
          <w:color w:val="auto"/>
        </w:rPr>
        <w:br w:type="column"/>
      </w:r>
    </w:p>
    <w:p>
      <w:pPr>
        <w:spacing w:after="0" w:line="1" w:lineRule="exact"/>
        <w:rPr>
          <w:sz w:val="20"/>
          <w:szCs w:val="20"/>
          <w:color w:val="auto"/>
        </w:rPr>
      </w:pPr>
    </w:p>
    <w:p>
      <w:pPr>
        <w:spacing w:after="0" w:line="306" w:lineRule="auto"/>
        <w:rPr>
          <w:sz w:val="20"/>
          <w:szCs w:val="20"/>
          <w:color w:val="auto"/>
        </w:rPr>
      </w:pPr>
      <w:r>
        <w:rPr>
          <w:rFonts w:ascii="Arial" w:cs="Arial" w:eastAsia="Arial" w:hAnsi="Arial"/>
          <w:sz w:val="16"/>
          <w:szCs w:val="16"/>
          <w:color w:val="auto"/>
        </w:rPr>
        <w:t>Exhibit 10.1 to the Registrant's Current Report on Form 8-K filed July 28, 2010</w:t>
      </w:r>
    </w:p>
    <w:p>
      <w:pPr>
        <w:spacing w:after="0" w:line="188" w:lineRule="exact"/>
        <w:rPr>
          <w:sz w:val="20"/>
          <w:szCs w:val="20"/>
          <w:color w:val="auto"/>
        </w:rPr>
      </w:pPr>
    </w:p>
    <w:p>
      <w:pPr>
        <w:spacing w:after="0" w:line="306" w:lineRule="auto"/>
        <w:rPr>
          <w:sz w:val="20"/>
          <w:szCs w:val="20"/>
          <w:color w:val="auto"/>
        </w:rPr>
      </w:pPr>
      <w:r>
        <w:rPr>
          <w:rFonts w:ascii="Arial" w:cs="Arial" w:eastAsia="Arial" w:hAnsi="Arial"/>
          <w:sz w:val="16"/>
          <w:szCs w:val="16"/>
          <w:color w:val="auto"/>
        </w:rPr>
        <w:t>Exhibit 10.1 to the Registrant's Current Report on Form 8-K filed November 1, 2010</w:t>
      </w:r>
    </w:p>
    <w:p>
      <w:pPr>
        <w:spacing w:after="0" w:line="188" w:lineRule="exact"/>
        <w:rPr>
          <w:sz w:val="20"/>
          <w:szCs w:val="20"/>
          <w:color w:val="auto"/>
        </w:rPr>
      </w:pPr>
    </w:p>
    <w:p>
      <w:pPr>
        <w:spacing w:after="0" w:line="306" w:lineRule="auto"/>
        <w:rPr>
          <w:sz w:val="20"/>
          <w:szCs w:val="20"/>
          <w:color w:val="auto"/>
        </w:rPr>
      </w:pPr>
      <w:r>
        <w:rPr>
          <w:rFonts w:ascii="Arial" w:cs="Arial" w:eastAsia="Arial" w:hAnsi="Arial"/>
          <w:sz w:val="16"/>
          <w:szCs w:val="16"/>
          <w:color w:val="auto"/>
        </w:rPr>
        <w:t>Exhibit 10.2 to the Registrant's Current Report on Form 8-K filed November 1, 2010</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663" w:lineRule="exact"/>
        <w:rPr>
          <w:sz w:val="20"/>
          <w:szCs w:val="20"/>
          <w:color w:val="auto"/>
        </w:rPr>
      </w:pPr>
    </w:p>
    <w:p>
      <w:pPr>
        <w:sectPr>
          <w:pgSz w:w="11900" w:h="16838" w:orient="portrait"/>
          <w:cols w:equalWidth="0" w:num="2">
            <w:col w:w="7580" w:space="260"/>
            <w:col w:w="2400"/>
          </w:cols>
          <w:pgMar w:left="240" w:top="131" w:right="1419" w:bottom="1440" w:gutter="0" w:footer="0" w:header="0"/>
          <w:type w:val="continuous"/>
        </w:sectPr>
      </w:pPr>
    </w:p>
    <w:p>
      <w:pPr>
        <w:spacing w:after="0" w:line="21" w:lineRule="exact"/>
        <w:rPr>
          <w:sz w:val="20"/>
          <w:szCs w:val="20"/>
          <w:color w:val="auto"/>
        </w:rPr>
      </w:pPr>
    </w:p>
    <w:tbl>
      <w:tblPr>
        <w:tblLayout w:type="fixed"/>
        <w:tblInd w:w="1160" w:type="dxa"/>
        <w:tblCellMar>
          <w:top w:w="0" w:type="dxa"/>
          <w:left w:w="0" w:type="dxa"/>
          <w:bottom w:w="0" w:type="dxa"/>
          <w:right w:w="0" w:type="dxa"/>
        </w:tblCellMar>
      </w:tblPr>
      <w:tr>
        <w:trPr>
          <w:trHeight w:val="216"/>
        </w:trPr>
        <w:tc>
          <w:tcPr>
            <w:tcW w:w="660" w:type="dxa"/>
            <w:vAlign w:val="bottom"/>
          </w:tcPr>
          <w:p>
            <w:pPr>
              <w:jc w:val="right"/>
              <w:spacing w:after="0"/>
              <w:rPr>
                <w:sz w:val="20"/>
                <w:szCs w:val="20"/>
                <w:color w:val="auto"/>
              </w:rPr>
            </w:pPr>
            <w:r>
              <w:rPr>
                <w:rFonts w:ascii="Arial" w:cs="Arial" w:eastAsia="Arial" w:hAnsi="Arial"/>
                <w:sz w:val="18"/>
                <w:szCs w:val="18"/>
                <w:color w:val="auto"/>
              </w:rPr>
              <w:t>31.2</w:t>
            </w:r>
          </w:p>
        </w:tc>
        <w:tc>
          <w:tcPr>
            <w:tcW w:w="5920" w:type="dxa"/>
            <w:vAlign w:val="bottom"/>
            <w:gridSpan w:val="2"/>
          </w:tcPr>
          <w:p>
            <w:pPr>
              <w:ind w:left="80"/>
              <w:spacing w:after="0"/>
              <w:rPr>
                <w:sz w:val="20"/>
                <w:szCs w:val="20"/>
                <w:color w:val="auto"/>
              </w:rPr>
            </w:pPr>
            <w:r>
              <w:rPr>
                <w:rFonts w:ascii="Arial" w:cs="Arial" w:eastAsia="Arial" w:hAnsi="Arial"/>
                <w:sz w:val="18"/>
                <w:szCs w:val="18"/>
                <w:color w:val="auto"/>
                <w:w w:val="99"/>
              </w:rPr>
              <w:t>Certification of the principal financial officer pursuant to Rule 13a-14(a) or</w:t>
            </w:r>
          </w:p>
        </w:tc>
        <w:tc>
          <w:tcPr>
            <w:tcW w:w="280" w:type="dxa"/>
            <w:vAlign w:val="bottom"/>
          </w:tcPr>
          <w:p>
            <w:pPr>
              <w:ind w:left="100"/>
              <w:spacing w:after="0"/>
              <w:rPr>
                <w:sz w:val="20"/>
                <w:szCs w:val="20"/>
                <w:color w:val="auto"/>
              </w:rPr>
            </w:pPr>
            <w:r>
              <w:rPr>
                <w:rFonts w:ascii="Arial" w:cs="Arial" w:eastAsia="Arial" w:hAnsi="Arial"/>
                <w:sz w:val="18"/>
                <w:szCs w:val="18"/>
                <w:color w:val="auto"/>
              </w:rPr>
              <w:t>†</w:t>
            </w:r>
          </w:p>
        </w:tc>
      </w:tr>
      <w:tr>
        <w:trPr>
          <w:trHeight w:val="216"/>
        </w:trPr>
        <w:tc>
          <w:tcPr>
            <w:tcW w:w="660" w:type="dxa"/>
            <w:vAlign w:val="bottom"/>
          </w:tcPr>
          <w:p>
            <w:pPr>
              <w:spacing w:after="0"/>
              <w:rPr>
                <w:sz w:val="18"/>
                <w:szCs w:val="18"/>
                <w:color w:val="auto"/>
              </w:rPr>
            </w:pPr>
          </w:p>
        </w:tc>
        <w:tc>
          <w:tcPr>
            <w:tcW w:w="5920" w:type="dxa"/>
            <w:vAlign w:val="bottom"/>
            <w:gridSpan w:val="2"/>
          </w:tcPr>
          <w:p>
            <w:pPr>
              <w:ind w:left="80"/>
              <w:spacing w:after="0"/>
              <w:rPr>
                <w:sz w:val="20"/>
                <w:szCs w:val="20"/>
                <w:color w:val="auto"/>
              </w:rPr>
            </w:pPr>
            <w:r>
              <w:rPr>
                <w:rFonts w:ascii="Arial" w:cs="Arial" w:eastAsia="Arial" w:hAnsi="Arial"/>
                <w:sz w:val="18"/>
                <w:szCs w:val="18"/>
                <w:color w:val="auto"/>
                <w:w w:val="93"/>
              </w:rPr>
              <w:t>Rule 15d-14(a) of the Securities Exchange Act of 1934 as adopted pursuant to</w:t>
            </w:r>
          </w:p>
        </w:tc>
        <w:tc>
          <w:tcPr>
            <w:tcW w:w="280" w:type="dxa"/>
            <w:vAlign w:val="bottom"/>
          </w:tcPr>
          <w:p>
            <w:pPr>
              <w:spacing w:after="0"/>
              <w:rPr>
                <w:sz w:val="18"/>
                <w:szCs w:val="18"/>
                <w:color w:val="auto"/>
              </w:rPr>
            </w:pPr>
          </w:p>
        </w:tc>
      </w:tr>
      <w:tr>
        <w:trPr>
          <w:trHeight w:val="222"/>
        </w:trPr>
        <w:tc>
          <w:tcPr>
            <w:tcW w:w="660" w:type="dxa"/>
            <w:vAlign w:val="bottom"/>
          </w:tcPr>
          <w:p>
            <w:pPr>
              <w:spacing w:after="0"/>
              <w:rPr>
                <w:sz w:val="19"/>
                <w:szCs w:val="19"/>
                <w:color w:val="auto"/>
              </w:rPr>
            </w:pPr>
          </w:p>
        </w:tc>
        <w:tc>
          <w:tcPr>
            <w:tcW w:w="5920" w:type="dxa"/>
            <w:vAlign w:val="bottom"/>
            <w:gridSpan w:val="2"/>
          </w:tcPr>
          <w:p>
            <w:pPr>
              <w:ind w:left="80"/>
              <w:spacing w:after="0"/>
              <w:rPr>
                <w:sz w:val="20"/>
                <w:szCs w:val="20"/>
                <w:color w:val="auto"/>
              </w:rPr>
            </w:pPr>
            <w:r>
              <w:rPr>
                <w:rFonts w:ascii="Arial" w:cs="Arial" w:eastAsia="Arial" w:hAnsi="Arial"/>
                <w:sz w:val="18"/>
                <w:szCs w:val="18"/>
                <w:color w:val="auto"/>
              </w:rPr>
              <w:t>Section 302 of the Sarbanes-Oxley Act of 2002.</w:t>
            </w:r>
          </w:p>
        </w:tc>
        <w:tc>
          <w:tcPr>
            <w:tcW w:w="280" w:type="dxa"/>
            <w:vAlign w:val="bottom"/>
          </w:tcPr>
          <w:p>
            <w:pPr>
              <w:spacing w:after="0"/>
              <w:rPr>
                <w:sz w:val="19"/>
                <w:szCs w:val="19"/>
                <w:color w:val="auto"/>
              </w:rPr>
            </w:pPr>
          </w:p>
        </w:tc>
      </w:tr>
      <w:tr>
        <w:trPr>
          <w:trHeight w:val="453"/>
        </w:trPr>
        <w:tc>
          <w:tcPr>
            <w:tcW w:w="660" w:type="dxa"/>
            <w:vAlign w:val="bottom"/>
          </w:tcPr>
          <w:p>
            <w:pPr>
              <w:jc w:val="right"/>
              <w:spacing w:after="0"/>
              <w:rPr>
                <w:sz w:val="20"/>
                <w:szCs w:val="20"/>
                <w:color w:val="auto"/>
              </w:rPr>
            </w:pPr>
            <w:r>
              <w:rPr>
                <w:rFonts w:ascii="Arial" w:cs="Arial" w:eastAsia="Arial" w:hAnsi="Arial"/>
                <w:sz w:val="18"/>
                <w:szCs w:val="18"/>
                <w:color w:val="auto"/>
              </w:rPr>
              <w:t>32.1</w:t>
            </w:r>
          </w:p>
        </w:tc>
        <w:tc>
          <w:tcPr>
            <w:tcW w:w="5920" w:type="dxa"/>
            <w:vAlign w:val="bottom"/>
            <w:gridSpan w:val="2"/>
          </w:tcPr>
          <w:p>
            <w:pPr>
              <w:ind w:left="80"/>
              <w:spacing w:after="0"/>
              <w:rPr>
                <w:sz w:val="20"/>
                <w:szCs w:val="20"/>
                <w:color w:val="auto"/>
              </w:rPr>
            </w:pPr>
            <w:r>
              <w:rPr>
                <w:rFonts w:ascii="Arial" w:cs="Arial" w:eastAsia="Arial" w:hAnsi="Arial"/>
                <w:sz w:val="18"/>
                <w:szCs w:val="18"/>
                <w:color w:val="auto"/>
                <w:w w:val="90"/>
              </w:rPr>
              <w:t>Certification of the principal executive officer pursuant to 18 U.S.C. Section 1350</w:t>
            </w:r>
          </w:p>
        </w:tc>
        <w:tc>
          <w:tcPr>
            <w:tcW w:w="280" w:type="dxa"/>
            <w:vAlign w:val="bottom"/>
          </w:tcPr>
          <w:p>
            <w:pPr>
              <w:ind w:left="100"/>
              <w:spacing w:after="0"/>
              <w:rPr>
                <w:sz w:val="20"/>
                <w:szCs w:val="20"/>
                <w:color w:val="auto"/>
              </w:rPr>
            </w:pPr>
            <w:r>
              <w:rPr>
                <w:rFonts w:ascii="Arial" w:cs="Arial" w:eastAsia="Arial" w:hAnsi="Arial"/>
                <w:sz w:val="18"/>
                <w:szCs w:val="18"/>
                <w:color w:val="auto"/>
                <w:w w:val="79"/>
              </w:rPr>
              <w:t>††</w:t>
            </w:r>
          </w:p>
        </w:tc>
      </w:tr>
      <w:tr>
        <w:trPr>
          <w:trHeight w:val="222"/>
        </w:trPr>
        <w:tc>
          <w:tcPr>
            <w:tcW w:w="660" w:type="dxa"/>
            <w:vAlign w:val="bottom"/>
          </w:tcPr>
          <w:p>
            <w:pPr>
              <w:spacing w:after="0"/>
              <w:rPr>
                <w:sz w:val="19"/>
                <w:szCs w:val="19"/>
                <w:color w:val="auto"/>
              </w:rPr>
            </w:pPr>
          </w:p>
        </w:tc>
        <w:tc>
          <w:tcPr>
            <w:tcW w:w="5920" w:type="dxa"/>
            <w:vAlign w:val="bottom"/>
            <w:gridSpan w:val="2"/>
          </w:tcPr>
          <w:p>
            <w:pPr>
              <w:ind w:left="80"/>
              <w:spacing w:after="0"/>
              <w:rPr>
                <w:sz w:val="20"/>
                <w:szCs w:val="20"/>
                <w:color w:val="auto"/>
              </w:rPr>
            </w:pPr>
            <w:r>
              <w:rPr>
                <w:rFonts w:ascii="Arial" w:cs="Arial" w:eastAsia="Arial" w:hAnsi="Arial"/>
                <w:sz w:val="18"/>
                <w:szCs w:val="18"/>
                <w:color w:val="auto"/>
              </w:rPr>
              <w:t>as adopted pursuant to Section 906 of the Sarbanes-Oxley Act of 2002.</w:t>
            </w:r>
          </w:p>
        </w:tc>
        <w:tc>
          <w:tcPr>
            <w:tcW w:w="280" w:type="dxa"/>
            <w:vAlign w:val="bottom"/>
          </w:tcPr>
          <w:p>
            <w:pPr>
              <w:spacing w:after="0"/>
              <w:rPr>
                <w:sz w:val="19"/>
                <w:szCs w:val="19"/>
                <w:color w:val="auto"/>
              </w:rPr>
            </w:pPr>
          </w:p>
        </w:tc>
      </w:tr>
      <w:tr>
        <w:trPr>
          <w:trHeight w:val="453"/>
        </w:trPr>
        <w:tc>
          <w:tcPr>
            <w:tcW w:w="660" w:type="dxa"/>
            <w:vAlign w:val="bottom"/>
          </w:tcPr>
          <w:p>
            <w:pPr>
              <w:jc w:val="right"/>
              <w:spacing w:after="0"/>
              <w:rPr>
                <w:sz w:val="20"/>
                <w:szCs w:val="20"/>
                <w:color w:val="auto"/>
              </w:rPr>
            </w:pPr>
            <w:r>
              <w:rPr>
                <w:rFonts w:ascii="Arial" w:cs="Arial" w:eastAsia="Arial" w:hAnsi="Arial"/>
                <w:sz w:val="18"/>
                <w:szCs w:val="18"/>
                <w:color w:val="auto"/>
              </w:rPr>
              <w:t>32.2</w:t>
            </w:r>
          </w:p>
        </w:tc>
        <w:tc>
          <w:tcPr>
            <w:tcW w:w="5920" w:type="dxa"/>
            <w:vAlign w:val="bottom"/>
            <w:gridSpan w:val="2"/>
          </w:tcPr>
          <w:p>
            <w:pPr>
              <w:ind w:left="80"/>
              <w:spacing w:after="0"/>
              <w:rPr>
                <w:sz w:val="20"/>
                <w:szCs w:val="20"/>
                <w:color w:val="auto"/>
              </w:rPr>
            </w:pPr>
            <w:r>
              <w:rPr>
                <w:rFonts w:ascii="Arial" w:cs="Arial" w:eastAsia="Arial" w:hAnsi="Arial"/>
                <w:sz w:val="18"/>
                <w:szCs w:val="18"/>
                <w:color w:val="auto"/>
                <w:w w:val="92"/>
              </w:rPr>
              <w:t>Certification of the principal financial officer pursuant to 18 U.S.C. Section 1350</w:t>
            </w:r>
          </w:p>
        </w:tc>
        <w:tc>
          <w:tcPr>
            <w:tcW w:w="280" w:type="dxa"/>
            <w:vAlign w:val="bottom"/>
          </w:tcPr>
          <w:p>
            <w:pPr>
              <w:ind w:left="100"/>
              <w:spacing w:after="0"/>
              <w:rPr>
                <w:sz w:val="20"/>
                <w:szCs w:val="20"/>
                <w:color w:val="auto"/>
              </w:rPr>
            </w:pPr>
            <w:r>
              <w:rPr>
                <w:rFonts w:ascii="Arial" w:cs="Arial" w:eastAsia="Arial" w:hAnsi="Arial"/>
                <w:sz w:val="18"/>
                <w:szCs w:val="18"/>
                <w:color w:val="auto"/>
                <w:w w:val="79"/>
              </w:rPr>
              <w:t>††</w:t>
            </w:r>
          </w:p>
        </w:tc>
      </w:tr>
      <w:tr>
        <w:trPr>
          <w:trHeight w:val="222"/>
        </w:trPr>
        <w:tc>
          <w:tcPr>
            <w:tcW w:w="660" w:type="dxa"/>
            <w:vAlign w:val="bottom"/>
          </w:tcPr>
          <w:p>
            <w:pPr>
              <w:spacing w:after="0"/>
              <w:rPr>
                <w:sz w:val="19"/>
                <w:szCs w:val="19"/>
                <w:color w:val="auto"/>
              </w:rPr>
            </w:pPr>
          </w:p>
        </w:tc>
        <w:tc>
          <w:tcPr>
            <w:tcW w:w="5920" w:type="dxa"/>
            <w:vAlign w:val="bottom"/>
            <w:gridSpan w:val="2"/>
          </w:tcPr>
          <w:p>
            <w:pPr>
              <w:ind w:left="80"/>
              <w:spacing w:after="0"/>
              <w:rPr>
                <w:sz w:val="20"/>
                <w:szCs w:val="20"/>
                <w:color w:val="auto"/>
              </w:rPr>
            </w:pPr>
            <w:r>
              <w:rPr>
                <w:rFonts w:ascii="Arial" w:cs="Arial" w:eastAsia="Arial" w:hAnsi="Arial"/>
                <w:sz w:val="18"/>
                <w:szCs w:val="18"/>
                <w:color w:val="auto"/>
              </w:rPr>
              <w:t>as adopted pursuant to Section 906 of the Sarbanes-Oxley Act of 2002.</w:t>
            </w:r>
          </w:p>
        </w:tc>
        <w:tc>
          <w:tcPr>
            <w:tcW w:w="280" w:type="dxa"/>
            <w:vAlign w:val="bottom"/>
          </w:tcPr>
          <w:p>
            <w:pPr>
              <w:spacing w:after="0"/>
              <w:rPr>
                <w:sz w:val="19"/>
                <w:szCs w:val="19"/>
                <w:color w:val="auto"/>
              </w:rPr>
            </w:pPr>
          </w:p>
        </w:tc>
      </w:tr>
      <w:tr>
        <w:trPr>
          <w:trHeight w:val="110"/>
        </w:trPr>
        <w:tc>
          <w:tcPr>
            <w:tcW w:w="660" w:type="dxa"/>
            <w:vAlign w:val="bottom"/>
            <w:tcBorders>
              <w:bottom w:val="single" w:sz="8" w:color="auto"/>
            </w:tcBorders>
          </w:tcPr>
          <w:p>
            <w:pPr>
              <w:spacing w:after="0"/>
              <w:rPr>
                <w:sz w:val="9"/>
                <w:szCs w:val="9"/>
                <w:color w:val="auto"/>
              </w:rPr>
            </w:pPr>
          </w:p>
        </w:tc>
        <w:tc>
          <w:tcPr>
            <w:tcW w:w="2020" w:type="dxa"/>
            <w:vAlign w:val="bottom"/>
            <w:tcBorders>
              <w:bottom w:val="single" w:sz="8" w:color="auto"/>
            </w:tcBorders>
          </w:tcPr>
          <w:p>
            <w:pPr>
              <w:spacing w:after="0"/>
              <w:rPr>
                <w:sz w:val="9"/>
                <w:szCs w:val="9"/>
                <w:color w:val="auto"/>
              </w:rPr>
            </w:pPr>
          </w:p>
        </w:tc>
        <w:tc>
          <w:tcPr>
            <w:tcW w:w="3900" w:type="dxa"/>
            <w:vAlign w:val="bottom"/>
          </w:tcPr>
          <w:p>
            <w:pPr>
              <w:spacing w:after="0"/>
              <w:rPr>
                <w:sz w:val="9"/>
                <w:szCs w:val="9"/>
                <w:color w:val="auto"/>
              </w:rPr>
            </w:pPr>
          </w:p>
        </w:tc>
        <w:tc>
          <w:tcPr>
            <w:tcW w:w="280" w:type="dxa"/>
            <w:vAlign w:val="bottom"/>
          </w:tcPr>
          <w:p>
            <w:pPr>
              <w:spacing w:after="0"/>
              <w:rPr>
                <w:sz w:val="9"/>
                <w:szCs w:val="9"/>
                <w:color w:val="auto"/>
              </w:rPr>
            </w:pPr>
          </w:p>
        </w:tc>
      </w:tr>
    </w:tbl>
    <w:p>
      <w:pPr>
        <w:spacing w:after="0" w:line="221" w:lineRule="exact"/>
        <w:rPr>
          <w:sz w:val="20"/>
          <w:szCs w:val="20"/>
          <w:color w:val="auto"/>
        </w:rPr>
      </w:pPr>
    </w:p>
    <w:p>
      <w:pPr>
        <w:ind w:left="1680" w:hanging="531"/>
        <w:spacing w:after="0"/>
        <w:tabs>
          <w:tab w:leader="none" w:pos="16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252" w:lineRule="exact"/>
        <w:rPr>
          <w:sz w:val="20"/>
          <w:szCs w:val="20"/>
          <w:color w:val="auto"/>
        </w:rPr>
      </w:pPr>
    </w:p>
    <w:p>
      <w:pPr>
        <w:ind w:left="1680" w:hanging="531"/>
        <w:spacing w:after="0"/>
        <w:tabs>
          <w:tab w:leader="none" w:pos="16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Furnished herewith</w:t>
      </w:r>
    </w:p>
    <w:p>
      <w:pPr>
        <w:spacing w:after="0" w:line="22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40"/>
          </w:cols>
          <w:pgMar w:left="240" w:top="131" w:right="1419" w:bottom="1440" w:gutter="0" w:footer="0" w:header="0"/>
          <w:type w:val="continuous"/>
        </w:sectPr>
      </w:pPr>
    </w:p>
    <w:bookmarkStart w:id="60" w:name="page61"/>
    <w:bookmarkEnd w:id="6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w:t>
      </w:r>
    </w:p>
    <w:p>
      <w:pPr>
        <w:spacing w:after="0" w:line="231" w:lineRule="exact"/>
        <w:rPr>
          <w:sz w:val="20"/>
          <w:szCs w:val="20"/>
          <w:color w:val="auto"/>
        </w:rPr>
      </w:pPr>
    </w:p>
    <w:p>
      <w:pPr>
        <w:ind w:firstLine="351"/>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color w:val="auto"/>
        </w:rPr>
        <w:t>Date: November 12, 2010</w:t>
      </w:r>
    </w:p>
    <w:p>
      <w:pPr>
        <w:spacing w:after="0" w:line="374"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TREE.COM, INC.</w:t>
      </w:r>
    </w:p>
    <w:p>
      <w:pPr>
        <w:spacing w:after="0" w:line="252" w:lineRule="exact"/>
        <w:rPr>
          <w:sz w:val="20"/>
          <w:szCs w:val="20"/>
          <w:color w:val="auto"/>
        </w:rPr>
      </w:pPr>
    </w:p>
    <w:p>
      <w:pPr>
        <w:ind w:left="5700"/>
        <w:spacing w:after="0"/>
        <w:tabs>
          <w:tab w:leader="none" w:pos="70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CHRISTOPHER R. HAYEK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3872865</wp:posOffset>
            </wp:positionH>
            <wp:positionV relativeFrom="paragraph">
              <wp:posOffset>71120</wp:posOffset>
            </wp:positionV>
            <wp:extent cx="2675890"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2675890" cy="8890"/>
                    </a:xfrm>
                    <a:prstGeom prst="rect">
                      <a:avLst/>
                    </a:prstGeom>
                    <a:noFill/>
                  </pic:spPr>
                </pic:pic>
              </a:graphicData>
            </a:graphic>
          </wp:anchor>
        </w:drawing>
      </w:r>
    </w:p>
    <w:p>
      <w:pPr>
        <w:spacing w:after="0" w:line="178" w:lineRule="exact"/>
        <w:rPr>
          <w:sz w:val="20"/>
          <w:szCs w:val="20"/>
          <w:color w:val="auto"/>
        </w:rPr>
      </w:pPr>
    </w:p>
    <w:p>
      <w:pPr>
        <w:jc w:val="center"/>
        <w:ind w:left="4940"/>
        <w:spacing w:after="0"/>
        <w:rPr>
          <w:sz w:val="20"/>
          <w:szCs w:val="20"/>
          <w:color w:val="auto"/>
        </w:rPr>
      </w:pPr>
      <w:r>
        <w:rPr>
          <w:rFonts w:ascii="Arial" w:cs="Arial" w:eastAsia="Arial" w:hAnsi="Arial"/>
          <w:sz w:val="18"/>
          <w:szCs w:val="18"/>
          <w:color w:val="auto"/>
        </w:rPr>
        <w:t>Christopher R. Hayek</w:t>
      </w:r>
    </w:p>
    <w:p>
      <w:pPr>
        <w:spacing w:after="0" w:line="15" w:lineRule="exact"/>
        <w:rPr>
          <w:sz w:val="20"/>
          <w:szCs w:val="20"/>
          <w:color w:val="auto"/>
        </w:rPr>
      </w:pPr>
    </w:p>
    <w:p>
      <w:pPr>
        <w:jc w:val="center"/>
        <w:ind w:left="4940"/>
        <w:spacing w:after="0"/>
        <w:rPr>
          <w:sz w:val="20"/>
          <w:szCs w:val="20"/>
          <w:color w:val="auto"/>
        </w:rPr>
      </w:pPr>
      <w:r>
        <w:rPr>
          <w:rFonts w:ascii="Arial" w:cs="Arial" w:eastAsia="Arial" w:hAnsi="Arial"/>
          <w:sz w:val="18"/>
          <w:szCs w:val="18"/>
          <w:i w:val="1"/>
          <w:iCs w:val="1"/>
          <w:color w:val="auto"/>
        </w:rPr>
        <w:t>Senior Vice President,</w:t>
      </w:r>
    </w:p>
    <w:p>
      <w:pPr>
        <w:spacing w:after="0" w:line="9" w:lineRule="exact"/>
        <w:rPr>
          <w:sz w:val="20"/>
          <w:szCs w:val="20"/>
          <w:color w:val="auto"/>
        </w:rPr>
      </w:pPr>
    </w:p>
    <w:p>
      <w:pPr>
        <w:jc w:val="center"/>
        <w:ind w:left="4940"/>
        <w:spacing w:after="0"/>
        <w:rPr>
          <w:sz w:val="20"/>
          <w:szCs w:val="20"/>
          <w:color w:val="auto"/>
        </w:rPr>
      </w:pPr>
      <w:r>
        <w:rPr>
          <w:rFonts w:ascii="Arial" w:cs="Arial" w:eastAsia="Arial" w:hAnsi="Arial"/>
          <w:sz w:val="18"/>
          <w:szCs w:val="18"/>
          <w:i w:val="1"/>
          <w:iCs w:val="1"/>
          <w:color w:val="auto"/>
        </w:rPr>
        <w:t>Chief Accounting Officer and Treasurer</w:t>
      </w:r>
    </w:p>
    <w:p>
      <w:pPr>
        <w:spacing w:after="0" w:line="9" w:lineRule="exact"/>
        <w:rPr>
          <w:sz w:val="20"/>
          <w:szCs w:val="20"/>
          <w:color w:val="auto"/>
        </w:rPr>
      </w:pPr>
    </w:p>
    <w:p>
      <w:pPr>
        <w:jc w:val="center"/>
        <w:ind w:left="4940"/>
        <w:spacing w:after="0"/>
        <w:rPr>
          <w:sz w:val="20"/>
          <w:szCs w:val="20"/>
          <w:color w:val="auto"/>
        </w:rPr>
      </w:pPr>
      <w:r>
        <w:rPr>
          <w:rFonts w:ascii="Arial" w:cs="Arial" w:eastAsia="Arial" w:hAnsi="Arial"/>
          <w:sz w:val="18"/>
          <w:szCs w:val="18"/>
          <w:i w:val="1"/>
          <w:iCs w:val="1"/>
          <w:color w:val="auto"/>
        </w:rPr>
        <w:t>(principal financial officer and</w:t>
      </w:r>
    </w:p>
    <w:p>
      <w:pPr>
        <w:spacing w:after="0" w:line="9" w:lineRule="exact"/>
        <w:rPr>
          <w:sz w:val="20"/>
          <w:szCs w:val="20"/>
          <w:color w:val="auto"/>
        </w:rPr>
      </w:pPr>
    </w:p>
    <w:p>
      <w:pPr>
        <w:jc w:val="center"/>
        <w:ind w:left="4940"/>
        <w:spacing w:after="0"/>
        <w:rPr>
          <w:sz w:val="20"/>
          <w:szCs w:val="20"/>
          <w:color w:val="auto"/>
        </w:rPr>
      </w:pPr>
      <w:r>
        <w:rPr>
          <w:rFonts w:ascii="Arial" w:cs="Arial" w:eastAsia="Arial" w:hAnsi="Arial"/>
          <w:sz w:val="18"/>
          <w:szCs w:val="18"/>
          <w:i w:val="1"/>
          <w:iCs w:val="1"/>
          <w:color w:val="auto"/>
        </w:rPr>
        <w:t>duly authorized officer)</w:t>
      </w:r>
    </w:p>
    <w:p>
      <w:pPr>
        <w:spacing w:after="0" w:line="2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61" w:name="page62"/>
    <w:bookmarkEnd w:id="6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ind w:left="5020"/>
        <w:spacing w:after="0"/>
        <w:rPr>
          <w:sz w:val="20"/>
          <w:szCs w:val="20"/>
          <w:color w:val="auto"/>
        </w:rPr>
      </w:pPr>
      <w:r>
        <w:rPr>
          <w:rFonts w:ascii="Arial" w:cs="Arial" w:eastAsia="Arial" w:hAnsi="Arial"/>
          <w:sz w:val="18"/>
          <w:szCs w:val="18"/>
          <w:b w:val="1"/>
          <w:bCs w:val="1"/>
          <w:color w:val="auto"/>
        </w:rPr>
        <w:t>EXHIBIT INDEX</w:t>
      </w:r>
    </w:p>
    <w:p>
      <w:pPr>
        <w:spacing w:after="0" w:line="227" w:lineRule="exact"/>
        <w:rPr>
          <w:sz w:val="20"/>
          <w:szCs w:val="20"/>
          <w:color w:val="auto"/>
        </w:rPr>
      </w:pPr>
    </w:p>
    <w:p>
      <w:pPr>
        <w:ind w:left="1220"/>
        <w:spacing w:after="0"/>
        <w:tabs>
          <w:tab w:leader="none" w:pos="4440" w:val="left"/>
        </w:tabs>
        <w:rPr>
          <w:sz w:val="20"/>
          <w:szCs w:val="20"/>
          <w:color w:val="auto"/>
        </w:rPr>
      </w:pPr>
      <w:r>
        <w:rPr>
          <w:rFonts w:ascii="Arial" w:cs="Arial" w:eastAsia="Arial" w:hAnsi="Arial"/>
          <w:sz w:val="14"/>
          <w:szCs w:val="14"/>
          <w:b w:val="1"/>
          <w:bCs w:val="1"/>
          <w:color w:val="auto"/>
        </w:rPr>
        <w:t>Exhibit</w:t>
      </w:r>
      <w:r>
        <w:rPr>
          <w:sz w:val="20"/>
          <w:szCs w:val="20"/>
          <w:color w:val="auto"/>
        </w:rPr>
        <w:tab/>
      </w:r>
      <w:r>
        <w:rPr>
          <w:rFonts w:ascii="Arial" w:cs="Arial" w:eastAsia="Arial" w:hAnsi="Arial"/>
          <w:sz w:val="14"/>
          <w:szCs w:val="14"/>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0</wp:posOffset>
            </wp:positionV>
            <wp:extent cx="4150995"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4150995" cy="8890"/>
                    </a:xfrm>
                    <a:prstGeom prst="rect">
                      <a:avLst/>
                    </a:prstGeom>
                    <a:noFill/>
                  </pic:spPr>
                </pic:pic>
              </a:graphicData>
            </a:graphic>
          </wp:anchor>
        </w:drawing>
      </w:r>
    </w:p>
    <w:p>
      <w:pPr>
        <w:ind w:left="1420"/>
        <w:spacing w:after="0"/>
        <w:tabs>
          <w:tab w:leader="none" w:pos="1880" w:val="left"/>
        </w:tabs>
        <w:rPr>
          <w:sz w:val="20"/>
          <w:szCs w:val="20"/>
          <w:color w:val="auto"/>
        </w:rPr>
      </w:pPr>
      <w:r>
        <w:rPr>
          <w:rFonts w:ascii="Arial" w:cs="Arial" w:eastAsia="Arial" w:hAnsi="Arial"/>
          <w:sz w:val="18"/>
          <w:szCs w:val="18"/>
          <w:color w:val="auto"/>
        </w:rPr>
        <w:t>10.1</w:t>
      </w:r>
      <w:r>
        <w:rPr>
          <w:sz w:val="20"/>
          <w:szCs w:val="20"/>
          <w:color w:val="auto"/>
        </w:rPr>
        <w:tab/>
      </w:r>
      <w:r>
        <w:rPr>
          <w:rFonts w:ascii="Arial" w:cs="Arial" w:eastAsia="Arial" w:hAnsi="Arial"/>
          <w:sz w:val="15"/>
          <w:szCs w:val="15"/>
          <w:color w:val="auto"/>
        </w:rPr>
        <w:t>Amendment No. 4 to Master Repurchase Agreement, dated as of October 29,</w:t>
      </w:r>
    </w:p>
    <w:p>
      <w:pPr>
        <w:spacing w:after="0" w:line="8" w:lineRule="exact"/>
        <w:rPr>
          <w:sz w:val="20"/>
          <w:szCs w:val="20"/>
          <w:color w:val="auto"/>
        </w:rPr>
      </w:pPr>
    </w:p>
    <w:p>
      <w:pPr>
        <w:ind w:left="1900"/>
        <w:spacing w:after="0"/>
        <w:rPr>
          <w:sz w:val="20"/>
          <w:szCs w:val="20"/>
          <w:color w:val="auto"/>
        </w:rPr>
      </w:pPr>
      <w:r>
        <w:rPr>
          <w:rFonts w:ascii="Arial" w:cs="Arial" w:eastAsia="Arial" w:hAnsi="Arial"/>
          <w:sz w:val="16"/>
          <w:szCs w:val="16"/>
          <w:color w:val="auto"/>
        </w:rPr>
        <w:t>2010, by and between Home Loan Center, Inc. and JPMorgan Chase Bank, N.A.</w:t>
      </w:r>
    </w:p>
    <w:p>
      <w:pPr>
        <w:spacing w:after="0" w:line="200" w:lineRule="exact"/>
        <w:rPr>
          <w:sz w:val="20"/>
          <w:szCs w:val="20"/>
          <w:color w:val="auto"/>
        </w:rPr>
      </w:pPr>
    </w:p>
    <w:p>
      <w:pPr>
        <w:spacing w:after="0" w:line="285" w:lineRule="exact"/>
        <w:rPr>
          <w:sz w:val="20"/>
          <w:szCs w:val="20"/>
          <w:color w:val="auto"/>
        </w:rPr>
      </w:pPr>
    </w:p>
    <w:p>
      <w:pPr>
        <w:ind w:left="1900" w:hanging="468"/>
        <w:spacing w:after="0" w:line="332" w:lineRule="auto"/>
        <w:tabs>
          <w:tab w:leader="none" w:pos="1880" w:val="left"/>
        </w:tabs>
        <w:rPr>
          <w:sz w:val="20"/>
          <w:szCs w:val="20"/>
          <w:color w:val="auto"/>
        </w:rPr>
      </w:pPr>
      <w:r>
        <w:rPr>
          <w:rFonts w:ascii="Arial" w:cs="Arial" w:eastAsia="Arial" w:hAnsi="Arial"/>
          <w:sz w:val="18"/>
          <w:szCs w:val="18"/>
          <w:color w:val="auto"/>
        </w:rPr>
        <w:t>10.2</w:t>
      </w:r>
      <w:r>
        <w:rPr>
          <w:sz w:val="20"/>
          <w:szCs w:val="20"/>
          <w:color w:val="auto"/>
        </w:rPr>
        <w:tab/>
      </w:r>
      <w:r>
        <w:rPr>
          <w:rFonts w:ascii="Arial" w:cs="Arial" w:eastAsia="Arial" w:hAnsi="Arial"/>
          <w:sz w:val="16"/>
          <w:szCs w:val="16"/>
          <w:color w:val="auto"/>
        </w:rPr>
        <w:t>Second Amendment to Side Letter dated as of October 29, 2010, with respect to the Home Loan Center, Inc. warehouse facility with JPMorgan Chase Bank, N.A.</w:t>
      </w:r>
    </w:p>
    <w:p>
      <w:pPr>
        <w:spacing w:after="0" w:line="382" w:lineRule="exact"/>
        <w:rPr>
          <w:sz w:val="20"/>
          <w:szCs w:val="20"/>
          <w:color w:val="auto"/>
        </w:rPr>
      </w:pPr>
    </w:p>
    <w:p>
      <w:pPr>
        <w:ind w:left="1900" w:right="60" w:hanging="468"/>
        <w:spacing w:after="0" w:line="268" w:lineRule="auto"/>
        <w:tabs>
          <w:tab w:leader="none" w:pos="1880" w:val="left"/>
        </w:tabs>
        <w:rPr>
          <w:sz w:val="20"/>
          <w:szCs w:val="20"/>
          <w:color w:val="auto"/>
        </w:rPr>
      </w:pPr>
      <w:r>
        <w:rPr>
          <w:rFonts w:ascii="Arial" w:cs="Arial" w:eastAsia="Arial" w:hAnsi="Arial"/>
          <w:sz w:val="18"/>
          <w:szCs w:val="18"/>
          <w:color w:val="auto"/>
        </w:rPr>
        <w:t>10.3</w:t>
        <w:tab/>
        <w:t>Share Exchange Agreement, dated August 30, 2010, between Tree.com, Inc. and Douglas R. Lebda</w:t>
      </w:r>
    </w:p>
    <w:p>
      <w:pPr>
        <w:spacing w:after="0" w:line="200" w:lineRule="exact"/>
        <w:rPr>
          <w:sz w:val="20"/>
          <w:szCs w:val="20"/>
          <w:color w:val="auto"/>
        </w:rPr>
      </w:pPr>
    </w:p>
    <w:p>
      <w:pPr>
        <w:spacing w:after="0" w:line="229" w:lineRule="exact"/>
        <w:rPr>
          <w:sz w:val="20"/>
          <w:szCs w:val="20"/>
          <w:color w:val="auto"/>
        </w:rPr>
      </w:pPr>
    </w:p>
    <w:p>
      <w:pPr>
        <w:ind w:left="1900" w:hanging="468"/>
        <w:spacing w:after="0" w:line="259" w:lineRule="auto"/>
        <w:tabs>
          <w:tab w:leader="none" w:pos="1880" w:val="left"/>
        </w:tabs>
        <w:rPr>
          <w:sz w:val="20"/>
          <w:szCs w:val="20"/>
          <w:color w:val="auto"/>
        </w:rPr>
      </w:pPr>
      <w:r>
        <w:rPr>
          <w:rFonts w:ascii="Arial" w:cs="Arial" w:eastAsia="Arial" w:hAnsi="Arial"/>
          <w:sz w:val="18"/>
          <w:szCs w:val="18"/>
          <w:color w:val="auto"/>
        </w:rPr>
        <w:t>10.4</w:t>
        <w:tab/>
        <w:t>Amendment No. 1 to the Restricted Share Grant and Stockholder's Agreement, dated August 30, 2010, between Tree.com, Inc., LendingTree Holdings Corp. and Douglas R. Lebda</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960"/>
        <w:spacing w:after="0"/>
        <w:rPr>
          <w:sz w:val="20"/>
          <w:szCs w:val="20"/>
          <w:color w:val="auto"/>
        </w:rPr>
      </w:pPr>
      <w:r>
        <w:rPr>
          <w:rFonts w:ascii="Arial" w:cs="Arial" w:eastAsia="Arial" w:hAnsi="Arial"/>
          <w:sz w:val="14"/>
          <w:szCs w:val="14"/>
          <w:b w:val="1"/>
          <w:bCs w:val="1"/>
          <w:color w:val="auto"/>
        </w:rPr>
        <w:t>Location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0</wp:posOffset>
            </wp:positionV>
            <wp:extent cx="1543685"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1543685" cy="8890"/>
                    </a:xfrm>
                    <a:prstGeom prst="rect">
                      <a:avLst/>
                    </a:prstGeom>
                    <a:noFill/>
                  </pic:spPr>
                </pic:pic>
              </a:graphicData>
            </a:graphic>
          </wp:anchor>
        </w:drawing>
      </w:r>
    </w:p>
    <w:p>
      <w:pPr>
        <w:spacing w:after="0" w:line="301" w:lineRule="auto"/>
        <w:rPr>
          <w:sz w:val="20"/>
          <w:szCs w:val="20"/>
          <w:color w:val="auto"/>
        </w:rPr>
      </w:pPr>
      <w:r>
        <w:rPr>
          <w:rFonts w:ascii="Arial" w:cs="Arial" w:eastAsia="Arial" w:hAnsi="Arial"/>
          <w:sz w:val="16"/>
          <w:szCs w:val="16"/>
          <w:color w:val="auto"/>
        </w:rPr>
        <w:t>Exhibit 10.1 to the Registrant's Current Report on Form 8-K filed October 25, 2010</w:t>
      </w:r>
    </w:p>
    <w:p>
      <w:pPr>
        <w:spacing w:after="0" w:line="191" w:lineRule="exact"/>
        <w:rPr>
          <w:sz w:val="20"/>
          <w:szCs w:val="20"/>
          <w:color w:val="auto"/>
        </w:rPr>
      </w:pPr>
    </w:p>
    <w:p>
      <w:pPr>
        <w:spacing w:after="0" w:line="306" w:lineRule="auto"/>
        <w:rPr>
          <w:sz w:val="20"/>
          <w:szCs w:val="20"/>
          <w:color w:val="auto"/>
        </w:rPr>
      </w:pPr>
      <w:r>
        <w:rPr>
          <w:rFonts w:ascii="Arial" w:cs="Arial" w:eastAsia="Arial" w:hAnsi="Arial"/>
          <w:sz w:val="16"/>
          <w:szCs w:val="16"/>
          <w:color w:val="auto"/>
        </w:rPr>
        <w:t>Exhibit 10.2 to the Registrant's Current Report on Form 8-K filed October 25, 2010</w:t>
      </w:r>
    </w:p>
    <w:p>
      <w:pPr>
        <w:spacing w:after="0" w:line="188" w:lineRule="exact"/>
        <w:rPr>
          <w:sz w:val="20"/>
          <w:szCs w:val="20"/>
          <w:color w:val="auto"/>
        </w:rPr>
      </w:pPr>
    </w:p>
    <w:p>
      <w:pPr>
        <w:spacing w:after="0" w:line="306" w:lineRule="auto"/>
        <w:rPr>
          <w:sz w:val="20"/>
          <w:szCs w:val="20"/>
          <w:color w:val="auto"/>
        </w:rPr>
      </w:pPr>
      <w:r>
        <w:rPr>
          <w:rFonts w:ascii="Arial" w:cs="Arial" w:eastAsia="Arial" w:hAnsi="Arial"/>
          <w:sz w:val="16"/>
          <w:szCs w:val="16"/>
          <w:color w:val="auto"/>
        </w:rPr>
        <w:t>Exhibit 10.1 to the Registrant's Current Report on Form 8-K filed September 1, 2010</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663" w:lineRule="exact"/>
        <w:rPr>
          <w:sz w:val="20"/>
          <w:szCs w:val="20"/>
          <w:color w:val="auto"/>
        </w:rPr>
      </w:pPr>
    </w:p>
    <w:p>
      <w:pPr>
        <w:sectPr>
          <w:pgSz w:w="11900" w:h="16838" w:orient="portrait"/>
          <w:cols w:equalWidth="0" w:num="2">
            <w:col w:w="7620" w:space="220"/>
            <w:col w:w="2400"/>
          </w:cols>
          <w:pgMar w:left="240" w:top="131" w:right="1419" w:bottom="1440" w:gutter="0" w:footer="0" w:header="0"/>
        </w:sectPr>
      </w:pPr>
    </w:p>
    <w:p>
      <w:pPr>
        <w:spacing w:after="0" w:line="21" w:lineRule="exact"/>
        <w:rPr>
          <w:sz w:val="20"/>
          <w:szCs w:val="20"/>
          <w:color w:val="auto"/>
        </w:rPr>
      </w:pPr>
    </w:p>
    <w:p>
      <w:pPr>
        <w:ind w:left="1900" w:hanging="468"/>
        <w:spacing w:after="0" w:line="332" w:lineRule="auto"/>
        <w:tabs>
          <w:tab w:leader="none" w:pos="1880" w:val="left"/>
        </w:tabs>
        <w:rPr>
          <w:sz w:val="20"/>
          <w:szCs w:val="20"/>
          <w:color w:val="auto"/>
        </w:rPr>
      </w:pPr>
      <w:r>
        <w:rPr>
          <w:rFonts w:ascii="Arial" w:cs="Arial" w:eastAsia="Arial" w:hAnsi="Arial"/>
          <w:sz w:val="18"/>
          <w:szCs w:val="18"/>
          <w:color w:val="auto"/>
        </w:rPr>
        <w:t>10.5</w:t>
      </w:r>
      <w:r>
        <w:rPr>
          <w:sz w:val="20"/>
          <w:szCs w:val="20"/>
          <w:color w:val="auto"/>
        </w:rPr>
        <w:tab/>
      </w:r>
      <w:r>
        <w:rPr>
          <w:rFonts w:ascii="Arial" w:cs="Arial" w:eastAsia="Arial" w:hAnsi="Arial"/>
          <w:sz w:val="16"/>
          <w:szCs w:val="16"/>
          <w:color w:val="auto"/>
        </w:rPr>
        <w:t>Amendment No. 3 to the Master Repurchase Agreement, dated July 22, 2010, by and between Home Loan Center, Inc. and JPMorgan Chase Bank, N.A.</w:t>
      </w:r>
    </w:p>
    <w:p>
      <w:pPr>
        <w:spacing w:after="0" w:line="382" w:lineRule="exact"/>
        <w:rPr>
          <w:sz w:val="20"/>
          <w:szCs w:val="20"/>
          <w:color w:val="auto"/>
        </w:rPr>
      </w:pPr>
    </w:p>
    <w:p>
      <w:pPr>
        <w:ind w:left="1900" w:right="340" w:hanging="468"/>
        <w:spacing w:after="0" w:line="268" w:lineRule="auto"/>
        <w:tabs>
          <w:tab w:leader="none" w:pos="1880" w:val="left"/>
        </w:tabs>
        <w:rPr>
          <w:sz w:val="20"/>
          <w:szCs w:val="20"/>
          <w:color w:val="auto"/>
        </w:rPr>
      </w:pPr>
      <w:r>
        <w:rPr>
          <w:rFonts w:ascii="Arial" w:cs="Arial" w:eastAsia="Arial" w:hAnsi="Arial"/>
          <w:sz w:val="18"/>
          <w:szCs w:val="18"/>
          <w:color w:val="auto"/>
        </w:rPr>
        <w:t>10.6</w:t>
        <w:tab/>
        <w:t>Employment Agreement between Tree.com, Inc. and Steven Ozonian, dated October 31, 2010</w:t>
      </w:r>
    </w:p>
    <w:p>
      <w:pPr>
        <w:spacing w:after="0" w:line="200" w:lineRule="exact"/>
        <w:rPr>
          <w:sz w:val="20"/>
          <w:szCs w:val="20"/>
          <w:color w:val="auto"/>
        </w:rPr>
      </w:pPr>
    </w:p>
    <w:p>
      <w:pPr>
        <w:spacing w:after="0" w:line="229" w:lineRule="exact"/>
        <w:rPr>
          <w:sz w:val="20"/>
          <w:szCs w:val="20"/>
          <w:color w:val="auto"/>
        </w:rPr>
      </w:pPr>
    </w:p>
    <w:p>
      <w:pPr>
        <w:ind w:left="1420"/>
        <w:spacing w:after="0"/>
        <w:tabs>
          <w:tab w:leader="none" w:pos="1880" w:val="left"/>
        </w:tabs>
        <w:rPr>
          <w:sz w:val="20"/>
          <w:szCs w:val="20"/>
          <w:color w:val="auto"/>
        </w:rPr>
      </w:pPr>
      <w:r>
        <w:rPr>
          <w:rFonts w:ascii="Arial" w:cs="Arial" w:eastAsia="Arial" w:hAnsi="Arial"/>
          <w:sz w:val="18"/>
          <w:szCs w:val="18"/>
          <w:color w:val="auto"/>
        </w:rPr>
        <w:t>10.7</w:t>
      </w:r>
      <w:r>
        <w:rPr>
          <w:sz w:val="20"/>
          <w:szCs w:val="20"/>
          <w:color w:val="auto"/>
        </w:rPr>
        <w:tab/>
      </w:r>
      <w:r>
        <w:rPr>
          <w:rFonts w:ascii="Arial" w:cs="Arial" w:eastAsia="Arial" w:hAnsi="Arial"/>
          <w:sz w:val="15"/>
          <w:szCs w:val="15"/>
          <w:color w:val="auto"/>
        </w:rPr>
        <w:t>Amended and Restated Employment Agreement by and between Tree.com, Inc.</w:t>
      </w:r>
    </w:p>
    <w:p>
      <w:pPr>
        <w:spacing w:after="0" w:line="15" w:lineRule="exact"/>
        <w:rPr>
          <w:sz w:val="20"/>
          <w:szCs w:val="20"/>
          <w:color w:val="auto"/>
        </w:rPr>
      </w:pPr>
    </w:p>
    <w:p>
      <w:pPr>
        <w:ind w:left="1900"/>
        <w:spacing w:after="0"/>
        <w:rPr>
          <w:sz w:val="20"/>
          <w:szCs w:val="20"/>
          <w:color w:val="auto"/>
        </w:rPr>
      </w:pPr>
      <w:r>
        <w:rPr>
          <w:rFonts w:ascii="Arial" w:cs="Arial" w:eastAsia="Arial" w:hAnsi="Arial"/>
          <w:sz w:val="18"/>
          <w:szCs w:val="18"/>
          <w:color w:val="auto"/>
        </w:rPr>
        <w:t>and Douglas R. Lebda, dated October 26, 2010</w:t>
      </w:r>
    </w:p>
    <w:p>
      <w:pPr>
        <w:spacing w:after="0" w:line="200" w:lineRule="exact"/>
        <w:rPr>
          <w:sz w:val="20"/>
          <w:szCs w:val="20"/>
          <w:color w:val="auto"/>
        </w:rPr>
      </w:pPr>
    </w:p>
    <w:p>
      <w:pPr>
        <w:spacing w:after="0" w:line="262" w:lineRule="exact"/>
        <w:rPr>
          <w:sz w:val="20"/>
          <w:szCs w:val="20"/>
          <w:color w:val="auto"/>
        </w:rPr>
      </w:pPr>
    </w:p>
    <w:p>
      <w:pPr>
        <w:ind w:left="1900" w:right="200" w:hanging="468"/>
        <w:spacing w:after="0" w:line="259" w:lineRule="auto"/>
        <w:tabs>
          <w:tab w:leader="none" w:pos="1880" w:val="left"/>
        </w:tabs>
        <w:rPr>
          <w:sz w:val="20"/>
          <w:szCs w:val="20"/>
          <w:color w:val="auto"/>
        </w:rPr>
      </w:pPr>
      <w:r>
        <w:rPr>
          <w:rFonts w:ascii="Arial" w:cs="Arial" w:eastAsia="Arial" w:hAnsi="Arial"/>
          <w:sz w:val="18"/>
          <w:szCs w:val="18"/>
          <w:color w:val="auto"/>
        </w:rPr>
        <w:t>31.1</w:t>
        <w:tab/>
        <w:t>Certification of the principal executive officer pursuant to Rule 13a-14(a) or Rule 15d-14(a) of the Securities Exchange Act of 1934 as adopted pursuant to Section 302 of the Sarbanes-Oxley Act of 2002.</w:t>
      </w:r>
    </w:p>
    <w:p>
      <w:pPr>
        <w:spacing w:after="0" w:line="20" w:lineRule="exact"/>
        <w:rPr>
          <w:sz w:val="20"/>
          <w:szCs w:val="20"/>
          <w:color w:val="auto"/>
        </w:rPr>
      </w:pPr>
      <w:r>
        <w:rPr>
          <w:sz w:val="20"/>
          <w:szCs w:val="20"/>
          <w:color w:val="auto"/>
        </w:rPr>
        <w:br w:type="column"/>
      </w:r>
    </w:p>
    <w:p>
      <w:pPr>
        <w:spacing w:after="0" w:line="1" w:lineRule="exact"/>
        <w:rPr>
          <w:sz w:val="20"/>
          <w:szCs w:val="20"/>
          <w:color w:val="auto"/>
        </w:rPr>
      </w:pPr>
    </w:p>
    <w:p>
      <w:pPr>
        <w:spacing w:after="0" w:line="306" w:lineRule="auto"/>
        <w:rPr>
          <w:sz w:val="20"/>
          <w:szCs w:val="20"/>
          <w:color w:val="auto"/>
        </w:rPr>
      </w:pPr>
      <w:r>
        <w:rPr>
          <w:rFonts w:ascii="Arial" w:cs="Arial" w:eastAsia="Arial" w:hAnsi="Arial"/>
          <w:sz w:val="16"/>
          <w:szCs w:val="16"/>
          <w:color w:val="auto"/>
        </w:rPr>
        <w:t>Exhibit 10.1 to the Registrant's Current Report on Form 8-K filed July 28, 2010</w:t>
      </w:r>
    </w:p>
    <w:p>
      <w:pPr>
        <w:spacing w:after="0" w:line="188" w:lineRule="exact"/>
        <w:rPr>
          <w:sz w:val="20"/>
          <w:szCs w:val="20"/>
          <w:color w:val="auto"/>
        </w:rPr>
      </w:pPr>
    </w:p>
    <w:p>
      <w:pPr>
        <w:spacing w:after="0" w:line="306" w:lineRule="auto"/>
        <w:rPr>
          <w:sz w:val="20"/>
          <w:szCs w:val="20"/>
          <w:color w:val="auto"/>
        </w:rPr>
      </w:pPr>
      <w:r>
        <w:rPr>
          <w:rFonts w:ascii="Arial" w:cs="Arial" w:eastAsia="Arial" w:hAnsi="Arial"/>
          <w:sz w:val="16"/>
          <w:szCs w:val="16"/>
          <w:color w:val="auto"/>
        </w:rPr>
        <w:t>Exhibit 10.1 to the Registrant's Current Report on Form 8-K filed November 1, 2010</w:t>
      </w:r>
    </w:p>
    <w:p>
      <w:pPr>
        <w:spacing w:after="0" w:line="188" w:lineRule="exact"/>
        <w:rPr>
          <w:sz w:val="20"/>
          <w:szCs w:val="20"/>
          <w:color w:val="auto"/>
        </w:rPr>
      </w:pPr>
    </w:p>
    <w:p>
      <w:pPr>
        <w:spacing w:after="0" w:line="306" w:lineRule="auto"/>
        <w:rPr>
          <w:sz w:val="20"/>
          <w:szCs w:val="20"/>
          <w:color w:val="auto"/>
        </w:rPr>
      </w:pPr>
      <w:r>
        <w:rPr>
          <w:rFonts w:ascii="Arial" w:cs="Arial" w:eastAsia="Arial" w:hAnsi="Arial"/>
          <w:sz w:val="16"/>
          <w:szCs w:val="16"/>
          <w:color w:val="auto"/>
        </w:rPr>
        <w:t>Exhibit 10.2 to the Registrant's Current Report on Form 8-K filed November 1, 2010</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663" w:lineRule="exact"/>
        <w:rPr>
          <w:sz w:val="20"/>
          <w:szCs w:val="20"/>
          <w:color w:val="auto"/>
        </w:rPr>
      </w:pPr>
    </w:p>
    <w:p>
      <w:pPr>
        <w:sectPr>
          <w:pgSz w:w="11900" w:h="16838" w:orient="portrait"/>
          <w:cols w:equalWidth="0" w:num="2">
            <w:col w:w="7580" w:space="260"/>
            <w:col w:w="2400"/>
          </w:cols>
          <w:pgMar w:left="240" w:top="131" w:right="1419" w:bottom="1440" w:gutter="0" w:footer="0" w:header="0"/>
          <w:type w:val="continuous"/>
        </w:sectPr>
      </w:pPr>
    </w:p>
    <w:p>
      <w:pPr>
        <w:spacing w:after="0" w:line="21" w:lineRule="exact"/>
        <w:rPr>
          <w:sz w:val="20"/>
          <w:szCs w:val="20"/>
          <w:color w:val="auto"/>
        </w:rPr>
      </w:pPr>
    </w:p>
    <w:tbl>
      <w:tblPr>
        <w:tblLayout w:type="fixed"/>
        <w:tblInd w:w="1160" w:type="dxa"/>
        <w:tblCellMar>
          <w:top w:w="0" w:type="dxa"/>
          <w:left w:w="0" w:type="dxa"/>
          <w:bottom w:w="0" w:type="dxa"/>
          <w:right w:w="0" w:type="dxa"/>
        </w:tblCellMar>
      </w:tblPr>
      <w:tr>
        <w:trPr>
          <w:trHeight w:val="216"/>
        </w:trPr>
        <w:tc>
          <w:tcPr>
            <w:tcW w:w="660" w:type="dxa"/>
            <w:vAlign w:val="bottom"/>
          </w:tcPr>
          <w:p>
            <w:pPr>
              <w:jc w:val="right"/>
              <w:spacing w:after="0"/>
              <w:rPr>
                <w:sz w:val="20"/>
                <w:szCs w:val="20"/>
                <w:color w:val="auto"/>
              </w:rPr>
            </w:pPr>
            <w:r>
              <w:rPr>
                <w:rFonts w:ascii="Arial" w:cs="Arial" w:eastAsia="Arial" w:hAnsi="Arial"/>
                <w:sz w:val="18"/>
                <w:szCs w:val="18"/>
                <w:color w:val="auto"/>
              </w:rPr>
              <w:t>31.2</w:t>
            </w:r>
          </w:p>
        </w:tc>
        <w:tc>
          <w:tcPr>
            <w:tcW w:w="5920" w:type="dxa"/>
            <w:vAlign w:val="bottom"/>
            <w:gridSpan w:val="2"/>
          </w:tcPr>
          <w:p>
            <w:pPr>
              <w:ind w:left="80"/>
              <w:spacing w:after="0"/>
              <w:rPr>
                <w:sz w:val="20"/>
                <w:szCs w:val="20"/>
                <w:color w:val="auto"/>
              </w:rPr>
            </w:pPr>
            <w:r>
              <w:rPr>
                <w:rFonts w:ascii="Arial" w:cs="Arial" w:eastAsia="Arial" w:hAnsi="Arial"/>
                <w:sz w:val="18"/>
                <w:szCs w:val="18"/>
                <w:color w:val="auto"/>
                <w:w w:val="99"/>
              </w:rPr>
              <w:t>Certification of the principal financial officer pursuant to Rule 13a-14(a) or</w:t>
            </w:r>
          </w:p>
        </w:tc>
        <w:tc>
          <w:tcPr>
            <w:tcW w:w="280" w:type="dxa"/>
            <w:vAlign w:val="bottom"/>
          </w:tcPr>
          <w:p>
            <w:pPr>
              <w:ind w:left="100"/>
              <w:spacing w:after="0"/>
              <w:rPr>
                <w:sz w:val="20"/>
                <w:szCs w:val="20"/>
                <w:color w:val="auto"/>
              </w:rPr>
            </w:pPr>
            <w:r>
              <w:rPr>
                <w:rFonts w:ascii="Arial" w:cs="Arial" w:eastAsia="Arial" w:hAnsi="Arial"/>
                <w:sz w:val="18"/>
                <w:szCs w:val="18"/>
                <w:color w:val="auto"/>
              </w:rPr>
              <w:t>†</w:t>
            </w:r>
          </w:p>
        </w:tc>
      </w:tr>
      <w:tr>
        <w:trPr>
          <w:trHeight w:val="216"/>
        </w:trPr>
        <w:tc>
          <w:tcPr>
            <w:tcW w:w="660" w:type="dxa"/>
            <w:vAlign w:val="bottom"/>
          </w:tcPr>
          <w:p>
            <w:pPr>
              <w:spacing w:after="0"/>
              <w:rPr>
                <w:sz w:val="18"/>
                <w:szCs w:val="18"/>
                <w:color w:val="auto"/>
              </w:rPr>
            </w:pPr>
          </w:p>
        </w:tc>
        <w:tc>
          <w:tcPr>
            <w:tcW w:w="5920" w:type="dxa"/>
            <w:vAlign w:val="bottom"/>
            <w:gridSpan w:val="2"/>
          </w:tcPr>
          <w:p>
            <w:pPr>
              <w:ind w:left="80"/>
              <w:spacing w:after="0"/>
              <w:rPr>
                <w:sz w:val="20"/>
                <w:szCs w:val="20"/>
                <w:color w:val="auto"/>
              </w:rPr>
            </w:pPr>
            <w:r>
              <w:rPr>
                <w:rFonts w:ascii="Arial" w:cs="Arial" w:eastAsia="Arial" w:hAnsi="Arial"/>
                <w:sz w:val="18"/>
                <w:szCs w:val="18"/>
                <w:color w:val="auto"/>
                <w:w w:val="93"/>
              </w:rPr>
              <w:t>Rule 15d-14(a) of the Securities Exchange Act of 1934 as adopted pursuant to</w:t>
            </w:r>
          </w:p>
        </w:tc>
        <w:tc>
          <w:tcPr>
            <w:tcW w:w="280" w:type="dxa"/>
            <w:vAlign w:val="bottom"/>
          </w:tcPr>
          <w:p>
            <w:pPr>
              <w:spacing w:after="0"/>
              <w:rPr>
                <w:sz w:val="18"/>
                <w:szCs w:val="18"/>
                <w:color w:val="auto"/>
              </w:rPr>
            </w:pPr>
          </w:p>
        </w:tc>
      </w:tr>
      <w:tr>
        <w:trPr>
          <w:trHeight w:val="222"/>
        </w:trPr>
        <w:tc>
          <w:tcPr>
            <w:tcW w:w="660" w:type="dxa"/>
            <w:vAlign w:val="bottom"/>
          </w:tcPr>
          <w:p>
            <w:pPr>
              <w:spacing w:after="0"/>
              <w:rPr>
                <w:sz w:val="19"/>
                <w:szCs w:val="19"/>
                <w:color w:val="auto"/>
              </w:rPr>
            </w:pPr>
          </w:p>
        </w:tc>
        <w:tc>
          <w:tcPr>
            <w:tcW w:w="5920" w:type="dxa"/>
            <w:vAlign w:val="bottom"/>
            <w:gridSpan w:val="2"/>
          </w:tcPr>
          <w:p>
            <w:pPr>
              <w:ind w:left="80"/>
              <w:spacing w:after="0"/>
              <w:rPr>
                <w:sz w:val="20"/>
                <w:szCs w:val="20"/>
                <w:color w:val="auto"/>
              </w:rPr>
            </w:pPr>
            <w:r>
              <w:rPr>
                <w:rFonts w:ascii="Arial" w:cs="Arial" w:eastAsia="Arial" w:hAnsi="Arial"/>
                <w:sz w:val="18"/>
                <w:szCs w:val="18"/>
                <w:color w:val="auto"/>
              </w:rPr>
              <w:t>Section 302 of the Sarbanes-Oxley Act of 2002.</w:t>
            </w:r>
          </w:p>
        </w:tc>
        <w:tc>
          <w:tcPr>
            <w:tcW w:w="280" w:type="dxa"/>
            <w:vAlign w:val="bottom"/>
          </w:tcPr>
          <w:p>
            <w:pPr>
              <w:spacing w:after="0"/>
              <w:rPr>
                <w:sz w:val="19"/>
                <w:szCs w:val="19"/>
                <w:color w:val="auto"/>
              </w:rPr>
            </w:pPr>
          </w:p>
        </w:tc>
      </w:tr>
      <w:tr>
        <w:trPr>
          <w:trHeight w:val="453"/>
        </w:trPr>
        <w:tc>
          <w:tcPr>
            <w:tcW w:w="660" w:type="dxa"/>
            <w:vAlign w:val="bottom"/>
          </w:tcPr>
          <w:p>
            <w:pPr>
              <w:jc w:val="right"/>
              <w:spacing w:after="0"/>
              <w:rPr>
                <w:sz w:val="20"/>
                <w:szCs w:val="20"/>
                <w:color w:val="auto"/>
              </w:rPr>
            </w:pPr>
            <w:r>
              <w:rPr>
                <w:rFonts w:ascii="Arial" w:cs="Arial" w:eastAsia="Arial" w:hAnsi="Arial"/>
                <w:sz w:val="18"/>
                <w:szCs w:val="18"/>
                <w:color w:val="auto"/>
              </w:rPr>
              <w:t>32.1</w:t>
            </w:r>
          </w:p>
        </w:tc>
        <w:tc>
          <w:tcPr>
            <w:tcW w:w="5920" w:type="dxa"/>
            <w:vAlign w:val="bottom"/>
            <w:gridSpan w:val="2"/>
          </w:tcPr>
          <w:p>
            <w:pPr>
              <w:ind w:left="80"/>
              <w:spacing w:after="0"/>
              <w:rPr>
                <w:sz w:val="20"/>
                <w:szCs w:val="20"/>
                <w:color w:val="auto"/>
              </w:rPr>
            </w:pPr>
            <w:r>
              <w:rPr>
                <w:rFonts w:ascii="Arial" w:cs="Arial" w:eastAsia="Arial" w:hAnsi="Arial"/>
                <w:sz w:val="18"/>
                <w:szCs w:val="18"/>
                <w:color w:val="auto"/>
                <w:w w:val="90"/>
              </w:rPr>
              <w:t>Certification of the principal executive officer pursuant to 18 U.S.C. Section 1350</w:t>
            </w:r>
          </w:p>
        </w:tc>
        <w:tc>
          <w:tcPr>
            <w:tcW w:w="280" w:type="dxa"/>
            <w:vAlign w:val="bottom"/>
          </w:tcPr>
          <w:p>
            <w:pPr>
              <w:ind w:left="100"/>
              <w:spacing w:after="0"/>
              <w:rPr>
                <w:sz w:val="20"/>
                <w:szCs w:val="20"/>
                <w:color w:val="auto"/>
              </w:rPr>
            </w:pPr>
            <w:r>
              <w:rPr>
                <w:rFonts w:ascii="Arial" w:cs="Arial" w:eastAsia="Arial" w:hAnsi="Arial"/>
                <w:sz w:val="18"/>
                <w:szCs w:val="18"/>
                <w:color w:val="auto"/>
                <w:w w:val="79"/>
              </w:rPr>
              <w:t>††</w:t>
            </w:r>
          </w:p>
        </w:tc>
      </w:tr>
      <w:tr>
        <w:trPr>
          <w:trHeight w:val="222"/>
        </w:trPr>
        <w:tc>
          <w:tcPr>
            <w:tcW w:w="660" w:type="dxa"/>
            <w:vAlign w:val="bottom"/>
          </w:tcPr>
          <w:p>
            <w:pPr>
              <w:spacing w:after="0"/>
              <w:rPr>
                <w:sz w:val="19"/>
                <w:szCs w:val="19"/>
                <w:color w:val="auto"/>
              </w:rPr>
            </w:pPr>
          </w:p>
        </w:tc>
        <w:tc>
          <w:tcPr>
            <w:tcW w:w="5920" w:type="dxa"/>
            <w:vAlign w:val="bottom"/>
            <w:gridSpan w:val="2"/>
          </w:tcPr>
          <w:p>
            <w:pPr>
              <w:ind w:left="80"/>
              <w:spacing w:after="0"/>
              <w:rPr>
                <w:sz w:val="20"/>
                <w:szCs w:val="20"/>
                <w:color w:val="auto"/>
              </w:rPr>
            </w:pPr>
            <w:r>
              <w:rPr>
                <w:rFonts w:ascii="Arial" w:cs="Arial" w:eastAsia="Arial" w:hAnsi="Arial"/>
                <w:sz w:val="18"/>
                <w:szCs w:val="18"/>
                <w:color w:val="auto"/>
              </w:rPr>
              <w:t>as adopted pursuant to Section 906 of the Sarbanes-Oxley Act of 2002.</w:t>
            </w:r>
          </w:p>
        </w:tc>
        <w:tc>
          <w:tcPr>
            <w:tcW w:w="280" w:type="dxa"/>
            <w:vAlign w:val="bottom"/>
          </w:tcPr>
          <w:p>
            <w:pPr>
              <w:spacing w:after="0"/>
              <w:rPr>
                <w:sz w:val="19"/>
                <w:szCs w:val="19"/>
                <w:color w:val="auto"/>
              </w:rPr>
            </w:pPr>
          </w:p>
        </w:tc>
      </w:tr>
      <w:tr>
        <w:trPr>
          <w:trHeight w:val="453"/>
        </w:trPr>
        <w:tc>
          <w:tcPr>
            <w:tcW w:w="660" w:type="dxa"/>
            <w:vAlign w:val="bottom"/>
          </w:tcPr>
          <w:p>
            <w:pPr>
              <w:jc w:val="right"/>
              <w:spacing w:after="0"/>
              <w:rPr>
                <w:sz w:val="20"/>
                <w:szCs w:val="20"/>
                <w:color w:val="auto"/>
              </w:rPr>
            </w:pPr>
            <w:r>
              <w:rPr>
                <w:rFonts w:ascii="Arial" w:cs="Arial" w:eastAsia="Arial" w:hAnsi="Arial"/>
                <w:sz w:val="18"/>
                <w:szCs w:val="18"/>
                <w:color w:val="auto"/>
              </w:rPr>
              <w:t>32.2</w:t>
            </w:r>
          </w:p>
        </w:tc>
        <w:tc>
          <w:tcPr>
            <w:tcW w:w="5920" w:type="dxa"/>
            <w:vAlign w:val="bottom"/>
            <w:gridSpan w:val="2"/>
          </w:tcPr>
          <w:p>
            <w:pPr>
              <w:ind w:left="80"/>
              <w:spacing w:after="0"/>
              <w:rPr>
                <w:sz w:val="20"/>
                <w:szCs w:val="20"/>
                <w:color w:val="auto"/>
              </w:rPr>
            </w:pPr>
            <w:r>
              <w:rPr>
                <w:rFonts w:ascii="Arial" w:cs="Arial" w:eastAsia="Arial" w:hAnsi="Arial"/>
                <w:sz w:val="18"/>
                <w:szCs w:val="18"/>
                <w:color w:val="auto"/>
                <w:w w:val="92"/>
              </w:rPr>
              <w:t>Certification of the principal financial officer pursuant to 18 U.S.C. Section 1350</w:t>
            </w:r>
          </w:p>
        </w:tc>
        <w:tc>
          <w:tcPr>
            <w:tcW w:w="280" w:type="dxa"/>
            <w:vAlign w:val="bottom"/>
          </w:tcPr>
          <w:p>
            <w:pPr>
              <w:ind w:left="100"/>
              <w:spacing w:after="0"/>
              <w:rPr>
                <w:sz w:val="20"/>
                <w:szCs w:val="20"/>
                <w:color w:val="auto"/>
              </w:rPr>
            </w:pPr>
            <w:r>
              <w:rPr>
                <w:rFonts w:ascii="Arial" w:cs="Arial" w:eastAsia="Arial" w:hAnsi="Arial"/>
                <w:sz w:val="18"/>
                <w:szCs w:val="18"/>
                <w:color w:val="auto"/>
                <w:w w:val="79"/>
              </w:rPr>
              <w:t>††</w:t>
            </w:r>
          </w:p>
        </w:tc>
      </w:tr>
      <w:tr>
        <w:trPr>
          <w:trHeight w:val="222"/>
        </w:trPr>
        <w:tc>
          <w:tcPr>
            <w:tcW w:w="660" w:type="dxa"/>
            <w:vAlign w:val="bottom"/>
          </w:tcPr>
          <w:p>
            <w:pPr>
              <w:spacing w:after="0"/>
              <w:rPr>
                <w:sz w:val="19"/>
                <w:szCs w:val="19"/>
                <w:color w:val="auto"/>
              </w:rPr>
            </w:pPr>
          </w:p>
        </w:tc>
        <w:tc>
          <w:tcPr>
            <w:tcW w:w="5920" w:type="dxa"/>
            <w:vAlign w:val="bottom"/>
            <w:gridSpan w:val="2"/>
          </w:tcPr>
          <w:p>
            <w:pPr>
              <w:ind w:left="80"/>
              <w:spacing w:after="0"/>
              <w:rPr>
                <w:sz w:val="20"/>
                <w:szCs w:val="20"/>
                <w:color w:val="auto"/>
              </w:rPr>
            </w:pPr>
            <w:r>
              <w:rPr>
                <w:rFonts w:ascii="Arial" w:cs="Arial" w:eastAsia="Arial" w:hAnsi="Arial"/>
                <w:sz w:val="18"/>
                <w:szCs w:val="18"/>
                <w:color w:val="auto"/>
              </w:rPr>
              <w:t>as adopted pursuant to Section 906 of the Sarbanes-Oxley Act of 2002.</w:t>
            </w:r>
          </w:p>
        </w:tc>
        <w:tc>
          <w:tcPr>
            <w:tcW w:w="280" w:type="dxa"/>
            <w:vAlign w:val="bottom"/>
          </w:tcPr>
          <w:p>
            <w:pPr>
              <w:spacing w:after="0"/>
              <w:rPr>
                <w:sz w:val="19"/>
                <w:szCs w:val="19"/>
                <w:color w:val="auto"/>
              </w:rPr>
            </w:pPr>
          </w:p>
        </w:tc>
      </w:tr>
      <w:tr>
        <w:trPr>
          <w:trHeight w:val="110"/>
        </w:trPr>
        <w:tc>
          <w:tcPr>
            <w:tcW w:w="660" w:type="dxa"/>
            <w:vAlign w:val="bottom"/>
            <w:tcBorders>
              <w:bottom w:val="single" w:sz="8" w:color="auto"/>
            </w:tcBorders>
          </w:tcPr>
          <w:p>
            <w:pPr>
              <w:spacing w:after="0"/>
              <w:rPr>
                <w:sz w:val="9"/>
                <w:szCs w:val="9"/>
                <w:color w:val="auto"/>
              </w:rPr>
            </w:pPr>
          </w:p>
        </w:tc>
        <w:tc>
          <w:tcPr>
            <w:tcW w:w="2020" w:type="dxa"/>
            <w:vAlign w:val="bottom"/>
            <w:tcBorders>
              <w:bottom w:val="single" w:sz="8" w:color="auto"/>
            </w:tcBorders>
          </w:tcPr>
          <w:p>
            <w:pPr>
              <w:spacing w:after="0"/>
              <w:rPr>
                <w:sz w:val="9"/>
                <w:szCs w:val="9"/>
                <w:color w:val="auto"/>
              </w:rPr>
            </w:pPr>
          </w:p>
        </w:tc>
        <w:tc>
          <w:tcPr>
            <w:tcW w:w="3900" w:type="dxa"/>
            <w:vAlign w:val="bottom"/>
          </w:tcPr>
          <w:p>
            <w:pPr>
              <w:spacing w:after="0"/>
              <w:rPr>
                <w:sz w:val="9"/>
                <w:szCs w:val="9"/>
                <w:color w:val="auto"/>
              </w:rPr>
            </w:pPr>
          </w:p>
        </w:tc>
        <w:tc>
          <w:tcPr>
            <w:tcW w:w="280" w:type="dxa"/>
            <w:vAlign w:val="bottom"/>
          </w:tcPr>
          <w:p>
            <w:pPr>
              <w:spacing w:after="0"/>
              <w:rPr>
                <w:sz w:val="9"/>
                <w:szCs w:val="9"/>
                <w:color w:val="auto"/>
              </w:rPr>
            </w:pPr>
          </w:p>
        </w:tc>
      </w:tr>
    </w:tbl>
    <w:p>
      <w:pPr>
        <w:spacing w:after="0" w:line="221" w:lineRule="exact"/>
        <w:rPr>
          <w:sz w:val="20"/>
          <w:szCs w:val="20"/>
          <w:color w:val="auto"/>
        </w:rPr>
      </w:pPr>
    </w:p>
    <w:p>
      <w:pPr>
        <w:ind w:left="1680" w:hanging="531"/>
        <w:spacing w:after="0"/>
        <w:tabs>
          <w:tab w:leader="none" w:pos="16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252" w:lineRule="exact"/>
        <w:rPr>
          <w:sz w:val="20"/>
          <w:szCs w:val="20"/>
          <w:color w:val="auto"/>
        </w:rPr>
      </w:pPr>
    </w:p>
    <w:p>
      <w:pPr>
        <w:ind w:left="1680" w:hanging="531"/>
        <w:spacing w:after="0"/>
        <w:tabs>
          <w:tab w:leader="none" w:pos="16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Furnished herewith</w:t>
      </w:r>
    </w:p>
    <w:p>
      <w:pPr>
        <w:spacing w:after="0" w:line="22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40"/>
          </w:cols>
          <w:pgMar w:left="240" w:top="131" w:right="1419" w:bottom="1440" w:gutter="0" w:footer="0" w:header="0"/>
          <w:type w:val="continuous"/>
        </w:sectPr>
      </w:pPr>
    </w:p>
    <w:bookmarkStart w:id="62" w:name="page63"/>
    <w:bookmarkEnd w:id="62"/>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63" w:name="page64"/>
    <w:bookmarkEnd w:id="63"/>
    <w:p>
      <w:pPr>
        <w:spacing w:after="0"/>
        <w:rPr>
          <w:rFonts w:ascii="Arial" w:cs="Arial" w:eastAsia="Arial" w:hAnsi="Arial"/>
          <w:sz w:val="22"/>
          <w:szCs w:val="22"/>
          <w:color w:val="0000EE"/>
        </w:rPr>
      </w:pPr>
      <w:hyperlink w:anchor="page66">
        <w:r>
          <w:rPr>
            <w:rFonts w:ascii="Arial" w:cs="Arial" w:eastAsia="Arial" w:hAnsi="Arial"/>
            <w:sz w:val="22"/>
            <w:szCs w:val="22"/>
            <w:u w:val="single" w:color="auto"/>
            <w:color w:val="0000EE"/>
          </w:rPr>
          <w:t>QuickLinks</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22"/>
          <w:szCs w:val="22"/>
          <w:color w:val="000000"/>
        </w:rPr>
        <w:t>Click here to rapidly navigate through this document</w:t>
      </w:r>
    </w:p>
    <w:p>
      <w:pPr>
        <w:spacing w:after="0" w:line="200" w:lineRule="exact"/>
        <w:rPr>
          <w:sz w:val="20"/>
          <w:szCs w:val="20"/>
          <w:color w:val="auto"/>
        </w:rPr>
      </w:pPr>
    </w:p>
    <w:p>
      <w:pPr>
        <w:spacing w:after="0" w:line="229" w:lineRule="exact"/>
        <w:rPr>
          <w:sz w:val="20"/>
          <w:szCs w:val="20"/>
          <w:color w:val="auto"/>
        </w:rPr>
      </w:pPr>
    </w:p>
    <w:p>
      <w:pPr>
        <w:jc w:val="right"/>
        <w:ind w:right="40"/>
        <w:spacing w:after="0"/>
        <w:rPr>
          <w:sz w:val="20"/>
          <w:szCs w:val="20"/>
          <w:color w:val="auto"/>
        </w:rPr>
      </w:pPr>
      <w:r>
        <w:rPr>
          <w:rFonts w:ascii="Arial" w:cs="Arial" w:eastAsia="Arial" w:hAnsi="Arial"/>
          <w:sz w:val="18"/>
          <w:szCs w:val="18"/>
          <w:b w:val="1"/>
          <w:bCs w:val="1"/>
          <w:color w:val="auto"/>
        </w:rPr>
        <w:t>Exhibit 10.4</w:t>
      </w: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EXECUTION COPY</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AMENDMENT NO. 1 TO THE RESTRICTED SHARE GRANT AND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STOCKHOLDER'S AGREEMENT BETWEEN TREE.COM,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LENDINGTREE HOLDINGS CORP. AND DOUGLAS R. LEBDA</w:t>
      </w: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August 30, 2010</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This Amendment No. 1 to that certain Restricted Share Grant and Stockholder's Agreement, dated as of August 15, 2008 (the "</w:t>
      </w:r>
      <w:r>
        <w:rPr>
          <w:rFonts w:ascii="Arial" w:cs="Arial" w:eastAsia="Arial" w:hAnsi="Arial"/>
          <w:sz w:val="16"/>
          <w:szCs w:val="16"/>
          <w:b w:val="1"/>
          <w:bCs w:val="1"/>
          <w:color w:val="auto"/>
        </w:rPr>
        <w:t>Agreement</w:t>
      </w:r>
      <w:r>
        <w:rPr>
          <w:rFonts w:ascii="Arial" w:cs="Arial" w:eastAsia="Arial" w:hAnsi="Arial"/>
          <w:sz w:val="16"/>
          <w:szCs w:val="16"/>
          <w:color w:val="auto"/>
        </w:rPr>
        <w:t>") between</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Tree.Com, Inc. (as successor by assignment to IAC/InterActiveCorp) ("</w:t>
      </w:r>
      <w:r>
        <w:rPr>
          <w:rFonts w:ascii="Arial" w:cs="Arial" w:eastAsia="Arial" w:hAnsi="Arial"/>
          <w:sz w:val="16"/>
          <w:szCs w:val="16"/>
          <w:b w:val="1"/>
          <w:bCs w:val="1"/>
          <w:color w:val="auto"/>
        </w:rPr>
        <w:t>Tree</w:t>
      </w:r>
      <w:r>
        <w:rPr>
          <w:rFonts w:ascii="Arial" w:cs="Arial" w:eastAsia="Arial" w:hAnsi="Arial"/>
          <w:sz w:val="16"/>
          <w:szCs w:val="16"/>
          <w:color w:val="auto"/>
        </w:rPr>
        <w:t>"), LendingTree Holdings Corp. (the "</w:t>
      </w:r>
      <w:r>
        <w:rPr>
          <w:rFonts w:ascii="Arial" w:cs="Arial" w:eastAsia="Arial" w:hAnsi="Arial"/>
          <w:sz w:val="16"/>
          <w:szCs w:val="16"/>
          <w:b w:val="1"/>
          <w:bCs w:val="1"/>
          <w:color w:val="auto"/>
        </w:rPr>
        <w:t>Company</w:t>
      </w:r>
      <w:r>
        <w:rPr>
          <w:rFonts w:ascii="Arial" w:cs="Arial" w:eastAsia="Arial" w:hAnsi="Arial"/>
          <w:sz w:val="16"/>
          <w:szCs w:val="16"/>
          <w:color w:val="auto"/>
        </w:rPr>
        <w:t>") and Douglas R. Lebda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Stockholder</w:t>
      </w:r>
      <w:r>
        <w:rPr>
          <w:rFonts w:ascii="Arial" w:cs="Arial" w:eastAsia="Arial" w:hAnsi="Arial"/>
          <w:sz w:val="16"/>
          <w:szCs w:val="16"/>
          <w:color w:val="auto"/>
        </w:rPr>
        <w:t>") is effective as of August 30, 2010, unless otherwise indicated. All capitalized terms used herein without definition shall have the meanings given</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to them in the Agreement.</w:t>
      </w:r>
    </w:p>
    <w:p>
      <w:pPr>
        <w:spacing w:after="0" w:line="213" w:lineRule="exact"/>
        <w:rPr>
          <w:sz w:val="20"/>
          <w:szCs w:val="20"/>
          <w:color w:val="auto"/>
        </w:rPr>
      </w:pPr>
    </w:p>
    <w:p>
      <w:pPr>
        <w:ind w:right="780" w:firstLine="351"/>
        <w:spacing w:after="0" w:line="275" w:lineRule="auto"/>
        <w:rPr>
          <w:sz w:val="20"/>
          <w:szCs w:val="20"/>
          <w:color w:val="auto"/>
        </w:rPr>
      </w:pPr>
      <w:r>
        <w:rPr>
          <w:rFonts w:ascii="Arial" w:cs="Arial" w:eastAsia="Arial" w:hAnsi="Arial"/>
          <w:sz w:val="18"/>
          <w:szCs w:val="18"/>
          <w:b w:val="1"/>
          <w:bCs w:val="1"/>
          <w:color w:val="auto"/>
        </w:rPr>
        <w:t xml:space="preserve">WHEREAS, </w:t>
      </w:r>
      <w:r>
        <w:rPr>
          <w:rFonts w:ascii="Arial" w:cs="Arial" w:eastAsia="Arial" w:hAnsi="Arial"/>
          <w:sz w:val="18"/>
          <w:szCs w:val="18"/>
          <w:color w:val="auto"/>
        </w:rPr>
        <w:t>subject to the terms and conditions set forth herein, Tree, the Company and the Stockholder wish to make certain amendments to the</w:t>
      </w:r>
      <w:r>
        <w:rPr>
          <w:rFonts w:ascii="Arial" w:cs="Arial" w:eastAsia="Arial" w:hAnsi="Arial"/>
          <w:sz w:val="18"/>
          <w:szCs w:val="18"/>
          <w:b w:val="1"/>
          <w:bCs w:val="1"/>
          <w:color w:val="auto"/>
        </w:rPr>
        <w:t xml:space="preserve"> </w:t>
      </w:r>
      <w:r>
        <w:rPr>
          <w:rFonts w:ascii="Arial" w:cs="Arial" w:eastAsia="Arial" w:hAnsi="Arial"/>
          <w:sz w:val="18"/>
          <w:szCs w:val="18"/>
          <w:color w:val="auto"/>
        </w:rPr>
        <w:t>Agreement.</w:t>
      </w:r>
    </w:p>
    <w:p>
      <w:pPr>
        <w:spacing w:after="0" w:line="174" w:lineRule="exact"/>
        <w:rPr>
          <w:sz w:val="20"/>
          <w:szCs w:val="20"/>
          <w:color w:val="auto"/>
        </w:rPr>
      </w:pPr>
    </w:p>
    <w:p>
      <w:pPr>
        <w:ind w:right="540" w:firstLine="351"/>
        <w:spacing w:after="0" w:line="275" w:lineRule="auto"/>
        <w:rPr>
          <w:sz w:val="20"/>
          <w:szCs w:val="20"/>
          <w:color w:val="auto"/>
        </w:rPr>
      </w:pPr>
      <w:r>
        <w:rPr>
          <w:rFonts w:ascii="Arial" w:cs="Arial" w:eastAsia="Arial" w:hAnsi="Arial"/>
          <w:sz w:val="18"/>
          <w:szCs w:val="18"/>
          <w:b w:val="1"/>
          <w:bCs w:val="1"/>
          <w:color w:val="auto"/>
        </w:rPr>
        <w:t xml:space="preserve">NOW, THEREFORE, </w:t>
      </w:r>
      <w:r>
        <w:rPr>
          <w:rFonts w:ascii="Arial" w:cs="Arial" w:eastAsia="Arial" w:hAnsi="Arial"/>
          <w:sz w:val="18"/>
          <w:szCs w:val="18"/>
          <w:color w:val="auto"/>
        </w:rPr>
        <w:t>for good and valuable consideration, the receipt and sufficiency of which is hereby acknowledged, the parties hereby agree as</w:t>
      </w:r>
      <w:r>
        <w:rPr>
          <w:rFonts w:ascii="Arial" w:cs="Arial" w:eastAsia="Arial" w:hAnsi="Arial"/>
          <w:sz w:val="18"/>
          <w:szCs w:val="18"/>
          <w:b w:val="1"/>
          <w:bCs w:val="1"/>
          <w:color w:val="auto"/>
        </w:rPr>
        <w:t xml:space="preserve"> </w:t>
      </w:r>
      <w:r>
        <w:rPr>
          <w:rFonts w:ascii="Arial" w:cs="Arial" w:eastAsia="Arial" w:hAnsi="Arial"/>
          <w:sz w:val="18"/>
          <w:szCs w:val="18"/>
          <w:color w:val="auto"/>
        </w:rPr>
        <w:t>follows:</w:t>
      </w:r>
    </w:p>
    <w:p>
      <w:pPr>
        <w:spacing w:after="0" w:line="193" w:lineRule="exact"/>
        <w:rPr>
          <w:sz w:val="20"/>
          <w:szCs w:val="20"/>
          <w:color w:val="auto"/>
        </w:rPr>
      </w:pPr>
    </w:p>
    <w:p>
      <w:pPr>
        <w:ind w:left="540" w:hanging="532"/>
        <w:spacing w:after="0"/>
        <w:tabs>
          <w:tab w:leader="none" w:pos="5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Section 3.1 of the Agreement is hereby deleted and replaced in its entirety with the following:</w:t>
      </w:r>
    </w:p>
    <w:p>
      <w:pPr>
        <w:spacing w:after="0" w:line="225" w:lineRule="exact"/>
        <w:rPr>
          <w:rFonts w:ascii="Arial" w:cs="Arial" w:eastAsia="Arial" w:hAnsi="Arial"/>
          <w:sz w:val="18"/>
          <w:szCs w:val="18"/>
          <w:color w:val="auto"/>
        </w:rPr>
      </w:pPr>
    </w:p>
    <w:p>
      <w:pPr>
        <w:ind w:left="540" w:right="40"/>
        <w:spacing w:after="0" w:line="301" w:lineRule="auto"/>
        <w:rPr>
          <w:rFonts w:ascii="Arial" w:cs="Arial" w:eastAsia="Arial" w:hAnsi="Arial"/>
          <w:sz w:val="18"/>
          <w:szCs w:val="18"/>
          <w:color w:val="auto"/>
        </w:rPr>
      </w:pPr>
      <w:r>
        <w:rPr>
          <w:rFonts w:ascii="Arial" w:cs="Arial" w:eastAsia="Arial" w:hAnsi="Arial"/>
          <w:sz w:val="15"/>
          <w:szCs w:val="15"/>
          <w:color w:val="auto"/>
        </w:rPr>
        <w:t xml:space="preserve">"The Stockholder shall not be permitted to transfer, sell, assign, pledge, hypothecate, bequeath, give, create a Lien (as defined in </w:t>
      </w:r>
      <w:r>
        <w:rPr>
          <w:rFonts w:ascii="Arial" w:cs="Arial" w:eastAsia="Arial" w:hAnsi="Arial"/>
          <w:sz w:val="15"/>
          <w:szCs w:val="15"/>
          <w:i w:val="1"/>
          <w:iCs w:val="1"/>
          <w:color w:val="auto"/>
        </w:rPr>
        <w:t>Section 4.4(b)</w:t>
      </w:r>
      <w:r>
        <w:rPr>
          <w:rFonts w:ascii="Arial" w:cs="Arial" w:eastAsia="Arial" w:hAnsi="Arial"/>
          <w:sz w:val="15"/>
          <w:szCs w:val="15"/>
          <w:color w:val="auto"/>
        </w:rPr>
        <w:t xml:space="preserve"> below) on, place in trust (voting or otherwise), designate a different trustee, custodian or beneficiary for any shares already held in trust, assign or in any other way encumber or dispose of, directly or indirectly and whether or not by operation of law or for value (each, a "</w:t>
      </w:r>
      <w:r>
        <w:rPr>
          <w:rFonts w:ascii="Arial" w:cs="Arial" w:eastAsia="Arial" w:hAnsi="Arial"/>
          <w:sz w:val="15"/>
          <w:szCs w:val="15"/>
          <w:i w:val="1"/>
          <w:iCs w:val="1"/>
          <w:color w:val="auto"/>
        </w:rPr>
        <w:t>Transfer</w:t>
      </w:r>
      <w:r>
        <w:rPr>
          <w:rFonts w:ascii="Arial" w:cs="Arial" w:eastAsia="Arial" w:hAnsi="Arial"/>
          <w:sz w:val="15"/>
          <w:szCs w:val="15"/>
          <w:color w:val="auto"/>
        </w:rPr>
        <w:t>"), any Shares or beneficial interest in any of the Shares, except for Transfers of Shares (each, a "</w:t>
      </w:r>
      <w:r>
        <w:rPr>
          <w:rFonts w:ascii="Arial" w:cs="Arial" w:eastAsia="Arial" w:hAnsi="Arial"/>
          <w:sz w:val="15"/>
          <w:szCs w:val="15"/>
          <w:i w:val="1"/>
          <w:iCs w:val="1"/>
          <w:color w:val="auto"/>
        </w:rPr>
        <w:t>Permitted Transfer</w:t>
      </w:r>
      <w:r>
        <w:rPr>
          <w:rFonts w:ascii="Arial" w:cs="Arial" w:eastAsia="Arial" w:hAnsi="Arial"/>
          <w:sz w:val="15"/>
          <w:szCs w:val="15"/>
          <w:color w:val="auto"/>
        </w:rPr>
        <w:t>") (i) to Tree, provided that such Shares have vested pursuant to Section 1.2 above, or (ii) to the Stockholder's guardian or conservator, a trust for the benefit of the Stockholder or the Stockholder's spouse or lineal descendents and, upon the death of the Stockholder, the Stockholder's executor, administrator and heirs (any such transferee, a "</w:t>
      </w:r>
      <w:r>
        <w:rPr>
          <w:rFonts w:ascii="Arial" w:cs="Arial" w:eastAsia="Arial" w:hAnsi="Arial"/>
          <w:sz w:val="15"/>
          <w:szCs w:val="15"/>
          <w:i w:val="1"/>
          <w:iCs w:val="1"/>
          <w:color w:val="auto"/>
        </w:rPr>
        <w:t>Permitted Transferee</w:t>
      </w:r>
      <w:r>
        <w:rPr>
          <w:rFonts w:ascii="Arial" w:cs="Arial" w:eastAsia="Arial" w:hAnsi="Arial"/>
          <w:sz w:val="15"/>
          <w:szCs w:val="15"/>
          <w:color w:val="auto"/>
        </w:rPr>
        <w:t xml:space="preserve">"); </w:t>
      </w:r>
      <w:r>
        <w:rPr>
          <w:rFonts w:ascii="Arial" w:cs="Arial" w:eastAsia="Arial" w:hAnsi="Arial"/>
          <w:sz w:val="15"/>
          <w:szCs w:val="15"/>
          <w:i w:val="1"/>
          <w:iCs w:val="1"/>
          <w:color w:val="auto"/>
        </w:rPr>
        <w:t>provided</w:t>
      </w:r>
      <w:r>
        <w:rPr>
          <w:rFonts w:ascii="Arial" w:cs="Arial" w:eastAsia="Arial" w:hAnsi="Arial"/>
          <w:sz w:val="15"/>
          <w:szCs w:val="15"/>
          <w:color w:val="auto"/>
        </w:rPr>
        <w:t>, that in each case other than a Permitted Transfer to Tree, no Permitted Transfer shall be effective unless and until the transferee of the Shares so transferred</w:t>
      </w:r>
    </w:p>
    <w:p>
      <w:pPr>
        <w:spacing w:after="0" w:line="4" w:lineRule="exact"/>
        <w:rPr>
          <w:rFonts w:ascii="Arial" w:cs="Arial" w:eastAsia="Arial" w:hAnsi="Arial"/>
          <w:sz w:val="18"/>
          <w:szCs w:val="18"/>
          <w:color w:val="auto"/>
        </w:rPr>
      </w:pPr>
    </w:p>
    <w:p>
      <w:pPr>
        <w:ind w:left="540" w:right="80" w:firstLine="8"/>
        <w:spacing w:after="0" w:line="292" w:lineRule="auto"/>
        <w:tabs>
          <w:tab w:leader="none" w:pos="779" w:val="left"/>
        </w:tabs>
        <w:numPr>
          <w:ilvl w:val="1"/>
          <w:numId w:val="15"/>
        </w:numPr>
        <w:rPr>
          <w:rFonts w:ascii="Arial" w:cs="Arial" w:eastAsia="Arial" w:hAnsi="Arial"/>
          <w:sz w:val="16"/>
          <w:szCs w:val="16"/>
          <w:color w:val="auto"/>
        </w:rPr>
      </w:pPr>
      <w:r>
        <w:rPr>
          <w:rFonts w:ascii="Arial" w:cs="Arial" w:eastAsia="Arial" w:hAnsi="Arial"/>
          <w:sz w:val="16"/>
          <w:szCs w:val="16"/>
          <w:color w:val="auto"/>
        </w:rPr>
        <w:t>executes and delivers to the Company an appropriate document in form satisfactory to the Company, in which such Permitted Transferee agrees that it shall be bound as a Stockholder by, and that its beneficial ownership of any Shares will be subject to, all the terms and conditions provided in this Agreement; and (b) executes and delivers to the Company an investor's letter in a form satisfactory to the Company, in which such Permitted Transferee provides the Company with adequate representations and warranties with respect to the exemption of such Transfer under the Securities Act and any applicable state securities laws. Any purported Transfer not in accordance with this Agreement shall be void and of no effect."</w:t>
      </w:r>
    </w:p>
    <w:p>
      <w:pPr>
        <w:spacing w:after="0" w:line="197" w:lineRule="exact"/>
        <w:rPr>
          <w:rFonts w:ascii="Arial" w:cs="Arial" w:eastAsia="Arial" w:hAnsi="Arial"/>
          <w:sz w:val="16"/>
          <w:szCs w:val="16"/>
          <w:color w:val="auto"/>
        </w:rPr>
      </w:pPr>
    </w:p>
    <w:p>
      <w:pPr>
        <w:ind w:left="540" w:hanging="532"/>
        <w:spacing w:after="0"/>
        <w:tabs>
          <w:tab w:leader="none" w:pos="5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Except as explicitly set forth herein, the remaining provisions of the Agreement will remain in full force and effect.</w:t>
      </w:r>
    </w:p>
    <w:p>
      <w:pPr>
        <w:spacing w:after="0" w:line="225" w:lineRule="exact"/>
        <w:rPr>
          <w:rFonts w:ascii="Arial" w:cs="Arial" w:eastAsia="Arial" w:hAnsi="Arial"/>
          <w:sz w:val="18"/>
          <w:szCs w:val="18"/>
          <w:color w:val="auto"/>
        </w:rPr>
      </w:pPr>
    </w:p>
    <w:p>
      <w:pPr>
        <w:ind w:left="4420"/>
        <w:spacing w:after="0"/>
        <w:rPr>
          <w:rFonts w:ascii="Arial" w:cs="Arial" w:eastAsia="Arial" w:hAnsi="Arial"/>
          <w:sz w:val="18"/>
          <w:szCs w:val="18"/>
          <w:color w:val="auto"/>
        </w:rPr>
      </w:pPr>
      <w:r>
        <w:rPr>
          <w:rFonts w:ascii="Arial" w:cs="Arial" w:eastAsia="Arial" w:hAnsi="Arial"/>
          <w:sz w:val="18"/>
          <w:szCs w:val="18"/>
          <w:color w:val="auto"/>
        </w:rPr>
        <w:t>* * * Signature Page to Follow * *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1" w:right="239" w:bottom="1440" w:gutter="0" w:footer="0" w:header="0"/>
        </w:sectPr>
      </w:pPr>
    </w:p>
    <w:bookmarkStart w:id="64" w:name="page65"/>
    <w:bookmarkEnd w:id="64"/>
    <w:p>
      <w:pPr>
        <w:spacing w:after="0"/>
        <w:rPr>
          <w:sz w:val="20"/>
          <w:szCs w:val="20"/>
          <w:color w:val="auto"/>
        </w:rPr>
      </w:pPr>
      <w:r>
        <w:rPr>
          <w:rFonts w:ascii="Arial" w:cs="Arial" w:eastAsia="Arial" w:hAnsi="Arial"/>
          <w:sz w:val="16"/>
          <w:szCs w:val="16"/>
          <w:color w:val="auto"/>
        </w:rPr>
        <w:t>IN WITNESS WHEREOF, the parties have executed this Amendment No. 1 as of the date first set forth above.</w:t>
      </w:r>
    </w:p>
    <w:p>
      <w:pPr>
        <w:spacing w:after="0" w:line="248" w:lineRule="exact"/>
        <w:rPr>
          <w:sz w:val="20"/>
          <w:szCs w:val="20"/>
          <w:color w:val="auto"/>
        </w:rPr>
      </w:pPr>
    </w:p>
    <w:p>
      <w:pPr>
        <w:ind w:left="5380"/>
        <w:spacing w:after="0"/>
        <w:rPr>
          <w:sz w:val="20"/>
          <w:szCs w:val="20"/>
          <w:color w:val="auto"/>
        </w:rPr>
      </w:pPr>
      <w:r>
        <w:rPr>
          <w:rFonts w:ascii="Arial" w:cs="Arial" w:eastAsia="Arial" w:hAnsi="Arial"/>
          <w:sz w:val="18"/>
          <w:szCs w:val="18"/>
          <w:color w:val="auto"/>
        </w:rPr>
        <w:t>TREE.COM, INC.</w:t>
      </w:r>
    </w:p>
    <w:p>
      <w:pPr>
        <w:spacing w:after="0" w:line="252" w:lineRule="exact"/>
        <w:rPr>
          <w:sz w:val="20"/>
          <w:szCs w:val="20"/>
          <w:color w:val="auto"/>
        </w:rPr>
      </w:pPr>
    </w:p>
    <w:p>
      <w:pPr>
        <w:ind w:left="5380"/>
        <w:spacing w:after="0"/>
        <w:rPr>
          <w:sz w:val="20"/>
          <w:szCs w:val="20"/>
          <w:color w:val="auto"/>
        </w:rPr>
      </w:pPr>
      <w:r>
        <w:rPr>
          <w:rFonts w:ascii="Arial" w:cs="Arial" w:eastAsia="Arial" w:hAnsi="Arial"/>
          <w:sz w:val="18"/>
          <w:szCs w:val="18"/>
          <w:color w:val="auto"/>
        </w:rPr>
        <w:t>/s/ CHRIS HAYEK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3412490</wp:posOffset>
            </wp:positionH>
            <wp:positionV relativeFrom="paragraph">
              <wp:posOffset>71120</wp:posOffset>
            </wp:positionV>
            <wp:extent cx="3627755"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3627755" cy="8890"/>
                    </a:xfrm>
                    <a:prstGeom prst="rect">
                      <a:avLst/>
                    </a:prstGeom>
                    <a:noFill/>
                  </pic:spPr>
                </pic:pic>
              </a:graphicData>
            </a:graphic>
          </wp:anchor>
        </w:drawing>
      </w:r>
    </w:p>
    <w:p>
      <w:pPr>
        <w:spacing w:after="0" w:line="178" w:lineRule="exact"/>
        <w:rPr>
          <w:sz w:val="20"/>
          <w:szCs w:val="20"/>
          <w:color w:val="auto"/>
        </w:rPr>
      </w:pPr>
    </w:p>
    <w:p>
      <w:pPr>
        <w:ind w:left="5380"/>
        <w:spacing w:after="0"/>
        <w:rPr>
          <w:sz w:val="20"/>
          <w:szCs w:val="20"/>
          <w:color w:val="auto"/>
        </w:rPr>
      </w:pPr>
      <w:r>
        <w:rPr>
          <w:rFonts w:ascii="Arial" w:cs="Arial" w:eastAsia="Arial" w:hAnsi="Arial"/>
          <w:sz w:val="18"/>
          <w:szCs w:val="18"/>
          <w:color w:val="auto"/>
        </w:rPr>
        <w:t>Name: Chris Hayek</w:t>
      </w:r>
    </w:p>
    <w:p>
      <w:pPr>
        <w:spacing w:after="0" w:line="15" w:lineRule="exact"/>
        <w:rPr>
          <w:sz w:val="20"/>
          <w:szCs w:val="20"/>
          <w:color w:val="auto"/>
        </w:rPr>
      </w:pPr>
    </w:p>
    <w:p>
      <w:pPr>
        <w:ind w:left="5380"/>
        <w:spacing w:after="0"/>
        <w:tabs>
          <w:tab w:leader="none" w:pos="590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SVP-CAO</w:t>
      </w:r>
    </w:p>
    <w:p>
      <w:pPr>
        <w:spacing w:after="0" w:line="246" w:lineRule="exact"/>
        <w:rPr>
          <w:sz w:val="20"/>
          <w:szCs w:val="20"/>
          <w:color w:val="auto"/>
        </w:rPr>
      </w:pPr>
    </w:p>
    <w:p>
      <w:pPr>
        <w:ind w:left="5380"/>
        <w:spacing w:after="0"/>
        <w:rPr>
          <w:sz w:val="20"/>
          <w:szCs w:val="20"/>
          <w:color w:val="auto"/>
        </w:rPr>
      </w:pPr>
      <w:r>
        <w:rPr>
          <w:rFonts w:ascii="Arial" w:cs="Arial" w:eastAsia="Arial" w:hAnsi="Arial"/>
          <w:sz w:val="16"/>
          <w:szCs w:val="16"/>
          <w:color w:val="auto"/>
        </w:rPr>
        <w:t>LENDINGTREE HOLDINGS CORP.</w:t>
      </w:r>
    </w:p>
    <w:p>
      <w:pPr>
        <w:spacing w:after="0" w:line="275" w:lineRule="exact"/>
        <w:rPr>
          <w:sz w:val="20"/>
          <w:szCs w:val="20"/>
          <w:color w:val="auto"/>
        </w:rPr>
      </w:pPr>
    </w:p>
    <w:p>
      <w:pPr>
        <w:ind w:left="5380"/>
        <w:spacing w:after="0"/>
        <w:rPr>
          <w:sz w:val="20"/>
          <w:szCs w:val="20"/>
          <w:color w:val="auto"/>
        </w:rPr>
      </w:pPr>
      <w:r>
        <w:rPr>
          <w:rFonts w:ascii="Arial" w:cs="Arial" w:eastAsia="Arial" w:hAnsi="Arial"/>
          <w:sz w:val="18"/>
          <w:szCs w:val="18"/>
          <w:color w:val="auto"/>
        </w:rPr>
        <w:t>/s/ DEBRA ASHLEY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3412490</wp:posOffset>
            </wp:positionH>
            <wp:positionV relativeFrom="paragraph">
              <wp:posOffset>71120</wp:posOffset>
            </wp:positionV>
            <wp:extent cx="3627755"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3627755" cy="8890"/>
                    </a:xfrm>
                    <a:prstGeom prst="rect">
                      <a:avLst/>
                    </a:prstGeom>
                    <a:noFill/>
                  </pic:spPr>
                </pic:pic>
              </a:graphicData>
            </a:graphic>
          </wp:anchor>
        </w:drawing>
      </w:r>
    </w:p>
    <w:p>
      <w:pPr>
        <w:spacing w:after="0" w:line="178" w:lineRule="exact"/>
        <w:rPr>
          <w:sz w:val="20"/>
          <w:szCs w:val="20"/>
          <w:color w:val="auto"/>
        </w:rPr>
      </w:pPr>
    </w:p>
    <w:p>
      <w:pPr>
        <w:ind w:left="5380"/>
        <w:spacing w:after="0"/>
        <w:rPr>
          <w:sz w:val="20"/>
          <w:szCs w:val="20"/>
          <w:color w:val="auto"/>
        </w:rPr>
      </w:pPr>
      <w:r>
        <w:rPr>
          <w:rFonts w:ascii="Arial" w:cs="Arial" w:eastAsia="Arial" w:hAnsi="Arial"/>
          <w:sz w:val="18"/>
          <w:szCs w:val="18"/>
          <w:color w:val="auto"/>
        </w:rPr>
        <w:t>Name: Debra Ashley</w:t>
      </w:r>
    </w:p>
    <w:p>
      <w:pPr>
        <w:spacing w:after="0" w:line="15" w:lineRule="exact"/>
        <w:rPr>
          <w:sz w:val="20"/>
          <w:szCs w:val="20"/>
          <w:color w:val="auto"/>
        </w:rPr>
      </w:pPr>
    </w:p>
    <w:p>
      <w:pPr>
        <w:ind w:left="5380"/>
        <w:spacing w:after="0"/>
        <w:tabs>
          <w:tab w:leader="none" w:pos="590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5"/>
          <w:szCs w:val="15"/>
          <w:color w:val="auto"/>
        </w:rPr>
        <w:t>Asst. Corp. Secretary</w:t>
      </w:r>
    </w:p>
    <w:p>
      <w:pPr>
        <w:spacing w:after="0" w:line="246" w:lineRule="exact"/>
        <w:rPr>
          <w:sz w:val="20"/>
          <w:szCs w:val="20"/>
          <w:color w:val="auto"/>
        </w:rPr>
      </w:pPr>
    </w:p>
    <w:p>
      <w:pPr>
        <w:ind w:left="5380"/>
        <w:spacing w:after="0"/>
        <w:rPr>
          <w:sz w:val="20"/>
          <w:szCs w:val="20"/>
          <w:color w:val="auto"/>
        </w:rPr>
      </w:pPr>
      <w:r>
        <w:rPr>
          <w:rFonts w:ascii="Arial" w:cs="Arial" w:eastAsia="Arial" w:hAnsi="Arial"/>
          <w:sz w:val="18"/>
          <w:szCs w:val="18"/>
          <w:color w:val="auto"/>
        </w:rPr>
        <w:t>SHAREHOLDER</w:t>
      </w:r>
    </w:p>
    <w:p>
      <w:pPr>
        <w:spacing w:after="0" w:line="252" w:lineRule="exact"/>
        <w:rPr>
          <w:sz w:val="20"/>
          <w:szCs w:val="20"/>
          <w:color w:val="auto"/>
        </w:rPr>
      </w:pPr>
    </w:p>
    <w:p>
      <w:pPr>
        <w:ind w:left="5380"/>
        <w:spacing w:after="0"/>
        <w:rPr>
          <w:sz w:val="20"/>
          <w:szCs w:val="20"/>
          <w:color w:val="auto"/>
        </w:rPr>
      </w:pPr>
      <w:r>
        <w:rPr>
          <w:rFonts w:ascii="Arial" w:cs="Arial" w:eastAsia="Arial" w:hAnsi="Arial"/>
          <w:sz w:val="18"/>
          <w:szCs w:val="18"/>
          <w:color w:val="auto"/>
        </w:rPr>
        <w:t>/s/ DOUGLAS R. LEBDA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3412490</wp:posOffset>
            </wp:positionH>
            <wp:positionV relativeFrom="paragraph">
              <wp:posOffset>71120</wp:posOffset>
            </wp:positionV>
            <wp:extent cx="3627755"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3627755" cy="8890"/>
                    </a:xfrm>
                    <a:prstGeom prst="rect">
                      <a:avLst/>
                    </a:prstGeom>
                    <a:noFill/>
                  </pic:spPr>
                </pic:pic>
              </a:graphicData>
            </a:graphic>
          </wp:anchor>
        </w:drawing>
      </w:r>
    </w:p>
    <w:p>
      <w:pPr>
        <w:spacing w:after="0" w:line="178" w:lineRule="exact"/>
        <w:rPr>
          <w:sz w:val="20"/>
          <w:szCs w:val="20"/>
          <w:color w:val="auto"/>
        </w:rPr>
      </w:pPr>
    </w:p>
    <w:p>
      <w:pPr>
        <w:ind w:left="5380"/>
        <w:spacing w:after="0"/>
        <w:rPr>
          <w:sz w:val="20"/>
          <w:szCs w:val="20"/>
          <w:color w:val="auto"/>
        </w:rPr>
      </w:pPr>
      <w:r>
        <w:rPr>
          <w:rFonts w:ascii="Arial" w:cs="Arial" w:eastAsia="Arial" w:hAnsi="Arial"/>
          <w:sz w:val="18"/>
          <w:szCs w:val="18"/>
          <w:color w:val="auto"/>
        </w:rPr>
        <w:t>Douglas R. Lebda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-224790</wp:posOffset>
            </wp:positionH>
            <wp:positionV relativeFrom="paragraph">
              <wp:posOffset>77470</wp:posOffset>
            </wp:positionV>
            <wp:extent cx="7250430" cy="215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859"/>
          </w:cols>
          <w:pgMar w:left="600" w:top="131" w:right="1440" w:bottom="1440" w:gutter="0" w:footer="0" w:header="0"/>
        </w:sectPr>
      </w:pPr>
    </w:p>
    <w:bookmarkStart w:id="65" w:name="page66"/>
    <w:bookmarkEnd w:id="65"/>
    <w:p>
      <w:pPr>
        <w:spacing w:after="0"/>
        <w:rPr>
          <w:sz w:val="20"/>
          <w:szCs w:val="20"/>
          <w:color w:val="auto"/>
        </w:rPr>
      </w:pPr>
      <w:r>
        <w:rPr>
          <w:rFonts w:ascii="Arial" w:cs="Arial" w:eastAsia="Arial" w:hAnsi="Arial"/>
          <w:sz w:val="22"/>
          <w:szCs w:val="22"/>
          <w:color w:val="auto"/>
        </w:rPr>
        <w:t>QuickLinks</w:t>
      </w:r>
    </w:p>
    <w:p>
      <w:pPr>
        <w:spacing w:after="0" w:line="219" w:lineRule="exact"/>
        <w:rPr>
          <w:sz w:val="20"/>
          <w:szCs w:val="20"/>
          <w:color w:val="auto"/>
        </w:rPr>
      </w:pPr>
    </w:p>
    <w:p>
      <w:pPr>
        <w:jc w:val="right"/>
        <w:ind w:right="8799"/>
        <w:spacing w:after="0"/>
        <w:rPr>
          <w:rFonts w:ascii="Arial" w:cs="Arial" w:eastAsia="Arial" w:hAnsi="Arial"/>
          <w:sz w:val="18"/>
          <w:szCs w:val="18"/>
          <w:u w:val="single" w:color="auto"/>
          <w:color w:val="0000EE"/>
        </w:rPr>
      </w:pPr>
      <w:hyperlink w:anchor="page64">
        <w:r>
          <w:rPr>
            <w:rFonts w:ascii="Arial" w:cs="Arial" w:eastAsia="Arial" w:hAnsi="Arial"/>
            <w:sz w:val="18"/>
            <w:szCs w:val="18"/>
            <w:u w:val="single" w:color="auto"/>
            <w:color w:val="0000EE"/>
          </w:rPr>
          <w:t>Exhibit 10.4</w:t>
        </w:r>
      </w:hyperlink>
    </w:p>
    <w:p>
      <w:pPr>
        <w:sectPr>
          <w:pgSz w:w="11900" w:h="16838" w:orient="portrait"/>
          <w:cols w:equalWidth="0" w:num="1">
            <w:col w:w="10219"/>
          </w:cols>
          <w:pgMar w:left="240" w:top="820" w:right="1440" w:bottom="1440" w:gutter="0" w:footer="0" w:header="0"/>
        </w:sectPr>
      </w:pPr>
    </w:p>
    <w:bookmarkStart w:id="66" w:name="page67"/>
    <w:bookmarkEnd w:id="66"/>
    <w:p>
      <w:pPr>
        <w:spacing w:after="0"/>
        <w:rPr>
          <w:rFonts w:ascii="Arial" w:cs="Arial" w:eastAsia="Arial" w:hAnsi="Arial"/>
          <w:sz w:val="22"/>
          <w:szCs w:val="22"/>
          <w:color w:val="0000EE"/>
        </w:rPr>
      </w:pPr>
      <w:hyperlink w:anchor="page68">
        <w:r>
          <w:rPr>
            <w:rFonts w:ascii="Arial" w:cs="Arial" w:eastAsia="Arial" w:hAnsi="Arial"/>
            <w:sz w:val="22"/>
            <w:szCs w:val="22"/>
            <w:u w:val="single" w:color="auto"/>
            <w:color w:val="0000EE"/>
          </w:rPr>
          <w:t>QuickLinks</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22"/>
          <w:szCs w:val="22"/>
          <w:color w:val="000000"/>
        </w:rPr>
        <w:t>Click here to rapidly navigate through this document</w:t>
      </w:r>
    </w:p>
    <w:p>
      <w:pPr>
        <w:spacing w:after="0" w:line="200" w:lineRule="exact"/>
        <w:rPr>
          <w:sz w:val="20"/>
          <w:szCs w:val="20"/>
          <w:color w:val="auto"/>
        </w:rPr>
      </w:pPr>
    </w:p>
    <w:p>
      <w:pPr>
        <w:spacing w:after="0" w:line="229"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CERTIFICATION OF THE PRINCIPAL EXECUTIVE OFFICER</w:t>
      </w:r>
    </w:p>
    <w:p>
      <w:pPr>
        <w:spacing w:after="0" w:line="2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PURSUANT TO RULE 13a-14(a) OR RULE 15d-14(a) OF THE</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SECURITIES EXCHANGE ACT OF 1934,</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I, Douglas R. Lebda, certify that:</w:t>
      </w:r>
    </w:p>
    <w:p>
      <w:pPr>
        <w:spacing w:after="0" w:line="239" w:lineRule="exact"/>
        <w:rPr>
          <w:sz w:val="20"/>
          <w:szCs w:val="20"/>
          <w:color w:val="auto"/>
        </w:rPr>
      </w:pPr>
    </w:p>
    <w:p>
      <w:pPr>
        <w:ind w:left="540" w:hanging="532"/>
        <w:spacing w:after="0"/>
        <w:tabs>
          <w:tab w:leader="none" w:pos="5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for the period ended September 30, 2010 of Tree.com, Inc.;</w:t>
      </w:r>
    </w:p>
    <w:p>
      <w:pPr>
        <w:spacing w:after="0" w:line="252" w:lineRule="exact"/>
        <w:rPr>
          <w:rFonts w:ascii="Arial" w:cs="Arial" w:eastAsia="Arial" w:hAnsi="Arial"/>
          <w:sz w:val="18"/>
          <w:szCs w:val="18"/>
          <w:color w:val="auto"/>
        </w:rPr>
      </w:pPr>
    </w:p>
    <w:p>
      <w:pPr>
        <w:ind w:left="540" w:right="120" w:hanging="532"/>
        <w:spacing w:after="0" w:line="370" w:lineRule="auto"/>
        <w:tabs>
          <w:tab w:leader="none" w:pos="540" w:val="left"/>
        </w:tabs>
        <w:numPr>
          <w:ilvl w:val="0"/>
          <w:numId w:val="16"/>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9" w:lineRule="exact"/>
        <w:rPr>
          <w:rFonts w:ascii="Arial" w:cs="Arial" w:eastAsia="Arial" w:hAnsi="Arial"/>
          <w:sz w:val="15"/>
          <w:szCs w:val="15"/>
          <w:color w:val="auto"/>
        </w:rPr>
      </w:pPr>
    </w:p>
    <w:p>
      <w:pPr>
        <w:ind w:left="540" w:right="580" w:hanging="532"/>
        <w:spacing w:after="0" w:line="332" w:lineRule="auto"/>
        <w:tabs>
          <w:tab w:leader="none" w:pos="540" w:val="left"/>
        </w:tabs>
        <w:numPr>
          <w:ilvl w:val="0"/>
          <w:numId w:val="16"/>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52" w:lineRule="exact"/>
        <w:rPr>
          <w:rFonts w:ascii="Arial" w:cs="Arial" w:eastAsia="Arial" w:hAnsi="Arial"/>
          <w:sz w:val="16"/>
          <w:szCs w:val="16"/>
          <w:color w:val="auto"/>
        </w:rPr>
      </w:pPr>
    </w:p>
    <w:p>
      <w:pPr>
        <w:ind w:left="540" w:right="200" w:hanging="532"/>
        <w:spacing w:after="0" w:line="259" w:lineRule="auto"/>
        <w:tabs>
          <w:tab w:leader="none" w:pos="5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0" w:lineRule="exact"/>
        <w:rPr>
          <w:rFonts w:ascii="Arial" w:cs="Arial" w:eastAsia="Arial" w:hAnsi="Arial"/>
          <w:sz w:val="18"/>
          <w:szCs w:val="18"/>
          <w:color w:val="auto"/>
        </w:rPr>
      </w:pPr>
    </w:p>
    <w:p>
      <w:pPr>
        <w:spacing w:after="0" w:line="237" w:lineRule="exact"/>
        <w:rPr>
          <w:rFonts w:ascii="Arial" w:cs="Arial" w:eastAsia="Arial" w:hAnsi="Arial"/>
          <w:sz w:val="18"/>
          <w:szCs w:val="18"/>
          <w:color w:val="auto"/>
        </w:rPr>
      </w:pPr>
    </w:p>
    <w:p>
      <w:pPr>
        <w:ind w:left="1080" w:right="320" w:hanging="532"/>
        <w:spacing w:after="0" w:line="259" w:lineRule="auto"/>
        <w:tabs>
          <w:tab w:leader="none" w:pos="1080" w:val="left"/>
        </w:tabs>
        <w:numPr>
          <w:ilvl w:val="1"/>
          <w:numId w:val="1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7" w:lineRule="exact"/>
        <w:rPr>
          <w:rFonts w:ascii="Arial" w:cs="Arial" w:eastAsia="Arial" w:hAnsi="Arial"/>
          <w:sz w:val="18"/>
          <w:szCs w:val="18"/>
          <w:color w:val="auto"/>
        </w:rPr>
      </w:pPr>
    </w:p>
    <w:p>
      <w:pPr>
        <w:ind w:left="1080" w:right="20" w:hanging="532"/>
        <w:spacing w:after="0" w:line="259" w:lineRule="auto"/>
        <w:tabs>
          <w:tab w:leader="none" w:pos="1080" w:val="left"/>
        </w:tabs>
        <w:numPr>
          <w:ilvl w:val="1"/>
          <w:numId w:val="1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7" w:lineRule="exact"/>
        <w:rPr>
          <w:rFonts w:ascii="Arial" w:cs="Arial" w:eastAsia="Arial" w:hAnsi="Arial"/>
          <w:sz w:val="18"/>
          <w:szCs w:val="18"/>
          <w:color w:val="auto"/>
        </w:rPr>
      </w:pPr>
    </w:p>
    <w:p>
      <w:pPr>
        <w:jc w:val="both"/>
        <w:ind w:left="1080" w:right="800" w:hanging="532"/>
        <w:spacing w:after="0" w:line="370" w:lineRule="auto"/>
        <w:tabs>
          <w:tab w:leader="none" w:pos="1080" w:val="left"/>
        </w:tabs>
        <w:numPr>
          <w:ilvl w:val="1"/>
          <w:numId w:val="16"/>
        </w:numPr>
        <w:rPr>
          <w:rFonts w:ascii="Arial" w:cs="Arial" w:eastAsia="Arial" w:hAnsi="Arial"/>
          <w:sz w:val="15"/>
          <w:szCs w:val="15"/>
          <w:color w:val="auto"/>
        </w:rPr>
      </w:pPr>
      <w:r>
        <w:rPr>
          <w:rFonts w:ascii="Arial" w:cs="Arial" w:eastAsia="Arial" w:hAnsi="Arial"/>
          <w:sz w:val="15"/>
          <w:szCs w:val="15"/>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3" w:lineRule="exact"/>
        <w:rPr>
          <w:rFonts w:ascii="Arial" w:cs="Arial" w:eastAsia="Arial" w:hAnsi="Arial"/>
          <w:sz w:val="15"/>
          <w:szCs w:val="15"/>
          <w:color w:val="auto"/>
        </w:rPr>
      </w:pPr>
    </w:p>
    <w:p>
      <w:pPr>
        <w:ind w:left="1080" w:right="60" w:hanging="532"/>
        <w:spacing w:after="0" w:line="259" w:lineRule="auto"/>
        <w:tabs>
          <w:tab w:leader="none" w:pos="1080" w:val="left"/>
        </w:tabs>
        <w:numPr>
          <w:ilvl w:val="1"/>
          <w:numId w:val="1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0" w:lineRule="exact"/>
        <w:rPr>
          <w:rFonts w:ascii="Arial" w:cs="Arial" w:eastAsia="Arial" w:hAnsi="Arial"/>
          <w:sz w:val="18"/>
          <w:szCs w:val="18"/>
          <w:color w:val="auto"/>
        </w:rPr>
      </w:pPr>
    </w:p>
    <w:p>
      <w:pPr>
        <w:spacing w:after="0" w:line="223" w:lineRule="exact"/>
        <w:rPr>
          <w:rFonts w:ascii="Arial" w:cs="Arial" w:eastAsia="Arial" w:hAnsi="Arial"/>
          <w:sz w:val="18"/>
          <w:szCs w:val="18"/>
          <w:color w:val="auto"/>
        </w:rPr>
      </w:pPr>
    </w:p>
    <w:p>
      <w:pPr>
        <w:ind w:left="540" w:right="520" w:hanging="532"/>
        <w:spacing w:after="0" w:line="332" w:lineRule="auto"/>
        <w:tabs>
          <w:tab w:leader="none" w:pos="540" w:val="left"/>
        </w:tabs>
        <w:numPr>
          <w:ilvl w:val="0"/>
          <w:numId w:val="16"/>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68" w:lineRule="exact"/>
        <w:rPr>
          <w:rFonts w:ascii="Arial" w:cs="Arial" w:eastAsia="Arial" w:hAnsi="Arial"/>
          <w:sz w:val="16"/>
          <w:szCs w:val="16"/>
          <w:color w:val="auto"/>
        </w:rPr>
      </w:pPr>
    </w:p>
    <w:p>
      <w:pPr>
        <w:ind w:left="1080" w:right="240" w:hanging="532"/>
        <w:spacing w:after="0" w:line="332" w:lineRule="auto"/>
        <w:tabs>
          <w:tab w:leader="none" w:pos="1080" w:val="left"/>
        </w:tabs>
        <w:numPr>
          <w:ilvl w:val="1"/>
          <w:numId w:val="16"/>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6" w:lineRule="exact"/>
        <w:rPr>
          <w:rFonts w:ascii="Arial" w:cs="Arial" w:eastAsia="Arial" w:hAnsi="Arial"/>
          <w:sz w:val="16"/>
          <w:szCs w:val="16"/>
          <w:color w:val="auto"/>
        </w:rPr>
      </w:pPr>
    </w:p>
    <w:p>
      <w:pPr>
        <w:ind w:left="1080" w:right="220" w:hanging="532"/>
        <w:spacing w:after="0" w:line="268" w:lineRule="auto"/>
        <w:tabs>
          <w:tab w:leader="none" w:pos="1080" w:val="left"/>
        </w:tabs>
        <w:numPr>
          <w:ilvl w:val="1"/>
          <w:numId w:val="1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35" w:lineRule="exact"/>
        <w:rPr>
          <w:sz w:val="20"/>
          <w:szCs w:val="20"/>
          <w:color w:val="auto"/>
        </w:rPr>
      </w:pPr>
    </w:p>
    <w:p>
      <w:pPr>
        <w:spacing w:after="0"/>
        <w:tabs>
          <w:tab w:leader="none" w:pos="5900" w:val="left"/>
        </w:tabs>
        <w:rPr>
          <w:sz w:val="20"/>
          <w:szCs w:val="20"/>
          <w:color w:val="auto"/>
        </w:rPr>
      </w:pPr>
      <w:r>
        <w:rPr>
          <w:rFonts w:ascii="Arial" w:cs="Arial" w:eastAsia="Arial" w:hAnsi="Arial"/>
          <w:sz w:val="18"/>
          <w:szCs w:val="18"/>
          <w:color w:val="auto"/>
        </w:rPr>
        <w:t>Dated: November 12, 2010</w:t>
      </w:r>
      <w:r>
        <w:rPr>
          <w:sz w:val="20"/>
          <w:szCs w:val="20"/>
          <w:color w:val="auto"/>
        </w:rPr>
        <w:tab/>
      </w:r>
      <w:r>
        <w:rPr>
          <w:rFonts w:ascii="Arial" w:cs="Arial" w:eastAsia="Arial" w:hAnsi="Arial"/>
          <w:sz w:val="16"/>
          <w:szCs w:val="16"/>
          <w:color w:val="auto"/>
        </w:rPr>
        <w:t>/s/ DOUGLAS R. LEBDA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2912110</wp:posOffset>
            </wp:positionH>
            <wp:positionV relativeFrom="paragraph">
              <wp:posOffset>62230</wp:posOffset>
            </wp:positionV>
            <wp:extent cx="2907030"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2907030" cy="8890"/>
                    </a:xfrm>
                    <a:prstGeom prst="rect">
                      <a:avLst/>
                    </a:prstGeom>
                    <a:noFill/>
                  </pic:spPr>
                </pic:pic>
              </a:graphicData>
            </a:graphic>
          </wp:anchor>
        </w:drawing>
      </w:r>
    </w:p>
    <w:p>
      <w:pPr>
        <w:spacing w:after="0" w:line="178" w:lineRule="exact"/>
        <w:rPr>
          <w:sz w:val="20"/>
          <w:szCs w:val="20"/>
          <w:color w:val="auto"/>
        </w:rPr>
      </w:pPr>
    </w:p>
    <w:p>
      <w:pPr>
        <w:jc w:val="center"/>
        <w:ind w:left="2300"/>
        <w:spacing w:after="0"/>
        <w:rPr>
          <w:sz w:val="20"/>
          <w:szCs w:val="20"/>
          <w:color w:val="auto"/>
        </w:rPr>
      </w:pPr>
      <w:r>
        <w:rPr>
          <w:rFonts w:ascii="Arial" w:cs="Arial" w:eastAsia="Arial" w:hAnsi="Arial"/>
          <w:sz w:val="18"/>
          <w:szCs w:val="18"/>
          <w:color w:val="auto"/>
        </w:rPr>
        <w:t>Douglas R. Lebda</w:t>
      </w:r>
    </w:p>
    <w:p>
      <w:pPr>
        <w:spacing w:after="0" w:line="15" w:lineRule="exact"/>
        <w:rPr>
          <w:sz w:val="20"/>
          <w:szCs w:val="20"/>
          <w:color w:val="auto"/>
        </w:rPr>
      </w:pPr>
    </w:p>
    <w:p>
      <w:pPr>
        <w:jc w:val="center"/>
        <w:ind w:left="2300"/>
        <w:spacing w:after="0"/>
        <w:rPr>
          <w:sz w:val="20"/>
          <w:szCs w:val="20"/>
          <w:color w:val="auto"/>
        </w:rPr>
      </w:pPr>
      <w:r>
        <w:rPr>
          <w:rFonts w:ascii="Arial" w:cs="Arial" w:eastAsia="Arial" w:hAnsi="Arial"/>
          <w:sz w:val="18"/>
          <w:szCs w:val="18"/>
          <w:i w:val="1"/>
          <w:iCs w:val="1"/>
          <w:color w:val="auto"/>
        </w:rPr>
        <w:t>Chairman and Chief Executive Officer</w:t>
      </w:r>
    </w:p>
    <w:p>
      <w:pPr>
        <w:spacing w:after="0" w:line="9" w:lineRule="exact"/>
        <w:rPr>
          <w:sz w:val="20"/>
          <w:szCs w:val="20"/>
          <w:color w:val="auto"/>
        </w:rPr>
      </w:pPr>
    </w:p>
    <w:p>
      <w:pPr>
        <w:jc w:val="center"/>
        <w:ind w:left="2300"/>
        <w:spacing w:after="0"/>
        <w:rPr>
          <w:sz w:val="20"/>
          <w:szCs w:val="20"/>
          <w:color w:val="auto"/>
        </w:rPr>
      </w:pPr>
      <w:r>
        <w:rPr>
          <w:rFonts w:ascii="Arial" w:cs="Arial" w:eastAsia="Arial" w:hAnsi="Arial"/>
          <w:sz w:val="18"/>
          <w:szCs w:val="18"/>
          <w:i w:val="1"/>
          <w:iCs w:val="1"/>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50430" cy="215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361" w:right="279" w:bottom="1440" w:gutter="0" w:footer="0" w:header="0"/>
        </w:sectPr>
      </w:pPr>
    </w:p>
    <w:bookmarkStart w:id="67" w:name="page68"/>
    <w:bookmarkEnd w:id="67"/>
    <w:p>
      <w:pPr>
        <w:spacing w:after="0"/>
        <w:rPr>
          <w:sz w:val="20"/>
          <w:szCs w:val="20"/>
          <w:color w:val="auto"/>
        </w:rPr>
      </w:pPr>
      <w:r>
        <w:rPr>
          <w:rFonts w:ascii="Arial" w:cs="Arial" w:eastAsia="Arial" w:hAnsi="Arial"/>
          <w:sz w:val="22"/>
          <w:szCs w:val="22"/>
          <w:color w:val="auto"/>
        </w:rPr>
        <w:t>QuickLinks</w:t>
      </w:r>
    </w:p>
    <w:p>
      <w:pPr>
        <w:spacing w:after="0" w:line="219" w:lineRule="exact"/>
        <w:rPr>
          <w:sz w:val="20"/>
          <w:szCs w:val="20"/>
          <w:color w:val="auto"/>
        </w:rPr>
      </w:pPr>
    </w:p>
    <w:p>
      <w:pPr>
        <w:ind w:left="540"/>
        <w:spacing w:after="0"/>
        <w:rPr>
          <w:rFonts w:ascii="Arial" w:cs="Arial" w:eastAsia="Arial" w:hAnsi="Arial"/>
          <w:sz w:val="18"/>
          <w:szCs w:val="18"/>
          <w:u w:val="single" w:color="auto"/>
          <w:color w:val="0000EE"/>
        </w:rPr>
      </w:pPr>
      <w:hyperlink w:anchor="page67">
        <w:r>
          <w:rPr>
            <w:rFonts w:ascii="Arial" w:cs="Arial" w:eastAsia="Arial" w:hAnsi="Arial"/>
            <w:sz w:val="18"/>
            <w:szCs w:val="18"/>
            <w:u w:val="single" w:color="auto"/>
            <w:color w:val="0000EE"/>
          </w:rPr>
          <w:t>Exhibit 31.1</w:t>
        </w:r>
      </w:hyperlink>
    </w:p>
    <w:p>
      <w:pPr>
        <w:spacing w:after="0" w:line="225" w:lineRule="exact"/>
        <w:rPr>
          <w:sz w:val="20"/>
          <w:szCs w:val="20"/>
          <w:color w:val="auto"/>
        </w:rPr>
      </w:pPr>
    </w:p>
    <w:p>
      <w:pPr>
        <w:spacing w:after="0" w:line="268" w:lineRule="auto"/>
        <w:rPr>
          <w:rFonts w:ascii="Arial" w:cs="Arial" w:eastAsia="Arial" w:hAnsi="Arial"/>
          <w:sz w:val="18"/>
          <w:szCs w:val="18"/>
          <w:u w:val="single" w:color="auto"/>
          <w:color w:val="0000EE"/>
        </w:rPr>
      </w:pPr>
      <w:hyperlink w:anchor="page67">
        <w:r>
          <w:rPr>
            <w:rFonts w:ascii="Arial" w:cs="Arial" w:eastAsia="Arial" w:hAnsi="Arial"/>
            <w:sz w:val="18"/>
            <w:szCs w:val="18"/>
            <w:u w:val="single" w:color="auto"/>
            <w:color w:val="0000EE"/>
          </w:rPr>
          <w:t>CERTIFICATION OF THE PRINCIPAL EXECUTIVE OFFICER PURSUANT TO RULE 13a-14(a) OR RULE 15d-14(a) OF THE SECURITIES EXCHANGE</w:t>
        </w:r>
      </w:hyperlink>
      <w:r>
        <w:rPr>
          <w:rFonts w:ascii="Arial" w:cs="Arial" w:eastAsia="Arial" w:hAnsi="Arial"/>
          <w:sz w:val="18"/>
          <w:szCs w:val="18"/>
          <w:u w:val="single" w:color="auto"/>
          <w:color w:val="0000EE"/>
        </w:rPr>
        <w:t xml:space="preserve"> </w:t>
      </w:r>
      <w:hyperlink w:anchor="page67">
        <w:r>
          <w:rPr>
            <w:rFonts w:ascii="Arial" w:cs="Arial" w:eastAsia="Arial" w:hAnsi="Arial"/>
            <w:sz w:val="18"/>
            <w:szCs w:val="18"/>
            <w:u w:val="single" w:color="auto"/>
            <w:color w:val="0000EE"/>
          </w:rPr>
          <w:t>ACT OF 1934, AS ADOPTED PURSUANT TO SECTION 302 OF THE SARBANES-OXLEY ACT OF 2002</w:t>
        </w:r>
      </w:hyperlink>
    </w:p>
    <w:p>
      <w:pPr>
        <w:sectPr>
          <w:pgSz w:w="11900" w:h="16838" w:orient="portrait"/>
          <w:cols w:equalWidth="0" w:num="1">
            <w:col w:w="11380"/>
          </w:cols>
          <w:pgMar w:left="240" w:top="820" w:right="279" w:bottom="1440" w:gutter="0" w:footer="0" w:header="0"/>
        </w:sectPr>
      </w:pPr>
    </w:p>
    <w:bookmarkStart w:id="68" w:name="page69"/>
    <w:bookmarkEnd w:id="68"/>
    <w:p>
      <w:pPr>
        <w:spacing w:after="0"/>
        <w:rPr>
          <w:rFonts w:ascii="Arial" w:cs="Arial" w:eastAsia="Arial" w:hAnsi="Arial"/>
          <w:sz w:val="22"/>
          <w:szCs w:val="22"/>
          <w:color w:val="0000EE"/>
        </w:rPr>
      </w:pPr>
      <w:hyperlink w:anchor="page70">
        <w:r>
          <w:rPr>
            <w:rFonts w:ascii="Arial" w:cs="Arial" w:eastAsia="Arial" w:hAnsi="Arial"/>
            <w:sz w:val="22"/>
            <w:szCs w:val="22"/>
            <w:u w:val="single" w:color="auto"/>
            <w:color w:val="0000EE"/>
          </w:rPr>
          <w:t>QuickLinks</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22"/>
          <w:szCs w:val="22"/>
          <w:color w:val="000000"/>
        </w:rPr>
        <w:t>Click here to rapidly navigate through this document</w:t>
      </w:r>
    </w:p>
    <w:p>
      <w:pPr>
        <w:spacing w:after="0" w:line="200" w:lineRule="exact"/>
        <w:rPr>
          <w:sz w:val="20"/>
          <w:szCs w:val="20"/>
          <w:color w:val="auto"/>
        </w:rPr>
      </w:pPr>
    </w:p>
    <w:p>
      <w:pPr>
        <w:spacing w:after="0" w:line="229"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CERTIFICATION OF THE PRINCIPAL FINANCIAL OFFICER</w:t>
      </w:r>
    </w:p>
    <w:p>
      <w:pPr>
        <w:spacing w:after="0" w:line="2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PURSUANT TO RULE 13a-14(a) OR RULE 15d-14(a) OF THE</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SECURITIES EXCHANGE ACT OF 1934,</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I, Christopher R. Hayek, certify that:</w:t>
      </w:r>
    </w:p>
    <w:p>
      <w:pPr>
        <w:spacing w:after="0" w:line="239" w:lineRule="exact"/>
        <w:rPr>
          <w:sz w:val="20"/>
          <w:szCs w:val="20"/>
          <w:color w:val="auto"/>
        </w:rPr>
      </w:pPr>
    </w:p>
    <w:p>
      <w:pPr>
        <w:ind w:left="540" w:hanging="532"/>
        <w:spacing w:after="0"/>
        <w:tabs>
          <w:tab w:leader="none" w:pos="5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for the period ended September 30, 2010 of Tree.com, Inc.;</w:t>
      </w:r>
    </w:p>
    <w:p>
      <w:pPr>
        <w:spacing w:after="0" w:line="252" w:lineRule="exact"/>
        <w:rPr>
          <w:rFonts w:ascii="Arial" w:cs="Arial" w:eastAsia="Arial" w:hAnsi="Arial"/>
          <w:sz w:val="18"/>
          <w:szCs w:val="18"/>
          <w:color w:val="auto"/>
        </w:rPr>
      </w:pPr>
    </w:p>
    <w:p>
      <w:pPr>
        <w:ind w:left="540" w:right="120" w:hanging="532"/>
        <w:spacing w:after="0" w:line="370" w:lineRule="auto"/>
        <w:tabs>
          <w:tab w:leader="none" w:pos="540" w:val="left"/>
        </w:tabs>
        <w:numPr>
          <w:ilvl w:val="0"/>
          <w:numId w:val="17"/>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9" w:lineRule="exact"/>
        <w:rPr>
          <w:rFonts w:ascii="Arial" w:cs="Arial" w:eastAsia="Arial" w:hAnsi="Arial"/>
          <w:sz w:val="15"/>
          <w:szCs w:val="15"/>
          <w:color w:val="auto"/>
        </w:rPr>
      </w:pPr>
    </w:p>
    <w:p>
      <w:pPr>
        <w:ind w:left="540" w:right="580" w:hanging="532"/>
        <w:spacing w:after="0" w:line="332" w:lineRule="auto"/>
        <w:tabs>
          <w:tab w:leader="none" w:pos="540" w:val="left"/>
        </w:tabs>
        <w:numPr>
          <w:ilvl w:val="0"/>
          <w:numId w:val="17"/>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52" w:lineRule="exact"/>
        <w:rPr>
          <w:rFonts w:ascii="Arial" w:cs="Arial" w:eastAsia="Arial" w:hAnsi="Arial"/>
          <w:sz w:val="16"/>
          <w:szCs w:val="16"/>
          <w:color w:val="auto"/>
        </w:rPr>
      </w:pPr>
    </w:p>
    <w:p>
      <w:pPr>
        <w:ind w:left="540" w:right="200" w:hanging="532"/>
        <w:spacing w:after="0" w:line="259" w:lineRule="auto"/>
        <w:tabs>
          <w:tab w:leader="none" w:pos="5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0" w:lineRule="exact"/>
        <w:rPr>
          <w:rFonts w:ascii="Arial" w:cs="Arial" w:eastAsia="Arial" w:hAnsi="Arial"/>
          <w:sz w:val="18"/>
          <w:szCs w:val="18"/>
          <w:color w:val="auto"/>
        </w:rPr>
      </w:pPr>
    </w:p>
    <w:p>
      <w:pPr>
        <w:spacing w:after="0" w:line="237" w:lineRule="exact"/>
        <w:rPr>
          <w:rFonts w:ascii="Arial" w:cs="Arial" w:eastAsia="Arial" w:hAnsi="Arial"/>
          <w:sz w:val="18"/>
          <w:szCs w:val="18"/>
          <w:color w:val="auto"/>
        </w:rPr>
      </w:pPr>
    </w:p>
    <w:p>
      <w:pPr>
        <w:ind w:left="1080" w:right="320" w:hanging="532"/>
        <w:spacing w:after="0" w:line="259" w:lineRule="auto"/>
        <w:tabs>
          <w:tab w:leader="none" w:pos="1080" w:val="left"/>
        </w:tabs>
        <w:numPr>
          <w:ilvl w:val="1"/>
          <w:numId w:val="1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7" w:lineRule="exact"/>
        <w:rPr>
          <w:rFonts w:ascii="Arial" w:cs="Arial" w:eastAsia="Arial" w:hAnsi="Arial"/>
          <w:sz w:val="18"/>
          <w:szCs w:val="18"/>
          <w:color w:val="auto"/>
        </w:rPr>
      </w:pPr>
    </w:p>
    <w:p>
      <w:pPr>
        <w:ind w:left="1080" w:right="20" w:hanging="532"/>
        <w:spacing w:after="0" w:line="259" w:lineRule="auto"/>
        <w:tabs>
          <w:tab w:leader="none" w:pos="1080" w:val="left"/>
        </w:tabs>
        <w:numPr>
          <w:ilvl w:val="1"/>
          <w:numId w:val="1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7" w:lineRule="exact"/>
        <w:rPr>
          <w:rFonts w:ascii="Arial" w:cs="Arial" w:eastAsia="Arial" w:hAnsi="Arial"/>
          <w:sz w:val="18"/>
          <w:szCs w:val="18"/>
          <w:color w:val="auto"/>
        </w:rPr>
      </w:pPr>
    </w:p>
    <w:p>
      <w:pPr>
        <w:jc w:val="both"/>
        <w:ind w:left="1080" w:right="800" w:hanging="532"/>
        <w:spacing w:after="0" w:line="370" w:lineRule="auto"/>
        <w:tabs>
          <w:tab w:leader="none" w:pos="1080" w:val="left"/>
        </w:tabs>
        <w:numPr>
          <w:ilvl w:val="1"/>
          <w:numId w:val="17"/>
        </w:numPr>
        <w:rPr>
          <w:rFonts w:ascii="Arial" w:cs="Arial" w:eastAsia="Arial" w:hAnsi="Arial"/>
          <w:sz w:val="15"/>
          <w:szCs w:val="15"/>
          <w:color w:val="auto"/>
        </w:rPr>
      </w:pPr>
      <w:r>
        <w:rPr>
          <w:rFonts w:ascii="Arial" w:cs="Arial" w:eastAsia="Arial" w:hAnsi="Arial"/>
          <w:sz w:val="15"/>
          <w:szCs w:val="15"/>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3" w:lineRule="exact"/>
        <w:rPr>
          <w:rFonts w:ascii="Arial" w:cs="Arial" w:eastAsia="Arial" w:hAnsi="Arial"/>
          <w:sz w:val="15"/>
          <w:szCs w:val="15"/>
          <w:color w:val="auto"/>
        </w:rPr>
      </w:pPr>
    </w:p>
    <w:p>
      <w:pPr>
        <w:ind w:left="1080" w:right="60" w:hanging="532"/>
        <w:spacing w:after="0" w:line="259" w:lineRule="auto"/>
        <w:tabs>
          <w:tab w:leader="none" w:pos="1080" w:val="left"/>
        </w:tabs>
        <w:numPr>
          <w:ilvl w:val="1"/>
          <w:numId w:val="1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0" w:lineRule="exact"/>
        <w:rPr>
          <w:rFonts w:ascii="Arial" w:cs="Arial" w:eastAsia="Arial" w:hAnsi="Arial"/>
          <w:sz w:val="18"/>
          <w:szCs w:val="18"/>
          <w:color w:val="auto"/>
        </w:rPr>
      </w:pPr>
    </w:p>
    <w:p>
      <w:pPr>
        <w:spacing w:after="0" w:line="223" w:lineRule="exact"/>
        <w:rPr>
          <w:rFonts w:ascii="Arial" w:cs="Arial" w:eastAsia="Arial" w:hAnsi="Arial"/>
          <w:sz w:val="18"/>
          <w:szCs w:val="18"/>
          <w:color w:val="auto"/>
        </w:rPr>
      </w:pPr>
    </w:p>
    <w:p>
      <w:pPr>
        <w:ind w:left="540" w:right="520" w:hanging="532"/>
        <w:spacing w:after="0" w:line="332" w:lineRule="auto"/>
        <w:tabs>
          <w:tab w:leader="none" w:pos="540" w:val="left"/>
        </w:tabs>
        <w:numPr>
          <w:ilvl w:val="0"/>
          <w:numId w:val="17"/>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68" w:lineRule="exact"/>
        <w:rPr>
          <w:rFonts w:ascii="Arial" w:cs="Arial" w:eastAsia="Arial" w:hAnsi="Arial"/>
          <w:sz w:val="16"/>
          <w:szCs w:val="16"/>
          <w:color w:val="auto"/>
        </w:rPr>
      </w:pPr>
    </w:p>
    <w:p>
      <w:pPr>
        <w:ind w:left="1080" w:right="240" w:hanging="532"/>
        <w:spacing w:after="0" w:line="332" w:lineRule="auto"/>
        <w:tabs>
          <w:tab w:leader="none" w:pos="1080" w:val="left"/>
        </w:tabs>
        <w:numPr>
          <w:ilvl w:val="1"/>
          <w:numId w:val="17"/>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6" w:lineRule="exact"/>
        <w:rPr>
          <w:rFonts w:ascii="Arial" w:cs="Arial" w:eastAsia="Arial" w:hAnsi="Arial"/>
          <w:sz w:val="16"/>
          <w:szCs w:val="16"/>
          <w:color w:val="auto"/>
        </w:rPr>
      </w:pPr>
    </w:p>
    <w:p>
      <w:pPr>
        <w:ind w:left="1080" w:right="220" w:hanging="532"/>
        <w:spacing w:after="0" w:line="268" w:lineRule="auto"/>
        <w:tabs>
          <w:tab w:leader="none" w:pos="1080" w:val="left"/>
        </w:tabs>
        <w:numPr>
          <w:ilvl w:val="1"/>
          <w:numId w:val="1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86" w:lineRule="exact"/>
        <w:rPr>
          <w:sz w:val="20"/>
          <w:szCs w:val="20"/>
          <w:color w:val="auto"/>
        </w:rPr>
      </w:pPr>
    </w:p>
    <w:p>
      <w:pPr>
        <w:spacing w:after="0"/>
        <w:tabs>
          <w:tab w:leader="none" w:pos="5720" w:val="left"/>
        </w:tabs>
        <w:rPr>
          <w:sz w:val="20"/>
          <w:szCs w:val="20"/>
          <w:color w:val="auto"/>
        </w:rPr>
      </w:pPr>
      <w:r>
        <w:rPr>
          <w:rFonts w:ascii="Arial" w:cs="Arial" w:eastAsia="Arial" w:hAnsi="Arial"/>
          <w:sz w:val="18"/>
          <w:szCs w:val="18"/>
          <w:color w:val="auto"/>
        </w:rPr>
        <w:t>Dated: November 12, 2010</w:t>
      </w:r>
      <w:r>
        <w:rPr>
          <w:sz w:val="20"/>
          <w:szCs w:val="20"/>
          <w:color w:val="auto"/>
        </w:rPr>
        <w:tab/>
      </w:r>
      <w:r>
        <w:rPr>
          <w:rFonts w:ascii="Arial" w:cs="Arial" w:eastAsia="Arial" w:hAnsi="Arial"/>
          <w:sz w:val="16"/>
          <w:szCs w:val="16"/>
          <w:color w:val="auto"/>
        </w:rPr>
        <w:t>/s/ CHRISTOPHER R. HAYEK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2912110</wp:posOffset>
            </wp:positionH>
            <wp:positionV relativeFrom="paragraph">
              <wp:posOffset>62230</wp:posOffset>
            </wp:positionV>
            <wp:extent cx="2907030"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2907030" cy="8890"/>
                    </a:xfrm>
                    <a:prstGeom prst="rect">
                      <a:avLst/>
                    </a:prstGeom>
                    <a:noFill/>
                  </pic:spPr>
                </pic:pic>
              </a:graphicData>
            </a:graphic>
          </wp:anchor>
        </w:drawing>
      </w:r>
    </w:p>
    <w:p>
      <w:pPr>
        <w:spacing w:after="0" w:line="178" w:lineRule="exact"/>
        <w:rPr>
          <w:sz w:val="20"/>
          <w:szCs w:val="20"/>
          <w:color w:val="auto"/>
        </w:rPr>
      </w:pPr>
    </w:p>
    <w:p>
      <w:pPr>
        <w:jc w:val="center"/>
        <w:ind w:left="2300"/>
        <w:spacing w:after="0"/>
        <w:rPr>
          <w:sz w:val="20"/>
          <w:szCs w:val="20"/>
          <w:color w:val="auto"/>
        </w:rPr>
      </w:pPr>
      <w:r>
        <w:rPr>
          <w:rFonts w:ascii="Arial" w:cs="Arial" w:eastAsia="Arial" w:hAnsi="Arial"/>
          <w:sz w:val="18"/>
          <w:szCs w:val="18"/>
          <w:color w:val="auto"/>
        </w:rPr>
        <w:t>Christopher R. Hayek</w:t>
      </w:r>
    </w:p>
    <w:p>
      <w:pPr>
        <w:spacing w:after="0" w:line="15" w:lineRule="exact"/>
        <w:rPr>
          <w:sz w:val="20"/>
          <w:szCs w:val="20"/>
          <w:color w:val="auto"/>
        </w:rPr>
      </w:pPr>
    </w:p>
    <w:p>
      <w:pPr>
        <w:jc w:val="center"/>
        <w:ind w:left="2300"/>
        <w:spacing w:after="0"/>
        <w:rPr>
          <w:sz w:val="20"/>
          <w:szCs w:val="20"/>
          <w:color w:val="auto"/>
        </w:rPr>
      </w:pPr>
      <w:r>
        <w:rPr>
          <w:rFonts w:ascii="Arial" w:cs="Arial" w:eastAsia="Arial" w:hAnsi="Arial"/>
          <w:sz w:val="18"/>
          <w:szCs w:val="18"/>
          <w:i w:val="1"/>
          <w:iCs w:val="1"/>
          <w:color w:val="auto"/>
        </w:rPr>
        <w:t>Senior Vice President,</w:t>
      </w:r>
    </w:p>
    <w:p>
      <w:pPr>
        <w:spacing w:after="0" w:line="9" w:lineRule="exact"/>
        <w:rPr>
          <w:sz w:val="20"/>
          <w:szCs w:val="20"/>
          <w:color w:val="auto"/>
        </w:rPr>
      </w:pPr>
    </w:p>
    <w:p>
      <w:pPr>
        <w:jc w:val="center"/>
        <w:ind w:left="2300"/>
        <w:spacing w:after="0"/>
        <w:rPr>
          <w:sz w:val="20"/>
          <w:szCs w:val="20"/>
          <w:color w:val="auto"/>
        </w:rPr>
      </w:pPr>
      <w:r>
        <w:rPr>
          <w:rFonts w:ascii="Arial" w:cs="Arial" w:eastAsia="Arial" w:hAnsi="Arial"/>
          <w:sz w:val="18"/>
          <w:szCs w:val="18"/>
          <w:i w:val="1"/>
          <w:iCs w:val="1"/>
          <w:color w:val="auto"/>
        </w:rPr>
        <w:t>Chief Accounting Officer and Treasurer</w:t>
      </w:r>
    </w:p>
    <w:p>
      <w:pPr>
        <w:spacing w:after="0" w:line="9" w:lineRule="exact"/>
        <w:rPr>
          <w:sz w:val="20"/>
          <w:szCs w:val="20"/>
          <w:color w:val="auto"/>
        </w:rPr>
      </w:pPr>
    </w:p>
    <w:p>
      <w:pPr>
        <w:jc w:val="center"/>
        <w:ind w:left="2300"/>
        <w:spacing w:after="0"/>
        <w:rPr>
          <w:sz w:val="20"/>
          <w:szCs w:val="20"/>
          <w:color w:val="auto"/>
        </w:rPr>
      </w:pPr>
      <w:r>
        <w:rPr>
          <w:rFonts w:ascii="Arial" w:cs="Arial" w:eastAsia="Arial" w:hAnsi="Arial"/>
          <w:sz w:val="18"/>
          <w:szCs w:val="18"/>
          <w:i w:val="1"/>
          <w:iCs w:val="1"/>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50430" cy="215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361" w:right="279" w:bottom="1440" w:gutter="0" w:footer="0" w:header="0"/>
        </w:sectPr>
      </w:pPr>
    </w:p>
    <w:bookmarkStart w:id="69" w:name="page70"/>
    <w:bookmarkEnd w:id="69"/>
    <w:p>
      <w:pPr>
        <w:spacing w:after="0"/>
        <w:rPr>
          <w:sz w:val="20"/>
          <w:szCs w:val="20"/>
          <w:color w:val="auto"/>
        </w:rPr>
      </w:pPr>
      <w:r>
        <w:rPr>
          <w:rFonts w:ascii="Arial" w:cs="Arial" w:eastAsia="Arial" w:hAnsi="Arial"/>
          <w:sz w:val="22"/>
          <w:szCs w:val="22"/>
          <w:color w:val="auto"/>
        </w:rPr>
        <w:t>QuickLinks</w:t>
      </w:r>
    </w:p>
    <w:p>
      <w:pPr>
        <w:spacing w:after="0" w:line="219" w:lineRule="exact"/>
        <w:rPr>
          <w:sz w:val="20"/>
          <w:szCs w:val="20"/>
          <w:color w:val="auto"/>
        </w:rPr>
      </w:pPr>
    </w:p>
    <w:p>
      <w:pPr>
        <w:ind w:left="540"/>
        <w:spacing w:after="0"/>
        <w:rPr>
          <w:rFonts w:ascii="Arial" w:cs="Arial" w:eastAsia="Arial" w:hAnsi="Arial"/>
          <w:sz w:val="18"/>
          <w:szCs w:val="18"/>
          <w:u w:val="single" w:color="auto"/>
          <w:color w:val="0000EE"/>
        </w:rPr>
      </w:pPr>
      <w:hyperlink w:anchor="page69">
        <w:r>
          <w:rPr>
            <w:rFonts w:ascii="Arial" w:cs="Arial" w:eastAsia="Arial" w:hAnsi="Arial"/>
            <w:sz w:val="18"/>
            <w:szCs w:val="18"/>
            <w:u w:val="single" w:color="auto"/>
            <w:color w:val="0000EE"/>
          </w:rPr>
          <w:t>Exhibit 31.2</w:t>
        </w:r>
      </w:hyperlink>
    </w:p>
    <w:p>
      <w:pPr>
        <w:spacing w:after="0" w:line="225" w:lineRule="exact"/>
        <w:rPr>
          <w:sz w:val="20"/>
          <w:szCs w:val="20"/>
          <w:color w:val="auto"/>
        </w:rPr>
      </w:pPr>
    </w:p>
    <w:p>
      <w:pPr>
        <w:spacing w:after="0" w:line="268" w:lineRule="auto"/>
        <w:rPr>
          <w:rFonts w:ascii="Arial" w:cs="Arial" w:eastAsia="Arial" w:hAnsi="Arial"/>
          <w:sz w:val="18"/>
          <w:szCs w:val="18"/>
          <w:u w:val="single" w:color="auto"/>
          <w:color w:val="0000EE"/>
        </w:rPr>
      </w:pPr>
      <w:hyperlink w:anchor="page69">
        <w:r>
          <w:rPr>
            <w:rFonts w:ascii="Arial" w:cs="Arial" w:eastAsia="Arial" w:hAnsi="Arial"/>
            <w:sz w:val="18"/>
            <w:szCs w:val="18"/>
            <w:u w:val="single" w:color="auto"/>
            <w:color w:val="0000EE"/>
          </w:rPr>
          <w:t>CERTIFICATION OF THE PRINCIPAL FINANCIAL OFFICER PURSUANT TO RULE 13a-14(a) OR RULE 15d-14(a) OF THE SECURITIES EXCHANGE</w:t>
        </w:r>
      </w:hyperlink>
      <w:r>
        <w:rPr>
          <w:rFonts w:ascii="Arial" w:cs="Arial" w:eastAsia="Arial" w:hAnsi="Arial"/>
          <w:sz w:val="18"/>
          <w:szCs w:val="18"/>
          <w:u w:val="single" w:color="auto"/>
          <w:color w:val="0000EE"/>
        </w:rPr>
        <w:t xml:space="preserve"> </w:t>
      </w:r>
      <w:hyperlink w:anchor="page69">
        <w:r>
          <w:rPr>
            <w:rFonts w:ascii="Arial" w:cs="Arial" w:eastAsia="Arial" w:hAnsi="Arial"/>
            <w:sz w:val="18"/>
            <w:szCs w:val="18"/>
            <w:u w:val="single" w:color="auto"/>
            <w:color w:val="0000EE"/>
          </w:rPr>
          <w:t>ACT OF 1934, AS ADOPTED PURSUANT TO SECTION 302 OF THE SARBANES-OXLEY ACT OF 2002</w:t>
        </w:r>
      </w:hyperlink>
    </w:p>
    <w:p>
      <w:pPr>
        <w:sectPr>
          <w:pgSz w:w="11900" w:h="16838" w:orient="portrait"/>
          <w:cols w:equalWidth="0" w:num="1">
            <w:col w:w="11360"/>
          </w:cols>
          <w:pgMar w:left="240" w:top="820" w:right="299" w:bottom="1440" w:gutter="0" w:footer="0" w:header="0"/>
        </w:sectPr>
      </w:pPr>
    </w:p>
    <w:bookmarkStart w:id="70" w:name="page71"/>
    <w:bookmarkEnd w:id="70"/>
    <w:p>
      <w:pPr>
        <w:spacing w:after="0"/>
        <w:rPr>
          <w:rFonts w:ascii="Arial" w:cs="Arial" w:eastAsia="Arial" w:hAnsi="Arial"/>
          <w:sz w:val="22"/>
          <w:szCs w:val="22"/>
          <w:color w:val="0000EE"/>
        </w:rPr>
      </w:pPr>
      <w:hyperlink w:anchor="page72">
        <w:r>
          <w:rPr>
            <w:rFonts w:ascii="Arial" w:cs="Arial" w:eastAsia="Arial" w:hAnsi="Arial"/>
            <w:sz w:val="22"/>
            <w:szCs w:val="22"/>
            <w:u w:val="single" w:color="auto"/>
            <w:color w:val="0000EE"/>
          </w:rPr>
          <w:t>QuickLinks</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22"/>
          <w:szCs w:val="22"/>
          <w:color w:val="000000"/>
        </w:rPr>
        <w:t>Click here to rapidly navigate through this document</w:t>
      </w:r>
    </w:p>
    <w:p>
      <w:pPr>
        <w:spacing w:after="0" w:line="200" w:lineRule="exact"/>
        <w:rPr>
          <w:sz w:val="20"/>
          <w:szCs w:val="20"/>
          <w:color w:val="auto"/>
        </w:rPr>
      </w:pPr>
    </w:p>
    <w:p>
      <w:pPr>
        <w:spacing w:after="0" w:line="229"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CERTIFICATION OF THE PRINCIPAL EXECUTIVE OFFICER</w:t>
      </w:r>
    </w:p>
    <w:p>
      <w:pPr>
        <w:spacing w:after="0" w:line="2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PURSUANT TO 18 U.S.C. SECTION 1350,</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9" w:lineRule="exact"/>
        <w:rPr>
          <w:sz w:val="20"/>
          <w:szCs w:val="20"/>
          <w:color w:val="auto"/>
        </w:rPr>
      </w:pPr>
    </w:p>
    <w:p>
      <w:pPr>
        <w:ind w:left="360"/>
        <w:spacing w:after="0"/>
        <w:rPr>
          <w:sz w:val="20"/>
          <w:szCs w:val="20"/>
          <w:color w:val="auto"/>
        </w:rPr>
      </w:pPr>
      <w:r>
        <w:rPr>
          <w:rFonts w:ascii="Arial" w:cs="Arial" w:eastAsia="Arial" w:hAnsi="Arial"/>
          <w:sz w:val="16"/>
          <w:szCs w:val="16"/>
          <w:color w:val="auto"/>
        </w:rPr>
        <w:t>I, Douglas R. Lebda, certify, pursuant to 18 U.S.C. Section 1350, as adopted pursuant to Section 906 of the Sarbanes-Oxley Act of 2002, that:</w:t>
      </w:r>
    </w:p>
    <w:p>
      <w:pPr>
        <w:spacing w:after="0" w:line="262" w:lineRule="exact"/>
        <w:rPr>
          <w:sz w:val="20"/>
          <w:szCs w:val="20"/>
          <w:color w:val="auto"/>
        </w:rPr>
      </w:pPr>
    </w:p>
    <w:p>
      <w:pPr>
        <w:ind w:left="1080" w:right="200" w:hanging="532"/>
        <w:spacing w:after="0" w:line="259" w:lineRule="auto"/>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Quarterly Report on Form 10-Q for the fiscal quarter ended September 30, 2010 of Tree.com, Inc. (the "Report") which this statement accompanies fully complies with the requirements of Section 13(a) or 15(d) of the Securities Exchange Act of 1934 (15 U.S.C. 78m or 78o(d)); and</w:t>
      </w:r>
    </w:p>
    <w:p>
      <w:pPr>
        <w:spacing w:after="0" w:line="221" w:lineRule="exact"/>
        <w:rPr>
          <w:rFonts w:ascii="Arial" w:cs="Arial" w:eastAsia="Arial" w:hAnsi="Arial"/>
          <w:sz w:val="18"/>
          <w:szCs w:val="18"/>
          <w:color w:val="auto"/>
        </w:rPr>
      </w:pPr>
    </w:p>
    <w:p>
      <w:pPr>
        <w:ind w:left="1080" w:hanging="532"/>
        <w:spacing w:after="0"/>
        <w:tabs>
          <w:tab w:leader="none" w:pos="1080" w:val="left"/>
        </w:tabs>
        <w:numPr>
          <w:ilvl w:val="0"/>
          <w:numId w:val="18"/>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Tree.com, Inc.</w:t>
      </w:r>
    </w:p>
    <w:p>
      <w:pPr>
        <w:spacing w:after="0" w:line="248" w:lineRule="exact"/>
        <w:rPr>
          <w:sz w:val="20"/>
          <w:szCs w:val="20"/>
          <w:color w:val="auto"/>
        </w:rPr>
      </w:pPr>
    </w:p>
    <w:p>
      <w:pPr>
        <w:spacing w:after="0"/>
        <w:tabs>
          <w:tab w:leader="none" w:pos="5900" w:val="left"/>
        </w:tabs>
        <w:rPr>
          <w:sz w:val="20"/>
          <w:szCs w:val="20"/>
          <w:color w:val="auto"/>
        </w:rPr>
      </w:pPr>
      <w:r>
        <w:rPr>
          <w:rFonts w:ascii="Arial" w:cs="Arial" w:eastAsia="Arial" w:hAnsi="Arial"/>
          <w:sz w:val="18"/>
          <w:szCs w:val="18"/>
          <w:color w:val="auto"/>
        </w:rPr>
        <w:t>Dated: November 12, 2010</w:t>
      </w:r>
      <w:r>
        <w:rPr>
          <w:sz w:val="20"/>
          <w:szCs w:val="20"/>
          <w:color w:val="auto"/>
        </w:rPr>
        <w:tab/>
      </w:r>
      <w:r>
        <w:rPr>
          <w:rFonts w:ascii="Arial" w:cs="Arial" w:eastAsia="Arial" w:hAnsi="Arial"/>
          <w:sz w:val="16"/>
          <w:szCs w:val="16"/>
          <w:color w:val="auto"/>
        </w:rPr>
        <w:t>/s/ DOUGLAS R. LEBDA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2912110</wp:posOffset>
            </wp:positionH>
            <wp:positionV relativeFrom="paragraph">
              <wp:posOffset>62230</wp:posOffset>
            </wp:positionV>
            <wp:extent cx="2907030"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2907030" cy="8890"/>
                    </a:xfrm>
                    <a:prstGeom prst="rect">
                      <a:avLst/>
                    </a:prstGeom>
                    <a:noFill/>
                  </pic:spPr>
                </pic:pic>
              </a:graphicData>
            </a:graphic>
          </wp:anchor>
        </w:drawing>
      </w:r>
    </w:p>
    <w:p>
      <w:pPr>
        <w:spacing w:after="0" w:line="178" w:lineRule="exact"/>
        <w:rPr>
          <w:sz w:val="20"/>
          <w:szCs w:val="20"/>
          <w:color w:val="auto"/>
        </w:rPr>
      </w:pPr>
    </w:p>
    <w:p>
      <w:pPr>
        <w:jc w:val="center"/>
        <w:ind w:left="2300"/>
        <w:spacing w:after="0"/>
        <w:rPr>
          <w:sz w:val="20"/>
          <w:szCs w:val="20"/>
          <w:color w:val="auto"/>
        </w:rPr>
      </w:pPr>
      <w:r>
        <w:rPr>
          <w:rFonts w:ascii="Arial" w:cs="Arial" w:eastAsia="Arial" w:hAnsi="Arial"/>
          <w:sz w:val="18"/>
          <w:szCs w:val="18"/>
          <w:color w:val="auto"/>
        </w:rPr>
        <w:t>Douglas R. Lebda</w:t>
      </w:r>
    </w:p>
    <w:p>
      <w:pPr>
        <w:spacing w:after="0" w:line="15" w:lineRule="exact"/>
        <w:rPr>
          <w:sz w:val="20"/>
          <w:szCs w:val="20"/>
          <w:color w:val="auto"/>
        </w:rPr>
      </w:pPr>
    </w:p>
    <w:p>
      <w:pPr>
        <w:jc w:val="center"/>
        <w:ind w:left="2300"/>
        <w:spacing w:after="0"/>
        <w:rPr>
          <w:sz w:val="20"/>
          <w:szCs w:val="20"/>
          <w:color w:val="auto"/>
        </w:rPr>
      </w:pPr>
      <w:r>
        <w:rPr>
          <w:rFonts w:ascii="Arial" w:cs="Arial" w:eastAsia="Arial" w:hAnsi="Arial"/>
          <w:sz w:val="18"/>
          <w:szCs w:val="18"/>
          <w:i w:val="1"/>
          <w:iCs w:val="1"/>
          <w:color w:val="auto"/>
        </w:rPr>
        <w:t>Chairman and Chief Executive Officer</w:t>
      </w:r>
    </w:p>
    <w:p>
      <w:pPr>
        <w:spacing w:after="0" w:line="9" w:lineRule="exact"/>
        <w:rPr>
          <w:sz w:val="20"/>
          <w:szCs w:val="20"/>
          <w:color w:val="auto"/>
        </w:rPr>
      </w:pPr>
    </w:p>
    <w:p>
      <w:pPr>
        <w:jc w:val="center"/>
        <w:ind w:left="2300"/>
        <w:spacing w:after="0"/>
        <w:rPr>
          <w:sz w:val="20"/>
          <w:szCs w:val="20"/>
          <w:color w:val="auto"/>
        </w:rPr>
      </w:pPr>
      <w:r>
        <w:rPr>
          <w:rFonts w:ascii="Arial" w:cs="Arial" w:eastAsia="Arial" w:hAnsi="Arial"/>
          <w:sz w:val="18"/>
          <w:szCs w:val="18"/>
          <w:i w:val="1"/>
          <w:iCs w:val="1"/>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50430" cy="215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361" w:right="279" w:bottom="1440" w:gutter="0" w:footer="0" w:header="0"/>
        </w:sectPr>
      </w:pPr>
    </w:p>
    <w:bookmarkStart w:id="71" w:name="page72"/>
    <w:bookmarkEnd w:id="71"/>
    <w:p>
      <w:pPr>
        <w:spacing w:after="0"/>
        <w:rPr>
          <w:sz w:val="20"/>
          <w:szCs w:val="20"/>
          <w:color w:val="auto"/>
        </w:rPr>
      </w:pPr>
      <w:r>
        <w:rPr>
          <w:rFonts w:ascii="Arial" w:cs="Arial" w:eastAsia="Arial" w:hAnsi="Arial"/>
          <w:sz w:val="22"/>
          <w:szCs w:val="22"/>
          <w:color w:val="auto"/>
        </w:rPr>
        <w:t>QuickLinks</w:t>
      </w:r>
    </w:p>
    <w:p>
      <w:pPr>
        <w:spacing w:after="0" w:line="219" w:lineRule="exact"/>
        <w:rPr>
          <w:sz w:val="20"/>
          <w:szCs w:val="20"/>
          <w:color w:val="auto"/>
        </w:rPr>
      </w:pPr>
    </w:p>
    <w:p>
      <w:pPr>
        <w:ind w:left="540"/>
        <w:spacing w:after="0"/>
        <w:rPr>
          <w:rFonts w:ascii="Arial" w:cs="Arial" w:eastAsia="Arial" w:hAnsi="Arial"/>
          <w:sz w:val="18"/>
          <w:szCs w:val="18"/>
          <w:u w:val="single" w:color="auto"/>
          <w:color w:val="0000EE"/>
        </w:rPr>
      </w:pPr>
      <w:hyperlink w:anchor="page71">
        <w:r>
          <w:rPr>
            <w:rFonts w:ascii="Arial" w:cs="Arial" w:eastAsia="Arial" w:hAnsi="Arial"/>
            <w:sz w:val="18"/>
            <w:szCs w:val="18"/>
            <w:u w:val="single" w:color="auto"/>
            <w:color w:val="0000EE"/>
          </w:rPr>
          <w:t>Exhibit 32.1</w:t>
        </w:r>
      </w:hyperlink>
    </w:p>
    <w:p>
      <w:pPr>
        <w:spacing w:after="0" w:line="225" w:lineRule="exact"/>
        <w:rPr>
          <w:sz w:val="20"/>
          <w:szCs w:val="20"/>
          <w:color w:val="auto"/>
        </w:rPr>
      </w:pPr>
    </w:p>
    <w:p>
      <w:pPr>
        <w:spacing w:after="0" w:line="268" w:lineRule="auto"/>
        <w:rPr>
          <w:rFonts w:ascii="Arial" w:cs="Arial" w:eastAsia="Arial" w:hAnsi="Arial"/>
          <w:sz w:val="18"/>
          <w:szCs w:val="18"/>
          <w:u w:val="single" w:color="auto"/>
          <w:color w:val="0000EE"/>
        </w:rPr>
      </w:pPr>
      <w:hyperlink w:anchor="page71">
        <w:r>
          <w:rPr>
            <w:rFonts w:ascii="Arial" w:cs="Arial" w:eastAsia="Arial" w:hAnsi="Arial"/>
            <w:sz w:val="18"/>
            <w:szCs w:val="18"/>
            <w:u w:val="single" w:color="auto"/>
            <w:color w:val="0000EE"/>
          </w:rPr>
          <w:t>CERTIFICATION OF THE PRINCIPAL EXECUTIVE OFFICER PURSUANT TO 18 U.S.C. SECTION 1350, AS ADOPTED PURSUANT TO SECTION 906</w:t>
        </w:r>
      </w:hyperlink>
      <w:r>
        <w:rPr>
          <w:rFonts w:ascii="Arial" w:cs="Arial" w:eastAsia="Arial" w:hAnsi="Arial"/>
          <w:sz w:val="18"/>
          <w:szCs w:val="18"/>
          <w:u w:val="single" w:color="auto"/>
          <w:color w:val="0000EE"/>
        </w:rPr>
        <w:t xml:space="preserve"> </w:t>
      </w:r>
      <w:hyperlink w:anchor="page71">
        <w:r>
          <w:rPr>
            <w:rFonts w:ascii="Arial" w:cs="Arial" w:eastAsia="Arial" w:hAnsi="Arial"/>
            <w:sz w:val="18"/>
            <w:szCs w:val="18"/>
            <w:u w:val="single" w:color="auto"/>
            <w:color w:val="0000EE"/>
          </w:rPr>
          <w:t>OF THE SARBANES-OXLEY ACT OF 2002</w:t>
        </w:r>
      </w:hyperlink>
    </w:p>
    <w:p>
      <w:pPr>
        <w:sectPr>
          <w:pgSz w:w="11900" w:h="16838" w:orient="portrait"/>
          <w:cols w:equalWidth="0" w:num="1">
            <w:col w:w="11360"/>
          </w:cols>
          <w:pgMar w:left="240" w:top="820" w:right="299" w:bottom="1440" w:gutter="0" w:footer="0" w:header="0"/>
        </w:sectPr>
      </w:pPr>
    </w:p>
    <w:bookmarkStart w:id="72" w:name="page73"/>
    <w:bookmarkEnd w:id="72"/>
    <w:p>
      <w:pPr>
        <w:spacing w:after="0"/>
        <w:rPr>
          <w:rFonts w:ascii="Arial" w:cs="Arial" w:eastAsia="Arial" w:hAnsi="Arial"/>
          <w:sz w:val="22"/>
          <w:szCs w:val="22"/>
          <w:color w:val="0000EE"/>
        </w:rPr>
      </w:pPr>
      <w:hyperlink w:anchor="page74">
        <w:r>
          <w:rPr>
            <w:rFonts w:ascii="Arial" w:cs="Arial" w:eastAsia="Arial" w:hAnsi="Arial"/>
            <w:sz w:val="22"/>
            <w:szCs w:val="22"/>
            <w:u w:val="single" w:color="auto"/>
            <w:color w:val="0000EE"/>
          </w:rPr>
          <w:t>QuickLinks</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22"/>
          <w:szCs w:val="22"/>
          <w:color w:val="000000"/>
        </w:rPr>
        <w:t>Click here to rapidly navigate through this document</w:t>
      </w:r>
    </w:p>
    <w:p>
      <w:pPr>
        <w:spacing w:after="0" w:line="200" w:lineRule="exact"/>
        <w:rPr>
          <w:sz w:val="20"/>
          <w:szCs w:val="20"/>
          <w:color w:val="auto"/>
        </w:rPr>
      </w:pPr>
    </w:p>
    <w:p>
      <w:pPr>
        <w:spacing w:after="0" w:line="229"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CERTIFICATION OF THE PRINCIPAL FINANCIAL OFFICER</w:t>
      </w:r>
    </w:p>
    <w:p>
      <w:pPr>
        <w:spacing w:after="0" w:line="2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PURSUANT TO 18 U.S.C. SECTION 1350,</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9" w:lineRule="exact"/>
        <w:rPr>
          <w:sz w:val="20"/>
          <w:szCs w:val="20"/>
          <w:color w:val="auto"/>
        </w:rPr>
      </w:pPr>
    </w:p>
    <w:p>
      <w:pPr>
        <w:ind w:left="360"/>
        <w:spacing w:after="0"/>
        <w:rPr>
          <w:sz w:val="20"/>
          <w:szCs w:val="20"/>
          <w:color w:val="auto"/>
        </w:rPr>
      </w:pPr>
      <w:r>
        <w:rPr>
          <w:rFonts w:ascii="Arial" w:cs="Arial" w:eastAsia="Arial" w:hAnsi="Arial"/>
          <w:sz w:val="16"/>
          <w:szCs w:val="16"/>
          <w:color w:val="auto"/>
        </w:rPr>
        <w:t>I, Christopher R. Hayek, certify, pursuant to 18 U.S.C. Section 1350, as adopted pursuant to Section 906 of the Sarbanes-Oxley Act of 2002, that:</w:t>
      </w:r>
    </w:p>
    <w:p>
      <w:pPr>
        <w:spacing w:after="0" w:line="262" w:lineRule="exact"/>
        <w:rPr>
          <w:sz w:val="20"/>
          <w:szCs w:val="20"/>
          <w:color w:val="auto"/>
        </w:rPr>
      </w:pPr>
    </w:p>
    <w:p>
      <w:pPr>
        <w:ind w:left="1080" w:right="200" w:hanging="532"/>
        <w:spacing w:after="0" w:line="259" w:lineRule="auto"/>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Quarterly Report on Form 10-Q for the fiscal quarter ended September 30, 2010 of Tree.com, Inc. (the "Report") which this statement accompanies fully complies with the requirements of Section 13(a) or 15(d) of the Securities Exchange Act of 1934 (15 U.S.C. 78m or 78o(d)); and</w:t>
      </w:r>
    </w:p>
    <w:p>
      <w:pPr>
        <w:spacing w:after="0" w:line="221" w:lineRule="exact"/>
        <w:rPr>
          <w:rFonts w:ascii="Arial" w:cs="Arial" w:eastAsia="Arial" w:hAnsi="Arial"/>
          <w:sz w:val="18"/>
          <w:szCs w:val="18"/>
          <w:color w:val="auto"/>
        </w:rPr>
      </w:pPr>
    </w:p>
    <w:p>
      <w:pPr>
        <w:ind w:left="1080" w:hanging="532"/>
        <w:spacing w:after="0"/>
        <w:tabs>
          <w:tab w:leader="none" w:pos="1080" w:val="left"/>
        </w:tabs>
        <w:numPr>
          <w:ilvl w:val="0"/>
          <w:numId w:val="19"/>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Tree.com, Inc.</w:t>
      </w:r>
    </w:p>
    <w:p>
      <w:pPr>
        <w:spacing w:after="0" w:line="248" w:lineRule="exact"/>
        <w:rPr>
          <w:sz w:val="20"/>
          <w:szCs w:val="20"/>
          <w:color w:val="auto"/>
        </w:rPr>
      </w:pPr>
    </w:p>
    <w:p>
      <w:pPr>
        <w:spacing w:after="0"/>
        <w:tabs>
          <w:tab w:leader="none" w:pos="5720" w:val="left"/>
        </w:tabs>
        <w:rPr>
          <w:sz w:val="20"/>
          <w:szCs w:val="20"/>
          <w:color w:val="auto"/>
        </w:rPr>
      </w:pPr>
      <w:r>
        <w:rPr>
          <w:rFonts w:ascii="Arial" w:cs="Arial" w:eastAsia="Arial" w:hAnsi="Arial"/>
          <w:sz w:val="18"/>
          <w:szCs w:val="18"/>
          <w:color w:val="auto"/>
        </w:rPr>
        <w:t>Dated: November 12, 2010</w:t>
      </w:r>
      <w:r>
        <w:rPr>
          <w:sz w:val="20"/>
          <w:szCs w:val="20"/>
          <w:color w:val="auto"/>
        </w:rPr>
        <w:tab/>
      </w:r>
      <w:r>
        <w:rPr>
          <w:rFonts w:ascii="Arial" w:cs="Arial" w:eastAsia="Arial" w:hAnsi="Arial"/>
          <w:sz w:val="16"/>
          <w:szCs w:val="16"/>
          <w:color w:val="auto"/>
        </w:rPr>
        <w:t>/s/ CHRISTOPHER R. HAYEK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2912110</wp:posOffset>
            </wp:positionH>
            <wp:positionV relativeFrom="paragraph">
              <wp:posOffset>62230</wp:posOffset>
            </wp:positionV>
            <wp:extent cx="2907030"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2907030" cy="8890"/>
                    </a:xfrm>
                    <a:prstGeom prst="rect">
                      <a:avLst/>
                    </a:prstGeom>
                    <a:noFill/>
                  </pic:spPr>
                </pic:pic>
              </a:graphicData>
            </a:graphic>
          </wp:anchor>
        </w:drawing>
      </w:r>
    </w:p>
    <w:p>
      <w:pPr>
        <w:spacing w:after="0" w:line="178" w:lineRule="exact"/>
        <w:rPr>
          <w:sz w:val="20"/>
          <w:szCs w:val="20"/>
          <w:color w:val="auto"/>
        </w:rPr>
      </w:pPr>
    </w:p>
    <w:p>
      <w:pPr>
        <w:jc w:val="center"/>
        <w:ind w:left="2300"/>
        <w:spacing w:after="0"/>
        <w:rPr>
          <w:sz w:val="20"/>
          <w:szCs w:val="20"/>
          <w:color w:val="auto"/>
        </w:rPr>
      </w:pPr>
      <w:r>
        <w:rPr>
          <w:rFonts w:ascii="Arial" w:cs="Arial" w:eastAsia="Arial" w:hAnsi="Arial"/>
          <w:sz w:val="18"/>
          <w:szCs w:val="18"/>
          <w:color w:val="auto"/>
        </w:rPr>
        <w:t>Christopher R. Hayek</w:t>
      </w:r>
    </w:p>
    <w:p>
      <w:pPr>
        <w:spacing w:after="0" w:line="15" w:lineRule="exact"/>
        <w:rPr>
          <w:sz w:val="20"/>
          <w:szCs w:val="20"/>
          <w:color w:val="auto"/>
        </w:rPr>
      </w:pPr>
    </w:p>
    <w:p>
      <w:pPr>
        <w:jc w:val="center"/>
        <w:ind w:left="2300"/>
        <w:spacing w:after="0"/>
        <w:rPr>
          <w:sz w:val="20"/>
          <w:szCs w:val="20"/>
          <w:color w:val="auto"/>
        </w:rPr>
      </w:pPr>
      <w:r>
        <w:rPr>
          <w:rFonts w:ascii="Arial" w:cs="Arial" w:eastAsia="Arial" w:hAnsi="Arial"/>
          <w:sz w:val="18"/>
          <w:szCs w:val="18"/>
          <w:i w:val="1"/>
          <w:iCs w:val="1"/>
          <w:color w:val="auto"/>
        </w:rPr>
        <w:t>Senior Vice President,</w:t>
      </w:r>
    </w:p>
    <w:p>
      <w:pPr>
        <w:spacing w:after="0" w:line="9" w:lineRule="exact"/>
        <w:rPr>
          <w:sz w:val="20"/>
          <w:szCs w:val="20"/>
          <w:color w:val="auto"/>
        </w:rPr>
      </w:pPr>
    </w:p>
    <w:p>
      <w:pPr>
        <w:jc w:val="center"/>
        <w:ind w:left="2300"/>
        <w:spacing w:after="0"/>
        <w:rPr>
          <w:sz w:val="20"/>
          <w:szCs w:val="20"/>
          <w:color w:val="auto"/>
        </w:rPr>
      </w:pPr>
      <w:r>
        <w:rPr>
          <w:rFonts w:ascii="Arial" w:cs="Arial" w:eastAsia="Arial" w:hAnsi="Arial"/>
          <w:sz w:val="18"/>
          <w:szCs w:val="18"/>
          <w:i w:val="1"/>
          <w:iCs w:val="1"/>
          <w:color w:val="auto"/>
        </w:rPr>
        <w:t>Chief Accounting Officer and Treasurer</w:t>
      </w:r>
    </w:p>
    <w:p>
      <w:pPr>
        <w:spacing w:after="0" w:line="9" w:lineRule="exact"/>
        <w:rPr>
          <w:sz w:val="20"/>
          <w:szCs w:val="20"/>
          <w:color w:val="auto"/>
        </w:rPr>
      </w:pPr>
    </w:p>
    <w:p>
      <w:pPr>
        <w:jc w:val="center"/>
        <w:ind w:left="2300"/>
        <w:spacing w:after="0"/>
        <w:rPr>
          <w:sz w:val="20"/>
          <w:szCs w:val="20"/>
          <w:color w:val="auto"/>
        </w:rPr>
      </w:pPr>
      <w:r>
        <w:rPr>
          <w:rFonts w:ascii="Arial" w:cs="Arial" w:eastAsia="Arial" w:hAnsi="Arial"/>
          <w:sz w:val="18"/>
          <w:szCs w:val="18"/>
          <w:i w:val="1"/>
          <w:iCs w:val="1"/>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50430" cy="215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361" w:right="279" w:bottom="1440" w:gutter="0" w:footer="0" w:header="0"/>
        </w:sectPr>
      </w:pPr>
    </w:p>
    <w:bookmarkStart w:id="73" w:name="page74"/>
    <w:bookmarkEnd w:id="73"/>
    <w:p>
      <w:pPr>
        <w:spacing w:after="0"/>
        <w:rPr>
          <w:sz w:val="20"/>
          <w:szCs w:val="20"/>
          <w:color w:val="auto"/>
        </w:rPr>
      </w:pPr>
      <w:r>
        <w:rPr>
          <w:rFonts w:ascii="Arial" w:cs="Arial" w:eastAsia="Arial" w:hAnsi="Arial"/>
          <w:sz w:val="22"/>
          <w:szCs w:val="22"/>
          <w:color w:val="auto"/>
        </w:rPr>
        <w:t>QuickLinks</w:t>
      </w:r>
    </w:p>
    <w:p>
      <w:pPr>
        <w:spacing w:after="0" w:line="219" w:lineRule="exact"/>
        <w:rPr>
          <w:sz w:val="20"/>
          <w:szCs w:val="20"/>
          <w:color w:val="auto"/>
        </w:rPr>
      </w:pPr>
    </w:p>
    <w:p>
      <w:pPr>
        <w:ind w:left="540"/>
        <w:spacing w:after="0"/>
        <w:rPr>
          <w:rFonts w:ascii="Arial" w:cs="Arial" w:eastAsia="Arial" w:hAnsi="Arial"/>
          <w:sz w:val="18"/>
          <w:szCs w:val="18"/>
          <w:u w:val="single" w:color="auto"/>
          <w:color w:val="0000EE"/>
        </w:rPr>
      </w:pPr>
      <w:hyperlink w:anchor="page73">
        <w:r>
          <w:rPr>
            <w:rFonts w:ascii="Arial" w:cs="Arial" w:eastAsia="Arial" w:hAnsi="Arial"/>
            <w:sz w:val="18"/>
            <w:szCs w:val="18"/>
            <w:u w:val="single" w:color="auto"/>
            <w:color w:val="0000EE"/>
          </w:rPr>
          <w:t>Exhibit 32.2</w:t>
        </w:r>
      </w:hyperlink>
    </w:p>
    <w:p>
      <w:pPr>
        <w:spacing w:after="0" w:line="225" w:lineRule="exact"/>
        <w:rPr>
          <w:sz w:val="20"/>
          <w:szCs w:val="20"/>
          <w:color w:val="auto"/>
        </w:rPr>
      </w:pPr>
    </w:p>
    <w:p>
      <w:pPr>
        <w:spacing w:after="0" w:line="268" w:lineRule="auto"/>
        <w:rPr>
          <w:rFonts w:ascii="Arial" w:cs="Arial" w:eastAsia="Arial" w:hAnsi="Arial"/>
          <w:sz w:val="18"/>
          <w:szCs w:val="18"/>
          <w:u w:val="single" w:color="auto"/>
          <w:color w:val="0000EE"/>
        </w:rPr>
      </w:pPr>
      <w:hyperlink w:anchor="page73">
        <w:r>
          <w:rPr>
            <w:rFonts w:ascii="Arial" w:cs="Arial" w:eastAsia="Arial" w:hAnsi="Arial"/>
            <w:sz w:val="18"/>
            <w:szCs w:val="18"/>
            <w:u w:val="single" w:color="auto"/>
            <w:color w:val="0000EE"/>
          </w:rPr>
          <w:t>CERTIFICATION OF THE PRINCIPAL FINANCIAL OFFICER PURSUANT TO 18 U.S.C. SECTION 1350, AS ADOPTED PURSUANT TO SECTION 906</w:t>
        </w:r>
      </w:hyperlink>
      <w:r>
        <w:rPr>
          <w:rFonts w:ascii="Arial" w:cs="Arial" w:eastAsia="Arial" w:hAnsi="Arial"/>
          <w:sz w:val="18"/>
          <w:szCs w:val="18"/>
          <w:u w:val="single" w:color="auto"/>
          <w:color w:val="0000EE"/>
        </w:rPr>
        <w:t xml:space="preserve"> </w:t>
      </w:r>
      <w:hyperlink w:anchor="page73">
        <w:r>
          <w:rPr>
            <w:rFonts w:ascii="Arial" w:cs="Arial" w:eastAsia="Arial" w:hAnsi="Arial"/>
            <w:sz w:val="18"/>
            <w:szCs w:val="18"/>
            <w:u w:val="single" w:color="auto"/>
            <w:color w:val="0000EE"/>
          </w:rPr>
          <w:t>OF THE SARBANES-OXLEY ACT OF 2002</w:t>
        </w:r>
      </w:hyperlink>
    </w:p>
    <w:sectPr>
      <w:pgSz w:w="11900" w:h="16838" w:orient="portrait"/>
      <w:cols w:equalWidth="0" w:num="1">
        <w:col w:w="11320"/>
      </w:cols>
      <w:pgMar w:left="240" w:top="82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DB127F8"/>
    <w:multiLevelType w:val="hybridMultilevel"/>
    <w:lvl w:ilvl="0">
      <w:lvlJc w:val="left"/>
      <w:lvlText w:val="☒"/>
      <w:numFmt w:val="bullet"/>
      <w:start w:val="1"/>
    </w:lvl>
  </w:abstractNum>
  <w:abstractNum w:abstractNumId="1">
    <w:nsid w:val="216231B"/>
    <w:multiLevelType w:val="hybridMultilevel"/>
    <w:lvl w:ilvl="0">
      <w:lvlJc w:val="left"/>
      <w:lvlText w:val="o"/>
      <w:numFmt w:val="bullet"/>
      <w:start w:val="1"/>
    </w:lvl>
  </w:abstractNum>
  <w:abstractNum w:abstractNumId="2">
    <w:nsid w:val="1F16E9E8"/>
    <w:multiLevelType w:val="hybridMultilevel"/>
    <w:lvl w:ilvl="0">
      <w:lvlJc w:val="left"/>
      <w:lvlText w:val="$"/>
      <w:numFmt w:val="bullet"/>
      <w:start w:val="1"/>
    </w:lvl>
  </w:abstractNum>
  <w:abstractNum w:abstractNumId="3">
    <w:nsid w:val="1190CDE7"/>
    <w:multiLevelType w:val="hybridMultilevel"/>
    <w:lvl w:ilvl="0">
      <w:lvlJc w:val="left"/>
      <w:lvlText w:val="(%1)"/>
      <w:numFmt w:val="decimal"/>
      <w:start w:val="3"/>
    </w:lvl>
  </w:abstractNum>
  <w:abstractNum w:abstractNumId="4">
    <w:nsid w:val="66EF438D"/>
    <w:multiLevelType w:val="hybridMultilevel"/>
    <w:lvl w:ilvl="0">
      <w:lvlJc w:val="left"/>
      <w:lvlText w:val="(%1)"/>
      <w:numFmt w:val="lowerLetter"/>
      <w:start w:val="1"/>
    </w:lvl>
  </w:abstractNum>
  <w:abstractNum w:abstractNumId="5">
    <w:nsid w:val="140E0F76"/>
    <w:multiLevelType w:val="hybridMultilevel"/>
    <w:lvl w:ilvl="0">
      <w:lvlJc w:val="left"/>
      <w:lvlText w:val="•"/>
      <w:numFmt w:val="bullet"/>
      <w:start w:val="1"/>
    </w:lvl>
  </w:abstractNum>
  <w:abstractNum w:abstractNumId="6">
    <w:nsid w:val="3352255A"/>
    <w:multiLevelType w:val="hybridMultilevel"/>
    <w:lvl w:ilvl="0">
      <w:lvlJc w:val="left"/>
      <w:lvlText w:val="(%1)"/>
      <w:numFmt w:val="lowerLetter"/>
      <w:start w:val="1"/>
    </w:lvl>
  </w:abstractNum>
  <w:abstractNum w:abstractNumId="7">
    <w:nsid w:val="109CF92E"/>
    <w:multiLevelType w:val="hybridMultilevel"/>
    <w:lvl w:ilvl="0">
      <w:lvlJc w:val="left"/>
      <w:lvlText w:val="(%1)"/>
      <w:numFmt w:val="lowerLetter"/>
      <w:start w:val="1"/>
    </w:lvl>
  </w:abstractNum>
  <w:abstractNum w:abstractNumId="8">
    <w:nsid w:val="DED7263"/>
    <w:multiLevelType w:val="hybridMultilevel"/>
    <w:lvl w:ilvl="0">
      <w:lvlJc w:val="left"/>
      <w:lvlText w:val="(%1)"/>
      <w:numFmt w:val="lowerLetter"/>
      <w:start w:val="4"/>
    </w:lvl>
  </w:abstractNum>
  <w:abstractNum w:abstractNumId="9">
    <w:nsid w:val="7FDCC233"/>
    <w:multiLevelType w:val="hybridMultilevel"/>
    <w:lvl w:ilvl="0">
      <w:lvlJc w:val="left"/>
      <w:lvlText w:val="(%1)"/>
      <w:numFmt w:val="decimal"/>
      <w:start w:val="1"/>
    </w:lvl>
  </w:abstractNum>
  <w:abstractNum w:abstractNumId="10">
    <w:nsid w:val="1BEFD79F"/>
    <w:multiLevelType w:val="hybridMultilevel"/>
    <w:lvl w:ilvl="0">
      <w:lvlJc w:val="left"/>
      <w:lvlText w:val="†"/>
      <w:numFmt w:val="bullet"/>
      <w:start w:val="1"/>
    </w:lvl>
  </w:abstractNum>
  <w:abstractNum w:abstractNumId="11">
    <w:nsid w:val="41A7C4C9"/>
    <w:multiLevelType w:val="hybridMultilevel"/>
    <w:lvl w:ilvl="0">
      <w:lvlJc w:val="left"/>
      <w:lvlText w:val="††"/>
      <w:numFmt w:val="bullet"/>
      <w:start w:val="1"/>
    </w:lvl>
  </w:abstractNum>
  <w:abstractNum w:abstractNumId="12">
    <w:nsid w:val="6B68079A"/>
    <w:multiLevelType w:val="hybridMultilevel"/>
    <w:lvl w:ilvl="0">
      <w:lvlJc w:val="left"/>
      <w:lvlText w:val="†"/>
      <w:numFmt w:val="bullet"/>
      <w:start w:val="1"/>
    </w:lvl>
  </w:abstractNum>
  <w:abstractNum w:abstractNumId="13">
    <w:nsid w:val="4E6AFB66"/>
    <w:multiLevelType w:val="hybridMultilevel"/>
    <w:lvl w:ilvl="0">
      <w:lvlJc w:val="left"/>
      <w:lvlText w:val="††"/>
      <w:numFmt w:val="bullet"/>
      <w:start w:val="1"/>
    </w:lvl>
  </w:abstractNum>
  <w:abstractNum w:abstractNumId="14">
    <w:nsid w:val="25E45D32"/>
    <w:multiLevelType w:val="hybridMultilevel"/>
    <w:lvl w:ilvl="0">
      <w:lvlJc w:val="left"/>
      <w:lvlText w:val="%1."/>
      <w:numFmt w:val="decimal"/>
      <w:start w:val="1"/>
    </w:lvl>
    <w:lvl w:ilvl="1">
      <w:lvlJc w:val="left"/>
      <w:lvlText w:val="(%2)"/>
      <w:numFmt w:val="lowerLetter"/>
      <w:start w:val="1"/>
    </w:lvl>
    <w:lvl w:ilvl="2">
      <w:lvlJc w:val="left"/>
      <w:lvlText w:val="*"/>
      <w:numFmt w:val="bullet"/>
      <w:start w:val="1"/>
    </w:lvl>
  </w:abstractNum>
  <w:abstractNum w:abstractNumId="15">
    <w:nsid w:val="519B500D"/>
    <w:multiLevelType w:val="hybridMultilevel"/>
    <w:lvl w:ilvl="0">
      <w:lvlJc w:val="left"/>
      <w:lvlText w:val="%1."/>
      <w:numFmt w:val="decimal"/>
      <w:start w:val="1"/>
    </w:lvl>
    <w:lvl w:ilvl="1">
      <w:lvlJc w:val="left"/>
      <w:lvlText w:val="%2)"/>
      <w:numFmt w:val="lowerLetter"/>
      <w:start w:val="1"/>
    </w:lvl>
  </w:abstractNum>
  <w:abstractNum w:abstractNumId="16">
    <w:nsid w:val="431BD7B7"/>
    <w:multiLevelType w:val="hybridMultilevel"/>
    <w:lvl w:ilvl="0">
      <w:lvlJc w:val="left"/>
      <w:lvlText w:val="%1."/>
      <w:numFmt w:val="decimal"/>
      <w:start w:val="1"/>
    </w:lvl>
    <w:lvl w:ilvl="1">
      <w:lvlJc w:val="left"/>
      <w:lvlText w:val="%2)"/>
      <w:numFmt w:val="lowerLetter"/>
      <w:start w:val="1"/>
    </w:lvl>
  </w:abstractNum>
  <w:abstractNum w:abstractNumId="17">
    <w:nsid w:val="3F2DBA31"/>
    <w:multiLevelType w:val="hybridMultilevel"/>
    <w:lvl w:ilvl="0">
      <w:lvlJc w:val="left"/>
      <w:lvlText w:val="(%1)"/>
      <w:numFmt w:val="decimal"/>
      <w:start w:val="1"/>
    </w:lvl>
  </w:abstractNum>
  <w:abstractNum w:abstractNumId="18">
    <w:nsid w:val="7C83E45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2019-12-11T05:55:39Z</dcterms:created>
  <dcterms:modified xsi:type="dcterms:W3CDTF">2019-12-11T05:55:39Z</dcterms:modified>
</cp:coreProperties>
</file>