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70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September 30, 2015</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8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334645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8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jc w:val="both"/>
        <w:ind w:firstLine="21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6"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spacing w:after="0" w:line="5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19, 2015, there were 11,540,240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0">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30">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31">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32">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32">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2014</w:t>
            </w:r>
          </w:p>
        </w:tc>
      </w:tr>
      <w:tr>
        <w:trPr>
          <w:trHeight w:val="181"/>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3"/>
                <w:szCs w:val="13"/>
                <w:b w:val="1"/>
                <w:bCs w:val="1"/>
                <w:i w:val="1"/>
                <w:iCs w:val="1"/>
                <w:color w:val="auto"/>
                <w:w w:val="89"/>
              </w:rPr>
              <w:t>(in thousands, except per share amounts)</w:t>
            </w: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58"/>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69,804</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41,306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175,875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123,486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2,436</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6,402</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48,901</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118,615</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83,581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7,069</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21,336</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2,675</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7,238</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5,416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764</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2,135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422</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133</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(663)</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10,430</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62,031</w:t>
            </w:r>
          </w:p>
        </w:tc>
        <w:tc>
          <w:tcPr>
            <w:tcW w:w="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40,752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155,609</w:t>
            </w:r>
          </w:p>
        </w:tc>
        <w:tc>
          <w:tcPr>
            <w:tcW w:w="4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126,167</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7,773</w:t>
            </w:r>
          </w:p>
        </w:tc>
        <w:tc>
          <w:tcPr>
            <w:tcW w:w="5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554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20,266</w:t>
            </w: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(2,681)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7,772</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20,203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(968)</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7,383</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19,235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(3,238)</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6,088</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15,997</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(6,275)</w:t>
            </w:r>
          </w:p>
        </w:tc>
      </w:tr>
      <w:tr>
        <w:trPr>
          <w:trHeight w:val="324"/>
        </w:trPr>
        <w:tc>
          <w:tcPr>
            <w:tcW w:w="65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11,445</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11,378</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11,180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12,489</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12,379</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0.65</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0.59</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1.55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(0.28)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0.53</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0.49</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1.29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147"/>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3"/>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6"/>
              </w:rPr>
              <w:t>(in thousands, except par value and share</w:t>
            </w:r>
          </w:p>
        </w:tc>
      </w:tr>
      <w:tr>
        <w:trPr>
          <w:trHeight w:val="168"/>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3"/>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106,251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86,212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18,621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$501 and $349, respectively)</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25,181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13,611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1,708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152,050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119,659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$15,173 and $14,810, respectively)</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7,959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5,257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3,632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11,017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11,141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174,784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139,891</w:t>
            </w:r>
          </w:p>
        </w:tc>
      </w:tr>
      <w:tr>
        <w:trPr>
          <w:trHeight w:val="297"/>
        </w:trPr>
        <w:tc>
          <w:tcPr>
            <w:tcW w:w="8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6,245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36,174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13)</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14,529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12,055</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56,948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38,636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4,738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61,990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43,525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(Notes 9 and 10)</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13,013,767 and 12,854,517 shares issued, respectively,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11,540,240 and 11,386,240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910,399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909,751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(782,174)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(798,171)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1,473,527 and 1,468,277 shares, respectively</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(15,561)</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(15,343)</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112,794</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96,366</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174,784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139,891</w:t>
            </w:r>
          </w:p>
        </w:tc>
      </w:tr>
      <w:tr>
        <w:trPr>
          <w:trHeight w:val="34"/>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6"/>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6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i w:val="1"/>
                <w:iCs w:val="1"/>
                <w:color w:val="auto"/>
                <w:w w:val="87"/>
              </w:rPr>
              <w:t>(in thousands)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96,366</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12,855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909,751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(798,171)</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(15,343)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4"/>
              </w:rPr>
              <w:t>Net income and comprehensive income</w:t>
            </w:r>
          </w:p>
        </w:tc>
        <w:tc>
          <w:tcPr>
            <w:tcW w:w="26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15,997</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15,997</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6,371</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6,371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(218)</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Issuance of common stock for stock</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options, restricted stock awards and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w w:val="95"/>
              </w:rPr>
              <w:t>restricted stock units, net of withholding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(6,196)</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(6,197)</w:t>
            </w:r>
          </w:p>
        </w:tc>
        <w:tc>
          <w:tcPr>
            <w:tcW w:w="200" w:type="dxa"/>
            <w:vAlign w:val="bottom"/>
          </w:tcPr>
          <w:p>
            <w:pPr>
              <w:spacing w:after="0"/>
              <w:rPr>
                <w:sz w:val="20"/>
                <w:szCs w:val="20"/>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from stock-based award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485</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485</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September 30, 2015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112,794</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13,014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910,399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(782,174)</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1,473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(15,561)</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15,997</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(6,275)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3,238</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3,679</w:t>
            </w:r>
          </w:p>
        </w:tc>
      </w:tr>
      <w:tr>
        <w:trPr>
          <w:trHeight w:val="237"/>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19,235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(loss) from continuing operations to net cash provided by operating</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2,135</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2,541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6,371</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award activity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236</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(11,805)</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15,272</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31,096</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972</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Acquisition of a business</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4,143</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(4,207)</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606</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w w:val="92"/>
              </w:rPr>
              <w:t>Payments related to net-share settlement of stock-based compensation, net of proceeds from exercise of stock</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(6,127)</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 award activity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(5,965)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(6,359)</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provided by (used in)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20,924</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w:t>
            </w:r>
          </w:p>
        </w:tc>
      </w:tr>
      <w:tr>
        <w:trPr>
          <w:trHeight w:val="27"/>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(885)</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(3,255)</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20,039</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(8,036)</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86,212</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91,667</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106,251</w:t>
            </w:r>
          </w:p>
        </w:tc>
        <w:tc>
          <w:tcPr>
            <w:tcW w:w="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83,631</w:t>
            </w:r>
          </w:p>
        </w:tc>
      </w:tr>
      <w:tr>
        <w:trPr>
          <w:trHeight w:val="34"/>
        </w:trPr>
        <w:tc>
          <w:tcPr>
            <w:tcW w:w="8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("LendingTree" or the "Company"), formerly known as Tree.com, Inc., is the parent of LendingTree, LLC and several companies owned by LendingTree, LLC.</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it believes to be the leading online loan marketplace for consumers seeking a broad array of loan types and other credit-based offerings. The Company offers consumers tools and resources, including free credit scores, that help them to comparison-shop for mortgage loans, home equity loans and lines of credit, reverse mortgages, personal loans, auto loans, student loans, credit cards, small business loans and other related offerings. The Company seeks to primarily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inquiries it generates with these lenders.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2015 and for the three and nine months ended September 30, 2015 and 2014,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nine months ended September 30, 2015 are not necessarily indicative of the results to be expected for the year ending December 31, 2015, or any other period. The accompanying consolidated balance sheet as of December 31, 2014 was derived from audited financial statements included in the Company's annual report on Form 10-K for the year ended December 31, 2014 (the "2014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2014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contingent consideration related to business combinations; litigation accruals; various other allowances, reserves and accruals; and assumptions related to the determination of stock-based compensation.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2015,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marketplace lenders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marketplace.</w:t>
      </w:r>
    </w:p>
    <w:p>
      <w:pPr>
        <w:spacing w:after="0" w:line="14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the Company's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2015, the Financial Accounting Standards Board ("FASB") issued Accounting Standards Update ("ASU") 2015-05 related to cloud computing arrangements. This ASU sets forth guidance on accounting for fees paid in a cloud computing arrangement and specifically outlines how to determine whether a cloud computing arrangement contains a software license or is solely a service contract. This ASU will be effective for annual and interim reporting periods beginning after December 15, 2015 and permits early adoption. The Company early adopted this ASU and it did not have a significant impact on its consolidated financial statements.</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Early adoption is permitted as of the original effective date of December 15, 2016. The ASU can be applied (i) retrospectively to each prior period presented or (ii) retrospectively with the cumulative effect of initially adopting the ASU recognized at the date of initial application. The Company is evaluating the impact this ASU will have on its consolidated financial statements and whether to adopt early.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5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surety bonds </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2,453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16,107</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16,106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18,621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18,716</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 As a result of a settlement agreement in 2014 with a secondary market purchaser of loans, $12.1 million of cash in escrow is expected to be released in December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486,720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(483,088)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3,632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r>
      <w:tr>
        <w:trPr>
          <w:trHeight w:val="324"/>
        </w:trPr>
        <w:tc>
          <w:tcPr>
            <w:tcW w:w="8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0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999</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11,017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11,141</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is associated with its one reportable segment, lending. Intangible assets with indefinite lives relate to the Company's trademarks.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92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1,049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392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2,136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(1,261)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875</w:t>
            </w:r>
          </w:p>
        </w:tc>
        <w:tc>
          <w:tcPr>
            <w:tcW w:w="0" w:type="dxa"/>
            <w:vAlign w:val="bottom"/>
          </w:tcPr>
          <w:p>
            <w:pPr>
              <w:spacing w:after="0"/>
              <w:rPr>
                <w:sz w:val="1"/>
                <w:szCs w:val="1"/>
                <w:color w:val="auto"/>
              </w:rPr>
            </w:pPr>
          </w:p>
        </w:tc>
      </w:tr>
      <w:tr>
        <w:trPr>
          <w:trHeight w:val="459"/>
        </w:trPr>
        <w:tc>
          <w:tcPr>
            <w:tcW w:w="402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rPr>
              <w:t>9</w:t>
            </w:r>
          </w:p>
        </w:tc>
        <w:tc>
          <w:tcPr>
            <w:tcW w:w="8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1,049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2,136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(1,137)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2015,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2016</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2017</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2018</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9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875</w:t>
            </w:r>
          </w:p>
        </w:tc>
      </w:tr>
      <w:tr>
        <w:trPr>
          <w:trHeight w:val="27"/>
        </w:trPr>
        <w:tc>
          <w:tcPr>
            <w:tcW w:w="9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the Company acquired certain intangible assets to be used in its home services business for $0.6 million paid on the acquisition date, plus contingent consideration of $0 to $0.8 million. During the fourth quarter of 2014, the Company finalized the purchase price of $1.0 million, which included an estimated contingent consideration of $0.4 million. The entire purchase price was allocated to the customer lists acquired, which is being amortized on a straight-line basis over a useful life of 10 years. During the first quarter of 2015, the Company reduced its estimated contingent consideration by $0.1 million, which is included in general and administrative expense in the accompanying consolidated statements of operations and comprehensive income.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78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22,200</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11,170</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734</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337</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costs</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4,755</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4,560</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4,009</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3,662</w:t>
            </w:r>
          </w:p>
        </w:tc>
      </w:tr>
      <w:tr>
        <w:trPr>
          <w:trHeight w:val="27"/>
        </w:trPr>
        <w:tc>
          <w:tcPr>
            <w:tcW w:w="47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36,174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25,521</w:t>
            </w:r>
          </w:p>
        </w:tc>
      </w:tr>
      <w:tr>
        <w:trPr>
          <w:trHeight w:val="459"/>
        </w:trPr>
        <w:tc>
          <w:tcPr>
            <w:tcW w:w="4780" w:type="dxa"/>
            <w:vAlign w:val="bottom"/>
            <w:tcBorders>
              <w:top w:val="single" w:sz="8" w:color="auto"/>
            </w:tcBorders>
          </w:tcPr>
          <w:p>
            <w:pPr>
              <w:spacing w:after="0"/>
              <w:rPr>
                <w:sz w:val="24"/>
                <w:szCs w:val="24"/>
                <w:color w:val="auto"/>
              </w:rPr>
            </w:pPr>
          </w:p>
        </w:tc>
        <w:tc>
          <w:tcPr>
            <w:tcW w:w="356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Basic and diluted income (loss) per share was determined based on the following share data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ectPr>
          <w:pgSz w:w="11900" w:h="16838" w:orient="portrait"/>
          <w:cols w:equalWidth="0" w:num="1">
            <w:col w:w="11420"/>
          </w:cols>
          <w:pgMar w:left="240" w:top="125" w:right="239" w:bottom="1440" w:gutter="0" w:footer="0" w:header="0"/>
        </w:sectPr>
      </w:pPr>
    </w:p>
    <w:p>
      <w:pPr>
        <w:spacing w:after="0" w:line="242"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31115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5" w:lineRule="exact"/>
        <w:rPr>
          <w:sz w:val="20"/>
          <w:szCs w:val="20"/>
          <w:color w:val="auto"/>
        </w:rPr>
      </w:pPr>
    </w:p>
    <w:p>
      <w:pPr>
        <w:sectPr>
          <w:pgSz w:w="11900" w:h="16838" w:orient="portrait"/>
          <w:cols w:equalWidth="0" w:num="2">
            <w:col w:w="8120" w:space="720"/>
            <w:col w:w="2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11,445</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11,378</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891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841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160</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12,489</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11,836</w:t>
            </w:r>
          </w:p>
        </w:tc>
        <w:tc>
          <w:tcPr>
            <w:tcW w:w="1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12,379</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11,180</w:t>
            </w:r>
          </w:p>
        </w:tc>
      </w:tr>
      <w:tr>
        <w:trPr>
          <w:trHeight w:val="34"/>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nine months ended September 30, 2014, the Company had losses from continuing operations and, as a result, no potentially dilutive securities were included in the denominator for computing diluted loss per share, because the impact would have been anti-dilutive. Accordingly, the weighted average basic shares outstanding were used to compute loss per share amounts for the period. For the nine months ended September 30, 2014, approximately 0.7 million shares related to potentially dilutive securities were excluded from the calculation of diluted loss per share, because their inclusion would have been anti-dilutive. For the three months ended September 30, 2014, approximately 0.1 million shares related to potentially dilutive securities were excluded from the calculation of diluted earnings per share, because their inclusion would have been anti-dilutive. No potentially dilutive securities were excluded from the calculation of diluted earnings per share for the three and nine months ended September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2010, the board of directors authorized and the Company announced the repurchase of up to $10.0 million of LendingTree's common stock. In May 2014, the board of directors authorized and the Company announced the repurchase of up to an additional $10.0 million of LendingTree's common stock. During the nine months ended September 30, 2015, the Company purchased 5,250 shares of its common stock pursuant to this stock repurchase program. At September 30, 2015, approximately $7.3 million remains authorized for share repurchase.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425</w:t>
            </w:r>
          </w:p>
        </w:tc>
        <w:tc>
          <w:tcPr>
            <w:tcW w:w="6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1,080</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1,178</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3,909</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351</w:t>
            </w:r>
          </w:p>
        </w:tc>
        <w:tc>
          <w:tcPr>
            <w:tcW w:w="6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1,176</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854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w:t>
            </w:r>
          </w:p>
        </w:tc>
        <w:tc>
          <w:tcPr>
            <w:tcW w:w="6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1,978</w:t>
            </w:r>
          </w:p>
        </w:tc>
        <w:tc>
          <w:tcPr>
            <w:tcW w:w="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1,786</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6,371</w:t>
            </w:r>
          </w:p>
        </w:tc>
        <w:tc>
          <w:tcPr>
            <w:tcW w:w="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4,859</w:t>
            </w:r>
          </w:p>
        </w:tc>
      </w:tr>
      <w:tr>
        <w:trPr>
          <w:trHeight w:val="34"/>
        </w:trPr>
        <w:tc>
          <w:tcPr>
            <w:tcW w:w="5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45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95"/>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2015</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2,136,679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18.16</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44,635</w:t>
            </w:r>
          </w:p>
        </w:tc>
        <w:tc>
          <w:tcPr>
            <w:tcW w:w="32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66.68</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(134,515)</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17.51</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(127,439)</w:t>
            </w:r>
          </w:p>
        </w:tc>
        <w:tc>
          <w:tcPr>
            <w:tcW w:w="32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26.84</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7.88</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2015</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1,918,021</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18.76</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6.15</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142,596</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2015</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934,288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8.53</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3.70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78,944</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$93.03 on the last trading day of the quarter ended September 30, 2015 and the exercise price, multiplied by the number of shares covered by in-the-money options) that would have been received by the option holders had all option holders exercised their options on September 30, 2015.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nine months ended September 30, 2015, the Company granted stock options to certain employees and the board of directors with a weighted average grant date fair value per share of $26.71, which vesting periods include (a) three years from the grant date, (b) 25% and 75% over a period of 1.67 years and 2.67 years, respectively, (c) one year from the grant date and (d) two years from the grant date.</w:t>
      </w:r>
    </w:p>
    <w:p>
      <w:pPr>
        <w:spacing w:after="0" w:line="11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5.50 - 6.23 years</w:t>
            </w:r>
          </w:p>
        </w:tc>
      </w:tr>
      <w:tr>
        <w:trPr>
          <w:trHeight w:val="270"/>
        </w:trPr>
        <w:tc>
          <w:tcPr>
            <w:tcW w:w="55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 - 42.46%</w:t>
            </w:r>
          </w:p>
        </w:tc>
      </w:tr>
      <w:tr>
        <w:trPr>
          <w:trHeight w:val="270"/>
        </w:trPr>
        <w:tc>
          <w:tcPr>
            <w:tcW w:w="552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8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1.65% - 2.01%</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2015,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RSUs</w:t>
            </w: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3"/>
            <w:vMerge w:val="restart"/>
          </w:tcPr>
          <w:p>
            <w:pPr>
              <w:jc w:val="center"/>
              <w:ind w:right="295"/>
              <w:spacing w:after="0"/>
              <w:rPr>
                <w:sz w:val="20"/>
                <w:szCs w:val="20"/>
                <w:color w:val="auto"/>
              </w:rPr>
            </w:pPr>
            <w:r>
              <w:rPr>
                <w:rFonts w:ascii="Arial" w:cs="Arial" w:eastAsia="Arial" w:hAnsi="Arial"/>
                <w:sz w:val="14"/>
                <w:szCs w:val="14"/>
                <w:b w:val="1"/>
                <w:bCs w:val="1"/>
                <w:color w:val="auto"/>
                <w:w w:val="95"/>
              </w:rPr>
              <w:t>Number of Units</w:t>
            </w:r>
          </w:p>
        </w:tc>
        <w:tc>
          <w:tcPr>
            <w:tcW w:w="440" w:type="dxa"/>
            <w:vAlign w:val="bottom"/>
          </w:tcPr>
          <w:p>
            <w:pPr>
              <w:spacing w:after="0"/>
              <w:rPr>
                <w:sz w:val="13"/>
                <w:szCs w:val="13"/>
                <w:color w:val="auto"/>
              </w:rPr>
            </w:pPr>
          </w:p>
        </w:tc>
        <w:tc>
          <w:tcPr>
            <w:tcW w:w="1500" w:type="dxa"/>
            <w:vAlign w:val="bottom"/>
            <w:gridSpan w:val="2"/>
          </w:tcPr>
          <w:p>
            <w:pPr>
              <w:jc w:val="center"/>
              <w:ind w:right="25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194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center"/>
              <w:ind w:left="125"/>
              <w:spacing w:after="0"/>
              <w:rPr>
                <w:sz w:val="20"/>
                <w:szCs w:val="20"/>
                <w:color w:val="auto"/>
              </w:rPr>
            </w:pPr>
            <w:r>
              <w:rPr>
                <w:rFonts w:ascii="Arial" w:cs="Arial" w:eastAsia="Arial" w:hAnsi="Arial"/>
                <w:sz w:val="14"/>
                <w:szCs w:val="14"/>
                <w:b w:val="1"/>
                <w:bCs w:val="1"/>
                <w:i w:val="1"/>
                <w:iCs w:val="1"/>
                <w:color w:val="auto"/>
                <w:w w:val="95"/>
              </w:rPr>
              <w:t>(per unit)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2015</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351,801</w:t>
            </w:r>
          </w:p>
        </w:tc>
        <w:tc>
          <w:tcPr>
            <w:tcW w:w="4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22.83</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94,310</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65.57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(176,914)</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20.31</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(27,788)</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32.37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2015</w:t>
            </w:r>
          </w:p>
        </w:tc>
        <w:tc>
          <w:tcPr>
            <w:tcW w:w="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241,409</w:t>
            </w:r>
          </w:p>
        </w:tc>
        <w:tc>
          <w:tcPr>
            <w:tcW w:w="4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40.29</w:t>
            </w:r>
          </w:p>
        </w:tc>
        <w:tc>
          <w:tcPr>
            <w:tcW w:w="0" w:type="dxa"/>
            <w:vAlign w:val="bottom"/>
          </w:tcPr>
          <w:p>
            <w:pPr>
              <w:spacing w:after="0"/>
              <w:rPr>
                <w:sz w:val="1"/>
                <w:szCs w:val="1"/>
                <w:color w:val="auto"/>
              </w:rPr>
            </w:pPr>
          </w:p>
        </w:tc>
      </w:tr>
      <w:tr>
        <w:trPr>
          <w:trHeight w:val="548"/>
        </w:trPr>
        <w:tc>
          <w:tcPr>
            <w:tcW w:w="58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20" w:type="dxa"/>
            <w:vAlign w:val="bottom"/>
            <w:tcBorders>
              <w:top w:val="single" w:sz="8" w:color="auto"/>
              <w:bottom w:val="single" w:sz="8" w:color="auto"/>
            </w:tcBorders>
            <w:gridSpan w:val="3"/>
          </w:tcPr>
          <w:p>
            <w:pPr>
              <w:jc w:val="right"/>
              <w:ind w:right="765"/>
              <w:spacing w:after="0"/>
              <w:rPr>
                <w:sz w:val="20"/>
                <w:szCs w:val="20"/>
                <w:color w:val="auto"/>
              </w:rPr>
            </w:pPr>
            <w:r>
              <w:rPr>
                <w:rFonts w:ascii="Arial" w:cs="Arial" w:eastAsia="Arial" w:hAnsi="Arial"/>
                <w:sz w:val="14"/>
                <w:szCs w:val="14"/>
                <w:b w:val="1"/>
                <w:bCs w:val="1"/>
                <w:color w:val="auto"/>
              </w:rPr>
              <w:t>Restricted Stock</w:t>
            </w:r>
          </w:p>
        </w:tc>
        <w:tc>
          <w:tcPr>
            <w:tcW w:w="5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3"/>
          </w:tcPr>
          <w:p>
            <w:pPr>
              <w:jc w:val="center"/>
              <w:ind w:right="315"/>
              <w:spacing w:after="0" w:line="153" w:lineRule="exact"/>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3"/>
                <w:szCs w:val="13"/>
                <w:color w:val="auto"/>
              </w:rPr>
            </w:pPr>
          </w:p>
        </w:tc>
        <w:tc>
          <w:tcPr>
            <w:tcW w:w="1500" w:type="dxa"/>
            <w:vAlign w:val="bottom"/>
            <w:gridSpan w:val="2"/>
          </w:tcPr>
          <w:p>
            <w:pPr>
              <w:jc w:val="center"/>
              <w:ind w:right="25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95"/>
              <w:spacing w:after="0"/>
              <w:rPr>
                <w:sz w:val="20"/>
                <w:szCs w:val="20"/>
                <w:color w:val="auto"/>
              </w:rPr>
            </w:pPr>
            <w:r>
              <w:rPr>
                <w:rFonts w:ascii="Arial" w:cs="Arial" w:eastAsia="Arial" w:hAnsi="Arial"/>
                <w:sz w:val="14"/>
                <w:szCs w:val="14"/>
                <w:b w:val="1"/>
                <w:bCs w:val="1"/>
                <w:color w:val="auto"/>
                <w:w w:val="85"/>
              </w:rPr>
              <w:t>Shares</w:t>
            </w:r>
          </w:p>
        </w:tc>
        <w:tc>
          <w:tcPr>
            <w:tcW w:w="194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center"/>
              <w:ind w:left="125"/>
              <w:spacing w:after="0"/>
              <w:rPr>
                <w:sz w:val="20"/>
                <w:szCs w:val="20"/>
                <w:color w:val="auto"/>
              </w:rPr>
            </w:pPr>
            <w:r>
              <w:rPr>
                <w:rFonts w:ascii="Arial" w:cs="Arial" w:eastAsia="Arial" w:hAnsi="Arial"/>
                <w:sz w:val="14"/>
                <w:szCs w:val="14"/>
                <w:b w:val="1"/>
                <w:bCs w:val="1"/>
                <w:i w:val="1"/>
                <w:iCs w:val="1"/>
                <w:color w:val="auto"/>
                <w:w w:val="91"/>
              </w:rPr>
              <w:t>(per share)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2015</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123,057</w:t>
            </w:r>
          </w:p>
        </w:tc>
        <w:tc>
          <w:tcPr>
            <w:tcW w:w="4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23.41</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(35,295)</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20.62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2015</w:t>
            </w:r>
          </w:p>
        </w:tc>
        <w:tc>
          <w:tcPr>
            <w:tcW w:w="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87,762</w:t>
            </w:r>
          </w:p>
        </w:tc>
        <w:tc>
          <w:tcPr>
            <w:tcW w:w="4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24.54</w:t>
            </w:r>
          </w:p>
        </w:tc>
        <w:tc>
          <w:tcPr>
            <w:tcW w:w="0" w:type="dxa"/>
            <w:vAlign w:val="bottom"/>
          </w:tcPr>
          <w:p>
            <w:pPr>
              <w:spacing w:after="0"/>
              <w:rPr>
                <w:sz w:val="1"/>
                <w:szCs w:val="1"/>
                <w:color w:val="auto"/>
              </w:rPr>
            </w:pPr>
          </w:p>
        </w:tc>
      </w:tr>
      <w:tr>
        <w:trPr>
          <w:trHeight w:val="486"/>
        </w:trPr>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8—INCOME TAXES</w:t>
            </w:r>
          </w:p>
        </w:tc>
        <w:tc>
          <w:tcPr>
            <w:tcW w:w="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20" w:type="dxa"/>
            <w:vAlign w:val="bottom"/>
          </w:tcPr>
          <w:p>
            <w:pPr>
              <w:spacing w:after="0"/>
              <w:rPr>
                <w:sz w:val="24"/>
                <w:szCs w:val="24"/>
                <w:color w:val="auto"/>
              </w:rPr>
            </w:pPr>
          </w:p>
        </w:tc>
        <w:tc>
          <w:tcPr>
            <w:tcW w:w="2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3"/>
          </w:tcPr>
          <w:p>
            <w:pPr>
              <w:jc w:val="right"/>
              <w:ind w:right="165"/>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6"/>
          </w:tcPr>
          <w:p>
            <w:pPr>
              <w:jc w:val="right"/>
              <w:ind w:right="176"/>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82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85"/>
              </w:rPr>
              <w:t>(389)</w:t>
            </w:r>
          </w:p>
        </w:tc>
        <w:tc>
          <w:tcPr>
            <w:tcW w:w="46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(968)</w:t>
            </w:r>
          </w:p>
        </w:tc>
        <w:tc>
          <w:tcPr>
            <w:tcW w:w="980" w:type="dxa"/>
            <w:vAlign w:val="bottom"/>
            <w:tcBorders>
              <w:bottom w:val="single" w:sz="8" w:color="CCEEFF"/>
            </w:tcBorders>
            <w:shd w:val="clear" w:color="auto" w:fill="CCEEFF"/>
          </w:tcPr>
          <w:p>
            <w:pPr>
              <w:jc w:val="right"/>
              <w:ind w:right="605"/>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8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0.4%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20" w:type="dxa"/>
            <w:vAlign w:val="bottom"/>
            <w:gridSpan w:val="2"/>
          </w:tcPr>
          <w:p>
            <w:pPr>
              <w:jc w:val="right"/>
              <w:ind w:right="865"/>
              <w:spacing w:after="0"/>
              <w:rPr>
                <w:sz w:val="20"/>
                <w:szCs w:val="20"/>
                <w:color w:val="auto"/>
              </w:rPr>
            </w:pPr>
            <w:r>
              <w:rPr>
                <w:rFonts w:ascii="Arial" w:cs="Arial" w:eastAsia="Arial" w:hAnsi="Arial"/>
                <w:sz w:val="18"/>
                <w:szCs w:val="18"/>
                <w:i w:val="1"/>
                <w:iCs w:val="1"/>
                <w:color w:val="auto"/>
              </w:rPr>
              <w:t>4.8%</w:t>
            </w: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3.2%</w:t>
            </w:r>
          </w:p>
        </w:tc>
        <w:tc>
          <w:tcPr>
            <w:tcW w:w="0" w:type="dxa"/>
            <w:vAlign w:val="bottom"/>
          </w:tcPr>
          <w:p>
            <w:pPr>
              <w:spacing w:after="0"/>
              <w:rPr>
                <w:sz w:val="1"/>
                <w:szCs w:val="1"/>
                <w:color w:val="auto"/>
              </w:rPr>
            </w:pPr>
          </w:p>
        </w:tc>
      </w:tr>
      <w:tr>
        <w:trPr>
          <w:trHeight w:val="27"/>
        </w:trPr>
        <w:tc>
          <w:tcPr>
            <w:tcW w:w="582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c>
          <w:tcPr>
            <w:tcW w:w="560" w:type="dxa"/>
            <w:vAlign w:val="bottom"/>
            <w:tcBorders>
              <w:bottom w:val="single" w:sz="8" w:color="999999"/>
            </w:tcBorders>
          </w:tcPr>
          <w:p>
            <w:pPr>
              <w:spacing w:after="0"/>
              <w:rPr>
                <w:sz w:val="2"/>
                <w:szCs w:val="2"/>
                <w:color w:val="auto"/>
              </w:rPr>
            </w:pPr>
          </w:p>
        </w:tc>
        <w:tc>
          <w:tcPr>
            <w:tcW w:w="460" w:type="dxa"/>
            <w:vAlign w:val="bottom"/>
            <w:tcBorders>
              <w:bottom w:val="single" w:sz="8" w:color="999999"/>
            </w:tcBorders>
          </w:tcPr>
          <w:p>
            <w:pPr>
              <w:spacing w:after="0"/>
              <w:rPr>
                <w:sz w:val="2"/>
                <w:szCs w:val="2"/>
                <w:color w:val="auto"/>
              </w:rPr>
            </w:pPr>
          </w:p>
        </w:tc>
        <w:tc>
          <w:tcPr>
            <w:tcW w:w="40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440" w:type="dxa"/>
            <w:vAlign w:val="bottom"/>
            <w:tcBorders>
              <w:bottom w:val="single" w:sz="8" w:color="999999"/>
            </w:tcBorders>
          </w:tcPr>
          <w:p>
            <w:pPr>
              <w:spacing w:after="0"/>
              <w:rPr>
                <w:sz w:val="2"/>
                <w:szCs w:val="2"/>
                <w:color w:val="auto"/>
              </w:rPr>
            </w:pPr>
          </w:p>
        </w:tc>
        <w:tc>
          <w:tcPr>
            <w:tcW w:w="98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Tax expense for the three and nine months ended September 30, 2015 is primarily comprised of the federal Alternative Minimum Tax and state taxes.</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and nine months ended September 30, 2015 and 2014, the effective tax rates varied from the statutory rate primarily due to the existence of a valuation allowance that has been provided to offset the Company's net deferred tax asset and 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has been no change to the Company's valuation allowance assessment for the three and nine months ended September 30,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leases office space used in connection with its operations under various operating leases, which contain escalation clauses. The Company's operating leases relate to its office space in Charlotte, North Carolina and Burlingame, California. Effective, May 2015, the Company renewed the lease for its principal executive office located in Charlotte, North Carolina.</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Future minimum payments as of September 30, 2015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2016</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2018</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995</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1,055</w:t>
            </w:r>
          </w:p>
        </w:tc>
      </w:tr>
      <w:tr>
        <w:trPr>
          <w:trHeight w:val="27"/>
        </w:trPr>
        <w:tc>
          <w:tcPr>
            <w:tcW w:w="9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5,396</w:t>
            </w:r>
          </w:p>
        </w:tc>
      </w:tr>
      <w:tr>
        <w:trPr>
          <w:trHeight w:val="27"/>
        </w:trPr>
        <w:tc>
          <w:tcPr>
            <w:tcW w:w="9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10,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2015 and December 31, 2014, the Company had a litigation settlement accrual for its continuing operations of $0.6 million and $2.8 million, respectively. The litigation settlement accrual relates to litigation matters that were either settled or a firm offer for settlement was extended, thereby establishing an accrual amount that is both probable and reasonably estimable.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LendingTree v. Zillow, Inc., et al. Civil Action No. 3:10-cv-439</w:t>
      </w:r>
      <w:r>
        <w:rPr>
          <w:rFonts w:ascii="Arial" w:cs="Arial" w:eastAsia="Arial" w:hAnsi="Arial"/>
          <w:sz w:val="17"/>
          <w:szCs w:val="17"/>
          <w:color w:val="auto"/>
        </w:rPr>
        <w:t>. On September 8, 2010, the Company filed an action for patent infringement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that those patents are invalid due to an inventorship defect, and the court found that NexTag was entitled to defense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 The trial and post-trial motion process is now complete.</w:t>
      </w:r>
    </w:p>
    <w:p>
      <w:pPr>
        <w:spacing w:after="0" w:line="14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The company filed its appellate brief in September 2015.</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5"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accompanying consolidated balance sheet as of September 30, 2015.</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Lijkel Dijkstra v. Harry Carenbauer, Home Loan Center, Inc. et al., No. 5:11-cv-152-JPB (U.S. Dist. Ct., N.D.WV). </w:t>
      </w:r>
      <w:r>
        <w:rPr>
          <w:rFonts w:ascii="Arial" w:cs="Arial" w:eastAsia="Arial" w:hAnsi="Arial"/>
          <w:sz w:val="18"/>
          <w:szCs w:val="18"/>
          <w:color w:val="auto"/>
        </w:rPr>
        <w:t>In November 2008, the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included consumers with mortgage loans in effect any time after November 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2007 who obtained such loans through HLC, and whose loans were closed by persons not admitted to the practice of law in West Virginia or by persons not under the direct supervision of a lawyer admitted to the practice of law in West Virginia. In February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settled the remaining Individual Claims in June 2014.</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July 2014, the court awarded damages to plaintiffs in the amount of $2.8 million. HLC filed a notice of appeal in August 2014 and in September 2014, plaintiffs filed a motion to dismiss the appeal. In December 2014, the U.S. Court of Appeals for the Fourth Circuit determined that the district court's order was not yet final, and, accordingly, HLC's appeal was dismissed. In July 2015, the district court awarded attorneys' fees to Plaintiffs consisting of one-third of the class damages award plus an additional $389,500. The judge also awarded prejudgment interest to Plaintiffs. On July 30, 2015, the district court judge entered a final judgment order in this matter. On August 27, 2015, HLC filed its notice of appeal to the U.S. Court of Appeals for the Fourth Circuit with respect to the final judgment, the order granting attorneys' fees, and the orders on class damages, the pretrial conference, motions and class certification. A reserve of $3.2 million has been established for this matter in the accompanying consolidated balance sheet as of September 30, 2015, of which some or all may be covered by insurance.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9, 2015, HLC filed its answer to RFC’s complaint, denying the material allegations of the complaint and asserting numerous defenses thereto.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Discovery is ongoing in this matter. HLC intends to vigorously defend this action.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 Demand Letter</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2014, HLC received a demand letter (the “Letter”) from the Bankruptcy Estate of Lehman Brothers Holdings, Inc. (“LBHI”) concerning 64 loans (the “Loans”) that LBHI alleges were sold by HLC to Lehman Brothers Bank, FSB (“LBB”) between 2004 and 2008 pursuant to a loan purchase agreement (the “LPA”) between HLC and LBB. The Letter claims that LBB subsequently sold the Loans to LBHI and that LBB assigned to LBHI its contractual rights pursuant to the LPA with respect to the Loans. LBHI now alleges that HLC breached certain representations and warranties in the LPA concerning the Loans. The Letter states that LBHI, as an assign of LBB, now seeks indemnification from HLC in accordance with the LPA for certain claims that LBHI alleges it allowed in its bankruptcy with respect to the Loans. HLC and LBHI are currently engaged in negotiations concerning the allegations made in the Letter. Should LBHI bring any actions relating to the matters alleged in the Letter,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intends to defend against such actions vigorously. A reserve of $0.5 million for this matter is included in the accompanying consolidated balance sheet as of September 30,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2015, management made certain changes to its organizational structure that impacted its previous operating segments. As a result, management concluded it had one reportable segment representing the Company's Lending activities. Previously reported segment results have been revised to conform to the Company's one reportable segment at September 30, 2015.</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250"/>
        </w:trPr>
        <w:tc>
          <w:tcPr>
            <w:tcW w:w="6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32,026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118,367</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100,936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25,633</w:t>
            </w:r>
          </w:p>
        </w:tc>
        <w:tc>
          <w:tcPr>
            <w:tcW w:w="5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9,280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57,508</w:t>
            </w:r>
          </w:p>
        </w:tc>
        <w:tc>
          <w:tcPr>
            <w:tcW w:w="5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22,550</w:t>
            </w:r>
          </w:p>
        </w:tc>
      </w:tr>
      <w:tr>
        <w:trPr>
          <w:trHeight w:val="27"/>
        </w:trPr>
        <w:tc>
          <w:tcPr>
            <w:tcW w:w="6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69,804</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41,306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175,875</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123,486</w:t>
            </w:r>
          </w:p>
        </w:tc>
      </w:tr>
      <w:tr>
        <w:trPr>
          <w:trHeight w:val="27"/>
        </w:trPr>
        <w:tc>
          <w:tcPr>
            <w:tcW w:w="6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12—RESTRUCTURING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Accrued restructuring costs primarily relate to lease obligations for call center leases exited in 2010, which were completed in 2015. Restructuring expense and payments against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6"/>
              </w:rPr>
              <w:t>Continuing Lease Obligations</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Restructuring income</w:t>
            </w: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8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9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34"/>
        </w:trPr>
        <w:tc>
          <w:tcPr>
            <w:tcW w:w="9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2014</w:t>
            </w: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w:t>
            </w:r>
          </w:p>
        </w:tc>
        <w:tc>
          <w:tcPr>
            <w:tcW w:w="86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4</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118</w:t>
            </w:r>
          </w:p>
        </w:tc>
      </w:tr>
      <w:tr>
        <w:trPr>
          <w:trHeight w:val="318"/>
        </w:trPr>
        <w:tc>
          <w:tcPr>
            <w:tcW w:w="6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(1,343)</w:t>
            </w:r>
          </w:p>
        </w:tc>
        <w:tc>
          <w:tcPr>
            <w:tcW w:w="86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(3,369)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48</w:t>
            </w:r>
          </w:p>
        </w:tc>
        <w:tc>
          <w:tcPr>
            <w:tcW w:w="8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(1,295)</w:t>
            </w:r>
          </w:p>
        </w:tc>
        <w:tc>
          <w:tcPr>
            <w:tcW w:w="86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(3,238)</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(3,679)</w:t>
            </w:r>
          </w:p>
        </w:tc>
      </w:tr>
      <w:tr>
        <w:trPr>
          <w:trHeight w:val="27"/>
        </w:trPr>
        <w:tc>
          <w:tcPr>
            <w:tcW w:w="6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June 6, 2012, the Company sold substantially all of the operating assets of its LendingTree Loans business for $55.9 million in cash. The buyer, a wholly-owned subsidiary of Discover Financial Services ("Discover"), generally did not assume liabilities of the LendingTree Loans business that arose before the closing date, except for certain liabilities directly related to assets Discover acquired. Of the purchase price paid, as of September 30, 2015, $16.1 million is being held in escrow in accordance with the agreement with Discover for certain loan loss obligations that remain with the Company following the sale. As a result of a settlement agreement in 2014 with a secondary market purchaser of loans, $12.1 million of such amount is expected to be released from escrow in December 2015. The escrowed amount is recorded as restricted cash at September 30,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 participated as a marketplace lender from closing of the transaction through July 2015.</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An evaluation of the facts and circumstances of the transaction and the applicable accounting guidance for discontinued operations indicates that the LendingTree Loans business should be reflected as discontinued operations in the accompanying consolidated financial statements for all periods presented. The continuing cash flows related to this transaction are not significant and, accordingly, are not deemed to be direct cash flows of the divested business.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September 30, 2015, approximately $16.1 million is being held in escrow pending resolution of certain of these contingent liabilities. As a result of a settlement agreement in 2014 with a secondary market purchaser of loans, $12.1 million of such amount is expected to be released from escrow in December 2015.</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sale of substantially all of the operating assets of LendingTree Loans in June 2012, it originated approximately 234,000 loans with an original issue balance of $38.9 billion.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 The settlement was paid in the fourth quarter of 2014 with restricted cash of $3.1 million and cash on hand of $2.3 million. The settlement with this investor in the fourth quarter of 2014 and the impact this settlement had on the estimate of the remaining loan loss obligations resulted in income of $14.1 million, which was included in income from discontinued operations in the consolidated statements of operations and comprehensive income during the fourth quarter of 2014. The adjustment to the loan loss reserve did not result in tax expense recognition, due to the Company's full valuation allowance against its deferred tax assets.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$6.0 million to $10.2 million at September 30, 2015. The reserve balance recorded as of September 30, 2015 was $8.8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8,750</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28,543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8,750</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28,390</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28,390</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September 30, 2015 and December 31,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the Company's wholly-owned subsidiary, LendingTree, LLC, entered into a $125.0 million five-year senior secured revolving credit facility which matures on October 22, 2020 (the “Revolving Credit Facility”). The proceeds of the Revolving Credit Facility can be used to finance the working capital needs, capital expenditures and general corporate purposes, including to finance permitted acquisitions. As of October 26, 2015, the Company does not have any borrowings outstanding under the Revolving Credit Facility.</w:t>
      </w:r>
    </w:p>
    <w:p>
      <w:pPr>
        <w:spacing w:after="0" w:line="13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up to an aggregate amount of $50.0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1.0% to 2.0% based on the funded debt to consolidated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2.0% to 3.0% based on the funded debt to consolidated EBITDA ratio.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Revolving Credit Facility contains certain restrictive financial covenants, which include a consolidated debt to EBITDA ratio and a consolidated EBITDA to interest expense ratio.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and other restricted payments, transactions with affiliates, sale-leaseback transactions, hedging transactions, loans and investments and other matters customarily restricted in such agreements.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its assets, including 100% of its equity in all of its subsidiaries. The obligations under this facility are unconditionally guaranteed on a senior basis by LendingTree, Inc. and specific subsidiaries of LendingTree, LLC, which guaranties are secured by a pledge as collateral, subject to certain customary exclusions, of 100% of each of such guarantor's assets, including 100% of its equity in all of its subsidiaries.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0.5% per annum based on a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2.0% to 3.0% based on the consolidated debt to EBITDA ratio. The letter of credit fronting fee is .125% per annum on the face amount of each letter of credit.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paid $1.1 million in fees and expenses to the lenders at the time of closing in October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quarterly report on Form 10-Q for the quarter ended June 30, 2015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2014 Annual Report.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formerly known as Tree.com, Inc., is the parent of LendingTree, LLC and several companies owned by LendingTree, LLC.</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LendingTree operates what we believe to be the leading online marketplace for consumers seeking a broad array of loan types and other credit-based offerings. We offer consumers tools and resources, including free credit scores, that help them to comparison-shop for mortgage loans, home equity loans and lines of credit, reverse mortgages, personal loans, auto loans, student loans, credit cards, small business loans and other related offerings. We primarily seek to match in-market consumers with multiple lenders on our marketplace who can provide them with competing quotes for the loans or credit-based offerings they are seeking. We also serve as a valued partner to lenders seeking an efficient, scalable and flexible source of customer acquisition with directly measurable benefits, by matching the consumer loan inquiries we generate with these lenders.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2014, we re-launched My LendingTree, a platform that offers a personalized loan comparison-shopping experience, by providing free credit scores, credit score analysis and an in-depth view of a consumer's credit profile. We believe this new platform will enable us to provide consumers with measurable savings opportunities over their lifetimes, as we are able to observe their credit profiles and then identify loan and credit-based opportunities on our marketplace that may be more favorable than the loans they may have at a given point in time, which we can alert them to.</w:t>
      </w:r>
    </w:p>
    <w:p>
      <w:pPr>
        <w:spacing w:after="0" w:line="6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and Operating Segments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2015, management made certain changes to its organizational structure that impacted its previous operating segments. As a result, management concluded it had one reportable segment representing our Lending activities. Previously reported segment results have been revised to conform to our reportable segments at September 30,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is subject to the cyclical and seasonal trends of the U.S. housing and mortgage markets. Home sales typically rise during the spring and summer months and decline during the fall and winter months, while refinancing and home equity activity is principally driven by mortgage interest rates as well as real estate values. However, these trends in our businesses are not absolute and there have been exceptions to them. For example, in recent periods additional factors affecting the mortgage and real estate markets have impacted customary seasonal trends.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have not experienced seasonality in our personal loan product, based on industry data, we anticipate that as this product matures we will experience less consumer demand during the fourth and first quarters of each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88265</wp:posOffset>
            </wp:positionV>
            <wp:extent cx="4493895" cy="2126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9389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According to Freddie Mac, since the end of 2013, 30-year fixed mortgage interest rates have generally declined, reaching a monthly average of 3.67% in January 2015, its lowest since May 2013. Since January 2015, mortgage interest rates have generally risen. On a quarterly basis, mortgage interest rates in the third quarter of 2015 averaged 3.95%, as compared to 3.83% in the second quarter of 2015 and 4.14% in the third quarter of 2014.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238125</wp:posOffset>
            </wp:positionV>
            <wp:extent cx="4536440" cy="2409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3644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Typically, as mortgage interest rates rise, there are less consumers in the marketplace seeking refinancings and, accordingly, the mix of mortgage origination dollars moves towards purchase mortgages. According to Mortgage Bankers Association ("MBA") data, total refinance origination dollars decreased to 37% of total mortgage origination dollars in the third quarter of 2015, as a result of the rise in average mortgage interest rates.</w:t>
      </w:r>
    </w:p>
    <w:p>
      <w:pPr>
        <w:spacing w:after="0" w:line="5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Looking forward, MBA is projecting mortgage interest rates to climb during the remainder of 2015, to an average 4.0% on 30-year fixed rate mortgages in the fourth quarter of 2015 and an average 3.9% for the full-year 2015. According to MBA projections, despite the anticipated rise in interest rates during the fourth quarter of 2015, the mix of mortgage origination dollars will move towards refinance mortgages, likely due to a slower U.S. real estate market during the winter holiday season, with the refinance share representing 42% of the fourth quarter of 2015 and 43% of the full-year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Over the last few years, the U.S. real estate market has been recovering, albeit slowly.</w:t>
      </w:r>
    </w:p>
    <w:p>
      <w:pPr>
        <w:spacing w:after="0" w:line="6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Despite continued indications of economic recovery, in 2014, existing home sales nationwide declined approximately 3% over 2013, according to the National Association of Realtors ("NAR"), likely due to lessening housing affordability and higher mortgage interest rates. However, sales of existing homes in the second half of 2014 were up 6% from the first half of the year, as economic growth accelerated, housing inventory increased and sales prices moderated. This momentum has continued into 2015 with the first half of 2015 with existing home sales nationwide up 1% over the second half of 2014.</w:t>
      </w:r>
    </w:p>
    <w:p>
      <w:pPr>
        <w:spacing w:after="0" w:line="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remainder of 2015, the NAR expects economic recovery to continue. Existing home sales nationwide are expected to increase approximately 5% over the first half of 2015, resulting in full-year 2015 growth of over 7%, while supporting sales price growth of approximately 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2015 and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gridSpan w:val="7"/>
          </w:tcPr>
          <w:p>
            <w:pPr>
              <w:ind w:left="460"/>
              <w:spacing w:after="0"/>
              <w:rPr>
                <w:sz w:val="20"/>
                <w:szCs w:val="20"/>
                <w:color w:val="auto"/>
              </w:rPr>
            </w:pPr>
            <w:r>
              <w:rPr>
                <w:rFonts w:ascii="Arial" w:cs="Arial" w:eastAsia="Arial" w:hAnsi="Arial"/>
                <w:sz w:val="16"/>
                <w:szCs w:val="16"/>
                <w:b w:val="1"/>
                <w:bCs w:val="1"/>
                <w:color w:val="auto"/>
              </w:rPr>
              <w:t>Three Months Ended September 30,</w:t>
            </w:r>
          </w:p>
        </w:tc>
        <w:tc>
          <w:tcPr>
            <w:tcW w:w="360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880" w:type="dxa"/>
            <w:vAlign w:val="bottom"/>
          </w:tcPr>
          <w:p>
            <w:pPr>
              <w:jc w:val="right"/>
              <w:ind w:right="480"/>
              <w:spacing w:after="0" w:line="147"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21"/>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7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760" w:type="dxa"/>
            <w:vAlign w:val="bottom"/>
          </w:tcPr>
          <w:p>
            <w:pPr>
              <w:jc w:val="right"/>
              <w:ind w:right="380"/>
              <w:spacing w:after="0" w:line="147"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60"/>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3"/>
              </w:rPr>
              <w:t>Change</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80" w:type="dxa"/>
            <w:vAlign w:val="bottom"/>
            <w:gridSpan w:val="3"/>
          </w:tcPr>
          <w:p>
            <w:pPr>
              <w:jc w:val="right"/>
              <w:ind w:right="359"/>
              <w:spacing w:after="0"/>
              <w:rPr>
                <w:sz w:val="20"/>
                <w:szCs w:val="20"/>
                <w:color w:val="auto"/>
              </w:rPr>
            </w:pPr>
            <w:r>
              <w:rPr>
                <w:rFonts w:ascii="Arial" w:cs="Arial" w:eastAsia="Arial" w:hAnsi="Arial"/>
                <w:sz w:val="13"/>
                <w:szCs w:val="13"/>
                <w:b w:val="1"/>
                <w:bCs w:val="1"/>
                <w:i w:val="1"/>
                <w:iCs w:val="1"/>
                <w:color w:val="auto"/>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44,171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12,145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118,367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100,936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17,431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25,633</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9,280</w:t>
            </w:r>
          </w:p>
        </w:tc>
        <w:tc>
          <w:tcPr>
            <w:tcW w:w="180" w:type="dxa"/>
            <w:vAlign w:val="bottom"/>
          </w:tcPr>
          <w:p>
            <w:pPr>
              <w:spacing w:after="0"/>
              <w:rPr>
                <w:sz w:val="20"/>
                <w:szCs w:val="20"/>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16,353</w:t>
            </w:r>
          </w:p>
        </w:tc>
        <w:tc>
          <w:tcPr>
            <w:tcW w:w="1000" w:type="dxa"/>
            <w:vAlign w:val="bottom"/>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57,508</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22,550</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34,958</w:t>
            </w:r>
          </w:p>
        </w:tc>
        <w:tc>
          <w:tcPr>
            <w:tcW w:w="920" w:type="dxa"/>
            <w:vAlign w:val="bottom"/>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69,804</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41,306</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28,498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175,875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123,486</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52,389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42 %</w:t>
            </w:r>
          </w:p>
        </w:tc>
        <w:tc>
          <w:tcPr>
            <w:tcW w:w="0" w:type="dxa"/>
            <w:vAlign w:val="bottom"/>
          </w:tcPr>
          <w:p>
            <w:pPr>
              <w:spacing w:after="0"/>
              <w:rPr>
                <w:sz w:val="1"/>
                <w:szCs w:val="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Cost of revenue (exclusive of depreciation shown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separately below)</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2,436</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326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6,402</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5,670</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732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48,901</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27,168</w:t>
            </w:r>
          </w:p>
        </w:tc>
        <w:tc>
          <w:tcPr>
            <w:tcW w:w="180" w:type="dxa"/>
            <w:vAlign w:val="bottom"/>
          </w:tcPr>
          <w:p>
            <w:pPr>
              <w:spacing w:after="0"/>
              <w:rPr>
                <w:sz w:val="20"/>
                <w:szCs w:val="20"/>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21,733</w:t>
            </w:r>
          </w:p>
        </w:tc>
        <w:tc>
          <w:tcPr>
            <w:tcW w:w="100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118,615</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83,581</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35,034</w:t>
            </w:r>
          </w:p>
        </w:tc>
        <w:tc>
          <w:tcPr>
            <w:tcW w:w="920" w:type="dxa"/>
            <w:vAlign w:val="bottom"/>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7,069</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479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21,336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18,201</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3,135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2,675</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1,658</w:t>
            </w:r>
          </w:p>
        </w:tc>
        <w:tc>
          <w:tcPr>
            <w:tcW w:w="180" w:type="dxa"/>
            <w:vAlign w:val="bottom"/>
          </w:tcPr>
          <w:p>
            <w:pPr>
              <w:spacing w:after="0"/>
              <w:rPr>
                <w:sz w:val="20"/>
                <w:szCs w:val="20"/>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1,017</w:t>
            </w:r>
          </w:p>
        </w:tc>
        <w:tc>
          <w:tcPr>
            <w:tcW w:w="100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7,238</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5,416</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1,822</w:t>
            </w:r>
          </w:p>
        </w:tc>
        <w:tc>
          <w:tcPr>
            <w:tcW w:w="920" w:type="dxa"/>
            <w:vAlign w:val="bottom"/>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2,541</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92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and severance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190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2,338</w:t>
            </w:r>
          </w:p>
        </w:tc>
        <w:tc>
          <w:tcPr>
            <w:tcW w:w="18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(2,205)</w:t>
            </w:r>
          </w:p>
        </w:tc>
        <w:tc>
          <w:tcPr>
            <w:tcW w:w="10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(663)</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10,430</w:t>
            </w:r>
          </w:p>
        </w:tc>
        <w:tc>
          <w:tcPr>
            <w:tcW w:w="14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w w:val="97"/>
              </w:rPr>
              <w:t>(11,093)</w:t>
            </w: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62,031</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40,752</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21,279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52 %</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155,609</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126,167</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29,442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23 %</w:t>
            </w:r>
          </w:p>
        </w:tc>
        <w:tc>
          <w:tcPr>
            <w:tcW w:w="0" w:type="dxa"/>
            <w:vAlign w:val="bottom"/>
          </w:tcPr>
          <w:p>
            <w:pPr>
              <w:spacing w:after="0"/>
              <w:rPr>
                <w:sz w:val="1"/>
                <w:szCs w:val="1"/>
                <w:color w:val="auto"/>
              </w:rPr>
            </w:pPr>
          </w:p>
        </w:tc>
      </w:tr>
      <w:tr>
        <w:trPr>
          <w:trHeight w:val="231"/>
        </w:trPr>
        <w:tc>
          <w:tcPr>
            <w:tcW w:w="39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7,773</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554</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7,219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1,303 %</w:t>
            </w: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20,266</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(2,681)</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22,947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856 %</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0"/>
                <w:szCs w:val="20"/>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60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(62)</w:t>
            </w:r>
          </w:p>
        </w:tc>
        <w:tc>
          <w:tcPr>
            <w:tcW w:w="920" w:type="dxa"/>
            <w:vAlign w:val="bottom"/>
          </w:tcPr>
          <w:p>
            <w:pPr>
              <w:jc w:val="right"/>
              <w:spacing w:after="0"/>
              <w:rPr>
                <w:sz w:val="20"/>
                <w:szCs w:val="20"/>
                <w:color w:val="auto"/>
              </w:rPr>
            </w:pPr>
            <w:r>
              <w:rPr>
                <w:rFonts w:ascii="Arial" w:cs="Arial" w:eastAsia="Arial" w:hAnsi="Arial"/>
                <w:sz w:val="16"/>
                <w:szCs w:val="16"/>
                <w:color w:val="auto"/>
              </w:rPr>
              <w:t>(6,200)%</w:t>
            </w:r>
          </w:p>
        </w:tc>
        <w:tc>
          <w:tcPr>
            <w:tcW w:w="0" w:type="dxa"/>
            <w:vAlign w:val="bottom"/>
          </w:tcPr>
          <w:p>
            <w:pPr>
              <w:spacing w:after="0"/>
              <w:rPr>
                <w:sz w:val="1"/>
                <w:szCs w:val="1"/>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7,772</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7,219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1,305 %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(2,682)</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22,885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853 %</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(389)</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(391)</w:t>
            </w:r>
          </w:p>
        </w:tc>
        <w:tc>
          <w:tcPr>
            <w:tcW w:w="1000" w:type="dxa"/>
            <w:vAlign w:val="bottom"/>
          </w:tcPr>
          <w:p>
            <w:pPr>
              <w:jc w:val="right"/>
              <w:spacing w:after="0"/>
              <w:rPr>
                <w:sz w:val="20"/>
                <w:szCs w:val="20"/>
                <w:color w:val="auto"/>
              </w:rPr>
            </w:pPr>
            <w:r>
              <w:rPr>
                <w:rFonts w:ascii="Arial" w:cs="Arial" w:eastAsia="Arial" w:hAnsi="Arial"/>
                <w:sz w:val="16"/>
                <w:szCs w:val="16"/>
                <w:color w:val="auto"/>
              </w:rPr>
              <w:t>(19,550)%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(968)</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(1,054)</w:t>
            </w:r>
          </w:p>
        </w:tc>
        <w:tc>
          <w:tcPr>
            <w:tcW w:w="920" w:type="dxa"/>
            <w:vAlign w:val="bottom"/>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7,383</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6,828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1,230 %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19,235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(2,596)</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21,831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841 %</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(1,295)</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w:t>
            </w:r>
          </w:p>
        </w:tc>
        <w:tc>
          <w:tcPr>
            <w:tcW w:w="18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(1,121)</w:t>
            </w:r>
          </w:p>
        </w:tc>
        <w:tc>
          <w:tcPr>
            <w:tcW w:w="100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(3,238)</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(3,679)</w:t>
            </w:r>
          </w:p>
        </w:tc>
        <w:tc>
          <w:tcPr>
            <w:tcW w:w="14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441</w:t>
            </w:r>
          </w:p>
        </w:tc>
        <w:tc>
          <w:tcPr>
            <w:tcW w:w="92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33"/>
        </w:trPr>
        <w:tc>
          <w:tcPr>
            <w:tcW w:w="3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7"/>
              </w:rPr>
              <w:t>Net income (loss) and comprehensive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6,088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5,707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15,997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22,272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355 %</w:t>
            </w:r>
          </w:p>
        </w:tc>
        <w:tc>
          <w:tcPr>
            <w:tcW w:w="0" w:type="dxa"/>
            <w:vAlign w:val="bottom"/>
          </w:tcPr>
          <w:p>
            <w:pPr>
              <w:spacing w:after="0"/>
              <w:rPr>
                <w:sz w:val="1"/>
                <w:szCs w:val="1"/>
                <w:color w:val="auto"/>
              </w:rPr>
            </w:pPr>
          </w:p>
        </w:tc>
      </w:tr>
      <w:tr>
        <w:trPr>
          <w:trHeight w:val="27"/>
        </w:trPr>
        <w:tc>
          <w:tcPr>
            <w:tcW w:w="3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increased in the third quarter and first nine months of 2015 compared to the third quarter and first nine months of 2014 due to increases in our non-mortgage products of $16.4 million and $35.0 million, respectively, and in our mortgage products of $12.1 million and $17.4 million, respectively.</w:t>
      </w:r>
    </w:p>
    <w:p>
      <w:pPr>
        <w:spacing w:after="0" w:line="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non-mortgage products include the following non-mortgage lending products: personal loans, home equity, reverse mortgage, credit cards, auto loans, student loans and small business loans. Our non-mortgage products also include home improvement referrals and education enrollment referrals. The increase in revenue from our non-mortgage products is primarily due to increases in revenue from our personal loans product and our credit cards product. Revenue from our personal loans product increased $11.9 million and $28.4 million, respectively, in the third quarter and first nine months of 2015 compared to the third quarter and first nine months of 2014 due to growing awareness in the market of the product, an increase in lenders on our exchange, increases in revenue earned per matched consumer and increased marketing efforts. Revenue from our credit cards product increased $2.5 million and $2.9 million, respectively, in the third quarter and first nine months of 2015 compared to the third quarter and first nine months of 2014 due to an increase in payouts from issuers in addition to increased marketing efforts. Revenue from each of our non-mortgage lending products increased in the third quarter and first nine months of 2015 compared to the third quarter and first nine months of 2014.</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revenue from our mortgage products in the third quarter of 2015 compared to the third quarter of 2014 is primarily due to an increase in revenue from our refinance product, although revenue from our purchase product also increased. The increase in revenue from our mortgage products in the first nine months of 2015 compared to the first nine months of 2014 is primarily due to an increase in revenue from our refinance product, partially offset by a decrease in revenue from our purchase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Mortgage interest rates were lower in the third quarter and first nine months of 2015 compared to the third quarter and first nine months of 2014, causing an increase in sales of the refinance product. Additionally, revenue from our refinance product increased in the third quarter of 2015 compared to the third quarter of 2014 due to increased demand of both new and existing lenders on our marketplace.</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number of consumers matched on our lending marketplace increased by 73% in the third quarter of 2015 compared to the third quarter of 2014 and by 82% in the first nine months of 2015 compared to the first nine months of 2014, while our average revenue earned from marketplace lenders per matched consumer decreased by 1% in the third quarter of 2015 compared to the third quarter of 2014 and decreased by 21% in the first nine months of 2015 compared to the first nine months of 2014. The decrease in revenue earned per matched consumer was primarily due to the increased relative contribution of our non-mortgage lending products, which have lower revenue per matched consumer rates than our mortgage products. Additionally, there was a reduction in revenue per matched consumer in our mortgage products in the first nine months of 2015 compared to the first nine months of 2014.</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Cost of revenue consists primarily of costs associated with compensation and other employee-related costs (including stock-based compensation) relating to internally-operated call centers, third-party customer call center fees, credit scoring fees, credit card fees and website network hosting and server fees.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third quarter of 2015 from the third quarter of 2014, primarily due to increases of $0.3 million in compensation and benefits as a result of increases in headcount and $0.2 million in credit card fees, partially offset by a $0.1 million decrease in credit scoring fees and a $0.1 million decrease in licenses and permits.</w:t>
      </w:r>
    </w:p>
    <w:p>
      <w:pPr>
        <w:spacing w:after="0" w:line="12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Cost of revenue increased in the first nine months of 2015 from the first nine months of 2014, primarily due to increases of $0.7 million in compensation and benefits as a result of increases in headcount and $0.4 million in credit card fees, partially offset by a $0.4 million decrease in credit scoring fees.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decreased slightly from 5% for the third quarter and first nine months of 2014 to 3% for the third quarter of 2015 and 4% for the first nine months of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increases in selling and marketing expense in the third quarter and first nine months of 2015 compared to the third quarter and first nine months of 2014 were primarily due to increases in advertising and promotional expense of $20.9 million and $33.1 million, respectively, as discussed below. In addition, selling and marketing expense increased in the third quarter and first nine months of 2015 compared to the third quarter and first nine months of 2014 due to an increase in compensation and benefits of $0.9 million and $1.9 million, respectively, as a result of increases in headcount.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w w:val="98"/>
              </w:rPr>
              <w:t>Nine Months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1140" w:type="dxa"/>
            <w:vAlign w:val="bottom"/>
          </w:tcPr>
          <w:p>
            <w:pPr>
              <w:jc w:val="right"/>
              <w:ind w:right="715"/>
              <w:spacing w:after="0" w:line="153"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9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8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1080" w:type="dxa"/>
            <w:vAlign w:val="bottom"/>
          </w:tcPr>
          <w:p>
            <w:pPr>
              <w:jc w:val="right"/>
              <w:ind w:right="63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gridSpan w:val="4"/>
          </w:tcPr>
          <w:p>
            <w:pPr>
              <w:jc w:val="right"/>
              <w:ind w:right="294"/>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34,412</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13,911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85,135</w:t>
            </w:r>
          </w:p>
        </w:tc>
        <w:tc>
          <w:tcPr>
            <w:tcW w:w="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63,597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21,538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8,614</w:t>
            </w:r>
          </w:p>
        </w:tc>
        <w:tc>
          <w:tcPr>
            <w:tcW w:w="3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2,792</w:t>
            </w:r>
          </w:p>
        </w:tc>
        <w:tc>
          <w:tcPr>
            <w:tcW w:w="300" w:type="dxa"/>
            <w:vAlign w:val="bottom"/>
          </w:tcPr>
          <w:p>
            <w:pPr>
              <w:spacing w:after="0"/>
              <w:rPr>
                <w:sz w:val="21"/>
                <w:szCs w:val="21"/>
                <w:color w:val="auto"/>
              </w:rPr>
            </w:pPr>
          </w:p>
        </w:tc>
        <w:tc>
          <w:tcPr>
            <w:tcW w:w="1140" w:type="dxa"/>
            <w:vAlign w:val="bottom"/>
          </w:tcPr>
          <w:p>
            <w:pPr>
              <w:jc w:val="right"/>
              <w:ind w:right="355"/>
              <w:spacing w:after="0"/>
              <w:rPr>
                <w:sz w:val="20"/>
                <w:szCs w:val="20"/>
                <w:color w:val="auto"/>
              </w:rPr>
            </w:pPr>
            <w:r>
              <w:rPr>
                <w:rFonts w:ascii="Arial" w:cs="Arial" w:eastAsia="Arial" w:hAnsi="Arial"/>
                <w:sz w:val="18"/>
                <w:szCs w:val="18"/>
                <w:color w:val="auto"/>
              </w:rPr>
              <w:t>5,822</w:t>
            </w: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18,304</w:t>
            </w:r>
          </w:p>
        </w:tc>
        <w:tc>
          <w:tcPr>
            <w:tcW w:w="3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8,475</w:t>
            </w:r>
          </w:p>
        </w:tc>
        <w:tc>
          <w:tcPr>
            <w:tcW w:w="280" w:type="dxa"/>
            <w:vAlign w:val="bottom"/>
          </w:tcPr>
          <w:p>
            <w:pPr>
              <w:spacing w:after="0"/>
              <w:rPr>
                <w:sz w:val="21"/>
                <w:szCs w:val="21"/>
                <w:color w:val="auto"/>
              </w:rPr>
            </w:pP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9,829</w:t>
            </w: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2,459</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1,333</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1,126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5,477</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3,720</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1,757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2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45,485</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24,626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355"/>
              <w:spacing w:after="0"/>
              <w:rPr>
                <w:sz w:val="20"/>
                <w:szCs w:val="20"/>
                <w:color w:val="auto"/>
              </w:rPr>
            </w:pPr>
            <w:r>
              <w:rPr>
                <w:rFonts w:ascii="Arial" w:cs="Arial" w:eastAsia="Arial" w:hAnsi="Arial"/>
                <w:sz w:val="18"/>
                <w:szCs w:val="18"/>
                <w:b w:val="1"/>
                <w:bCs w:val="1"/>
                <w:color w:val="auto"/>
              </w:rPr>
              <w:t>20,859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108,916</w:t>
            </w:r>
          </w:p>
        </w:tc>
        <w:tc>
          <w:tcPr>
            <w:tcW w:w="3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75,792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33,124</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34"/>
        </w:trPr>
        <w:tc>
          <w:tcPr>
            <w:tcW w:w="2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increased our advertising expenditures in the third quarter of 2015 compared to the third quarter of 2014 and the first nine months of 2015 compared to the first nine months of 2014, in order to generate additional lending lead volume to meet the increased demand of lenders on our marketplace.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71"/>
        <w:spacing w:after="0" w:line="302" w:lineRule="auto"/>
        <w:rPr>
          <w:sz w:val="20"/>
          <w:szCs w:val="20"/>
          <w:color w:val="auto"/>
        </w:rPr>
      </w:pPr>
      <w:r>
        <w:rPr>
          <w:rFonts w:ascii="Arial" w:cs="Arial" w:eastAsia="Arial" w:hAnsi="Arial"/>
          <w:sz w:val="16"/>
          <w:szCs w:val="16"/>
          <w:color w:val="auto"/>
        </w:rPr>
        <w:t>General and administrative expense increased in the third quarter of 2015 from the third quarter of 2014, primarily due to increases in compensation and benefits of $0.2 million, increases in recruiting expenses of $0.1 million, increases in computer software maintenance of $0.3 million, increases in travel and entertainment expenses of employees of $0.2 million, and increases in potential acquisition expenses of $0.2 million, partially offset by decreases in professional fees of $0.3 million, decreases in loss on fixed assets of $0.1 million, and decreases of franchise taxes of $0.2 million.</w:t>
      </w:r>
    </w:p>
    <w:p>
      <w:pPr>
        <w:spacing w:after="0" w:line="46" w:lineRule="exact"/>
        <w:rPr>
          <w:sz w:val="20"/>
          <w:szCs w:val="20"/>
          <w:color w:val="auto"/>
        </w:rPr>
      </w:pPr>
    </w:p>
    <w:p>
      <w:pPr>
        <w:jc w:val="both"/>
        <w:ind w:firstLine="381"/>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10% in the third quarter of 2015 compared to 16% in the third quarter of 2014.</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 increased in the first nine months of 2015 from the first nine months of 2014, primarily due to increases in compensation and benefits of $2.0 million, increases in recruiting expenses of $0.2 million, increases in professional fees of $0.4 million, increases in computer software maintenance of $0.4 million, increases in travel and entertainment expenses of employees of $0.3 million and increases in potential acquisition expenses of $0.2 million, partially offset by decreases in franchise taxes of $0.2 million and a decrease of $0.2 million related to an acquisition completed in the second quarter of 2014.</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12% in the first nine months of 2015 compared to 15% in the first nine months of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Product development expense increased in the third quarter of 2015 compared to the third quarter of 2014, and the first nine months of 2015 compared to the first nine months of 2014, primarily due to increases in compensation and other employee-related costs. We increased headcount in 2015 compared to 2014, in order to support planned product launches for 2015.</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we are pursuing.</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first quarter of 2014, we participated in a jury trial for the Zillow litigation, described in Note 10—Contingencies to the consolidated financial statements included elsewhere in this report. The legal expenses associated with this jury trial and post-trial motions increased our litigation settlements and contingencies expense for the first nine months of 2014. In addition, in October 2014, the court awarded NexTag's attorney fees and costs totaling $2.3 million, which we reserved for in the third quarter of 2014. We appealed the award of NexTag's attorney fees and costs in November 2014 and in June 2015, we reached a settlement agreement with NexTag for $1.1 million. During the first nine months of 2015, we recorded $0.7 million in income primarily due to an adjustment in the reserve for NexTag attorney fees and costs associated with this matter, partially offset by legal fees.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expense for the third quarter and first nine months of 2015 is primarily comprised of the federal Alternative Minimum Tax and state tax.</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third quarter of 2015 and 2014 and for the first nine months of 2015 and 2014, the effective tax rates varied from the statutory rate primarily due to the existence of a valuation allowance that has been provided to offset our net deferred tax asset and state taxes.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third quarter and first nine months of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impairment charges, (3) gain/loss on disposal of assets,</w:t>
      </w:r>
    </w:p>
    <w:p>
      <w:pPr>
        <w:jc w:val="both"/>
        <w:ind w:firstLine="8"/>
        <w:spacing w:after="0" w:line="252" w:lineRule="auto"/>
        <w:tabs>
          <w:tab w:leader="none" w:pos="29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$0.1 million related to an estimated settlement for unclaimed property.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net income (loss) from continuing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3"/>
          </w:tcPr>
          <w:p>
            <w:pPr>
              <w:jc w:val="right"/>
              <w:ind w:right="41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120" w:type="dxa"/>
            <w:vAlign w:val="bottom"/>
            <w:gridSpan w:val="3"/>
          </w:tcPr>
          <w:p>
            <w:pPr>
              <w:jc w:val="right"/>
              <w:ind w:right="5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10,999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28,837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15,792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 operations: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(764)</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(2,135)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(2,541)</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Estimated settlement for unclaimed property</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663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(968)</w:t>
            </w:r>
          </w:p>
        </w:tc>
        <w:tc>
          <w:tcPr>
            <w:tcW w:w="3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7,383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19,235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(2,596)</w:t>
            </w:r>
          </w:p>
        </w:tc>
      </w:tr>
      <w:tr>
        <w:trPr>
          <w:trHeight w:val="27"/>
        </w:trPr>
        <w:tc>
          <w:tcPr>
            <w:tcW w:w="6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2015, we had $106.3 million of cash and cash equivalents and $18.6 million of restricted cash and cash equivalents, compared to $86.2 million of cash and cash equivalents and $18.7 million of restricted cash and cash equivalents as of December 31, 2014.</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Additionally, we expect $12.1 million of restricted cash to be released to us from escrow in December 2015. Our revolving credit facility described below is an additional potential source of liquidity.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we established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October 26, 2015, we do not have any borrowings outstanding under the Revolving Credit Facility.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on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14—Subsequent Events,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46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196"/>
        </w:trPr>
        <w:tc>
          <w:tcPr>
            <w:tcW w:w="46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center"/>
              <w:ind w:left="63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31,096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972</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(4,207)</w:t>
            </w:r>
          </w:p>
        </w:tc>
        <w:tc>
          <w:tcPr>
            <w:tcW w:w="5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606</w:t>
            </w:r>
          </w:p>
        </w:tc>
      </w:tr>
      <w:tr>
        <w:trPr>
          <w:trHeight w:val="27"/>
        </w:trPr>
        <w:tc>
          <w:tcPr>
            <w:tcW w:w="4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(5,965)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r>
      <w:tr>
        <w:trPr>
          <w:trHeight w:val="453"/>
        </w:trPr>
        <w:tc>
          <w:tcPr>
            <w:tcW w:w="4640" w:type="dxa"/>
            <w:vAlign w:val="bottom"/>
            <w:tcBorders>
              <w:top w:val="single" w:sz="8" w:color="999999"/>
            </w:tcBorders>
          </w:tcPr>
          <w:p>
            <w:pPr>
              <w:spacing w:after="0"/>
              <w:rPr>
                <w:sz w:val="24"/>
                <w:szCs w:val="24"/>
                <w:color w:val="auto"/>
              </w:rPr>
            </w:pPr>
          </w:p>
        </w:tc>
        <w:tc>
          <w:tcPr>
            <w:tcW w:w="3680" w:type="dxa"/>
            <w:vAlign w:val="bottom"/>
            <w:tcBorders>
              <w:top w:val="single" w:sz="8" w:color="999999"/>
            </w:tcBorders>
          </w:tcPr>
          <w:p>
            <w:pPr>
              <w:jc w:val="right"/>
              <w:ind w:right="2430"/>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999999"/>
            </w:tcBorders>
          </w:tcPr>
          <w:p>
            <w:pPr>
              <w:spacing w:after="0"/>
              <w:rPr>
                <w:sz w:val="24"/>
                <w:szCs w:val="24"/>
                <w:color w:val="auto"/>
              </w:rPr>
            </w:pPr>
          </w:p>
        </w:tc>
        <w:tc>
          <w:tcPr>
            <w:tcW w:w="1240" w:type="dxa"/>
            <w:vAlign w:val="bottom"/>
            <w:tcBorders>
              <w:top w:val="single" w:sz="8" w:color="999999"/>
            </w:tcBorders>
          </w:tcPr>
          <w:p>
            <w:pPr>
              <w:spacing w:after="0"/>
              <w:rPr>
                <w:sz w:val="24"/>
                <w:szCs w:val="24"/>
                <w:color w:val="auto"/>
              </w:rPr>
            </w:pPr>
          </w:p>
        </w:tc>
        <w:tc>
          <w:tcPr>
            <w:tcW w:w="540" w:type="dxa"/>
            <w:vAlign w:val="bottom"/>
            <w:tcBorders>
              <w:top w:val="single" w:sz="8" w:color="999999"/>
            </w:tcBorders>
          </w:tcPr>
          <w:p>
            <w:pPr>
              <w:spacing w:after="0"/>
              <w:rPr>
                <w:sz w:val="24"/>
                <w:szCs w:val="24"/>
                <w:color w:val="auto"/>
              </w:rPr>
            </w:pPr>
          </w:p>
        </w:tc>
        <w:tc>
          <w:tcPr>
            <w:tcW w:w="1000" w:type="dxa"/>
            <w:vAlign w:val="bottom"/>
            <w:tcBorders>
              <w:top w:val="single" w:sz="8" w:color="999999"/>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provided by operating activities attributable to continuing operations in the first nine months of 2015 was $31.1 million and consisted primarily of income from continuing operations of $19.2 million, net positive adjustments for non-cash items of $8.5 million, and cash provided by working capital of $3.2 million. Adjustments for non-cash items primarily consisted of $6.4 million in non-cash compensation expense and $2.1 million of depreciation. Accounts receivable increased $11.8 million primarily due to increases in revenue. Accounts payable, accrued expenses and other current liabilities increased $15.3 million, primarily due to increased marketing expenses and an increase in accrued compensation and benefits, partially offset by the settlement of the court's partial award of attorneys' fees to NexTag in the Zillow patent litigation in the second quarter of 2015.</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cash provided by operating activities attributable to continuing operations in the first nine months of 2014 was $1.0 million and consisted primarily of losses from continuing operations of $2.6 million and cash used for working capital of $4.1 million, more than offset by positive adjustments for non-cash items of $7.9 million. Adjustments for non-cash items primarily consisted of $4.9 million in non-cash compensation expense and $2.5 million of depreciation. Accounts payable, accrued expenses and other current liabilities decreased $2.8 million, primarily due to increased marketing efforts and legal fees associated with the jury trial for the Zillow patent litigation and a $1.0 million payment to settle an earnout dispute related to an acquisition, which was partially offset by a $2.2 million liability attributable to the court's partial award of attorneys' fees to NexTag in the Zillow patent litigation.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2015 of $4.2 million consisted primarily of capital expenditures of $4.3 million primarily related to internally developed software.</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investing activities attributable to continuing operations in the first nine months of 2014 of $0.6 million consisted primarily of a decrease in restricted cash of $4.1 million, which was partially offset by capital expenditures of $3.0 million primarily related to internally developed software and a business acquisition of $0.5 million. During the first quarter of 2014, we reached and executed a settlement with the disputing party on the earnout related to an acquisition, upon which $2.0 million of cash previously held in escrow was released. Additionally, during the second quarter of 2014, we reached and executed a settlement with one of our secondary market purchasers related to loan loss obligations, upon which $2.0 million of cash previously held in escrow was released.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nine months of 2015 of $6.0 million consisted primarily of $6.1 million in withholding taxes paid by us upon surrender of shares to satisfy obligations on equity awards, the repurchase of our stock of $0.2 million and $0.1 million in dividend payments; offset by $0.5 million in excess tax benefits from stock-based award activity.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nine months of 2014 of $6.4 million consisted primarily of $3.6 million in employee withholding taxes paid by us upon employees' surrender of shares to satisfy withholding obligations on equity awards and $2.5 million for the repurchase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off-balance sheet arrangements other than our operating lease obligations and funding commitments pursuant to our surety bonds.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May 2015, we renewed the lease for our principal executive office located in Charlotte, North Carolina. The following table sets forth our contractual obligations and commercial commitments as of September 30,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Payments Due By Period as of September 30, 2015</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Contractual Obligations </w:t>
            </w:r>
            <w:r>
              <w:rPr>
                <w:rFonts w:ascii="Arial" w:cs="Arial" w:eastAsia="Arial" w:hAnsi="Arial"/>
                <w:sz w:val="8"/>
                <w:szCs w:val="8"/>
                <w:b w:val="1"/>
                <w:bCs w:val="1"/>
                <w:color w:val="auto"/>
              </w:rPr>
              <w:t>(a)</w:t>
            </w:r>
          </w:p>
        </w:tc>
        <w:tc>
          <w:tcPr>
            <w:tcW w:w="340" w:type="dxa"/>
            <w:vAlign w:val="bottom"/>
          </w:tcPr>
          <w:p>
            <w:pPr>
              <w:spacing w:after="0"/>
              <w:rPr>
                <w:sz w:val="13"/>
                <w:szCs w:val="13"/>
                <w:color w:val="auto"/>
              </w:rPr>
            </w:pPr>
          </w:p>
        </w:tc>
        <w:tc>
          <w:tcPr>
            <w:tcW w:w="120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1380" w:type="dxa"/>
            <w:vAlign w:val="bottom"/>
          </w:tcPr>
          <w:p>
            <w:pPr>
              <w:jc w:val="right"/>
              <w:ind w:right="421"/>
              <w:spacing w:after="0" w:line="153" w:lineRule="exact"/>
              <w:rPr>
                <w:sz w:val="20"/>
                <w:szCs w:val="20"/>
                <w:color w:val="auto"/>
              </w:rPr>
            </w:pPr>
            <w:r>
              <w:rPr>
                <w:rFonts w:ascii="Arial" w:cs="Arial" w:eastAsia="Arial" w:hAnsi="Arial"/>
                <w:sz w:val="14"/>
                <w:szCs w:val="14"/>
                <w:b w:val="1"/>
                <w:bCs w:val="1"/>
                <w:color w:val="auto"/>
              </w:rPr>
              <w:t>Less Than</w:t>
            </w:r>
          </w:p>
        </w:tc>
        <w:tc>
          <w:tcPr>
            <w:tcW w:w="13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1-3 Years</w:t>
            </w:r>
          </w:p>
        </w:tc>
        <w:tc>
          <w:tcPr>
            <w:tcW w:w="13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3-5 Years</w:t>
            </w:r>
          </w:p>
        </w:tc>
        <w:tc>
          <w:tcPr>
            <w:tcW w:w="124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1 Year</w:t>
            </w:r>
          </w:p>
        </w:tc>
        <w:tc>
          <w:tcPr>
            <w:tcW w:w="13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5,644</w:t>
            </w:r>
          </w:p>
        </w:tc>
        <w:tc>
          <w:tcPr>
            <w:tcW w:w="1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rPr>
              <w:t>1,224</w:t>
            </w:r>
          </w:p>
        </w:tc>
        <w:tc>
          <w:tcPr>
            <w:tcW w:w="1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2,087</w:t>
            </w:r>
          </w:p>
        </w:tc>
        <w:tc>
          <w:tcPr>
            <w:tcW w:w="1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2,065</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74"/>
              <w:spacing w:after="0"/>
              <w:rPr>
                <w:sz w:val="20"/>
                <w:szCs w:val="20"/>
                <w:color w:val="auto"/>
              </w:rPr>
            </w:pPr>
            <w:r>
              <w:rPr>
                <w:rFonts w:ascii="Arial" w:cs="Arial" w:eastAsia="Arial" w:hAnsi="Arial"/>
                <w:sz w:val="18"/>
                <w:szCs w:val="18"/>
                <w:b w:val="1"/>
                <w:bCs w:val="1"/>
                <w:color w:val="auto"/>
              </w:rPr>
              <w:t>5,644</w:t>
            </w:r>
          </w:p>
        </w:tc>
        <w:tc>
          <w:tcPr>
            <w:tcW w:w="1380" w:type="dxa"/>
            <w:vAlign w:val="bottom"/>
          </w:tcPr>
          <w:p>
            <w:pPr>
              <w:jc w:val="right"/>
              <w:ind w:right="181"/>
              <w:spacing w:after="0"/>
              <w:rPr>
                <w:sz w:val="20"/>
                <w:szCs w:val="20"/>
                <w:color w:val="auto"/>
              </w:rPr>
            </w:pPr>
            <w:r>
              <w:rPr>
                <w:rFonts w:ascii="Arial" w:cs="Arial" w:eastAsia="Arial" w:hAnsi="Arial"/>
                <w:sz w:val="18"/>
                <w:szCs w:val="18"/>
                <w:b w:val="1"/>
                <w:bCs w:val="1"/>
                <w:color w:val="auto"/>
              </w:rPr>
              <w:t>1,224</w:t>
            </w:r>
          </w:p>
        </w:tc>
        <w:tc>
          <w:tcPr>
            <w:tcW w:w="1360" w:type="dxa"/>
            <w:vAlign w:val="bottom"/>
          </w:tcPr>
          <w:p>
            <w:pPr>
              <w:jc w:val="right"/>
              <w:ind w:right="156"/>
              <w:spacing w:after="0"/>
              <w:rPr>
                <w:sz w:val="20"/>
                <w:szCs w:val="20"/>
                <w:color w:val="auto"/>
              </w:rPr>
            </w:pPr>
            <w:r>
              <w:rPr>
                <w:rFonts w:ascii="Arial" w:cs="Arial" w:eastAsia="Arial" w:hAnsi="Arial"/>
                <w:sz w:val="18"/>
                <w:szCs w:val="18"/>
                <w:b w:val="1"/>
                <w:bCs w:val="1"/>
                <w:color w:val="auto"/>
              </w:rPr>
              <w:t>2,087</w:t>
            </w:r>
          </w:p>
        </w:tc>
        <w:tc>
          <w:tcPr>
            <w:tcW w:w="1320" w:type="dxa"/>
            <w:vAlign w:val="bottom"/>
          </w:tcPr>
          <w:p>
            <w:pPr>
              <w:jc w:val="right"/>
              <w:ind w:right="136"/>
              <w:spacing w:after="0"/>
              <w:rPr>
                <w:sz w:val="20"/>
                <w:szCs w:val="20"/>
                <w:color w:val="auto"/>
              </w:rPr>
            </w:pPr>
            <w:r>
              <w:rPr>
                <w:rFonts w:ascii="Arial" w:cs="Arial" w:eastAsia="Arial" w:hAnsi="Arial"/>
                <w:sz w:val="18"/>
                <w:szCs w:val="18"/>
                <w:b w:val="1"/>
                <w:bCs w:val="1"/>
                <w:color w:val="auto"/>
              </w:rPr>
              <w:t>2,065</w:t>
            </w:r>
          </w:p>
        </w:tc>
        <w:tc>
          <w:tcPr>
            <w:tcW w:w="1240" w:type="dxa"/>
            <w:vAlign w:val="bottom"/>
          </w:tcPr>
          <w:p>
            <w:pPr>
              <w:jc w:val="right"/>
              <w:ind w:right="19"/>
              <w:spacing w:after="0"/>
              <w:rPr>
                <w:sz w:val="20"/>
                <w:szCs w:val="20"/>
                <w:color w:val="auto"/>
              </w:rPr>
            </w:pPr>
            <w:r>
              <w:rPr>
                <w:rFonts w:ascii="Arial" w:cs="Arial" w:eastAsia="Arial" w:hAnsi="Arial"/>
                <w:sz w:val="18"/>
                <w:szCs w:val="18"/>
                <w:b w:val="1"/>
                <w:bCs w:val="1"/>
                <w:color w:val="auto"/>
              </w:rPr>
              <w:t>268</w:t>
            </w:r>
          </w:p>
        </w:tc>
        <w:tc>
          <w:tcPr>
            <w:tcW w:w="0" w:type="dxa"/>
            <w:vAlign w:val="bottom"/>
          </w:tcPr>
          <w:p>
            <w:pPr>
              <w:spacing w:after="0"/>
              <w:rPr>
                <w:sz w:val="1"/>
                <w:szCs w:val="1"/>
                <w:color w:val="auto"/>
              </w:rPr>
            </w:pPr>
          </w:p>
        </w:tc>
      </w:tr>
      <w:tr>
        <w:trPr>
          <w:trHeight w:val="34"/>
        </w:trPr>
        <w:tc>
          <w:tcPr>
            <w:tcW w:w="4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9"/>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234"/>
              <w:spacing w:after="0"/>
              <w:rPr>
                <w:sz w:val="20"/>
                <w:szCs w:val="20"/>
                <w:color w:val="auto"/>
              </w:rPr>
            </w:pPr>
            <w:r>
              <w:rPr>
                <w:rFonts w:ascii="Arial" w:cs="Arial" w:eastAsia="Arial" w:hAnsi="Arial"/>
                <w:sz w:val="18"/>
                <w:szCs w:val="18"/>
                <w:color w:val="auto"/>
              </w:rPr>
              <w:t>29</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potential obligations under surety bonds and the indemnification obligations, repurchase obligations and premium repayment obligations for which our HLC subsidiary continues to be liable following the sale of substantially all of the operating assets of our LendingTree Loans business in the second quarter of 2012.</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see Note 2- 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than our Revolving Credit Facility, which currently has no borrowings outstanding, 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September 30, 2015,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third fiscal quarter that has materially affected, or is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2014 Annual Report and updated that information in Note 10—Contingencies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risk factor set forth below, there have been no material changes to the risk factors included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quarterly report on Form 10-Q for the quarter ended June 30, 2015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2014 Annual Report.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Our Revolving Credit Facility contains financial covenants and other restrictions on our actions, and it could therefore limit our operational flexibility or otherwise adversely affect our financial condition .Failure to comply with the terms of such facility could impair our rights to the assets that have been pledged as collateral under the facility.</w:t>
      </w:r>
    </w:p>
    <w:p>
      <w:pPr>
        <w:spacing w:after="0" w:line="12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On October 22, 2015, our wholly-owned subsidiary LendingTree, LLC entered into a $125.0 million five-year senior secured revolving credit facility which matures on October 22, 2020. The proceeds of the Revolving Credit Facility can be used to finance working capital needs, capital expenditures, and general corporate purposes, including to finance permitted acquisitions. We do not currently have any borrowings outstanding under the Revolving Credit Facility.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Revolving Credit Facility contains certain restrictive covenants, which include a consolidated debt to consolidated EBITDA ratio and a consolidated EBITDA to consolidated interest expense ratio. In addition, the Revolving Credit Facility contains customary affirmative and negative covenants, including, subject to certain exceptions, restrictions on our ability to, among other things:</w:t>
      </w:r>
    </w:p>
    <w:p>
      <w:pPr>
        <w:spacing w:after="0" w:line="1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mergers or make certain fundamental changes;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restricted payments, including dividends, distributions or redemptions;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restrictive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hedging transactions;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other transactions without the prior consent of the lenders.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the assets, including 100% of its equity in all of its subsidiaries. The obligations under this facility are unconditionally guaranteed on a senior basis by LendingTree, Inc. and specific subsidiaries of LendingTree, LLC, which guarantees are secured by a pledge as collateral, subject to certain customary exclusions, of 100% of each such guarantor's assets, including 100% of its equity in all of its subsidiaries.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If an event of default occurs or if we otherwise fail to comply with any of the negative or affirmative covenants of the Revolving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Revolving Credit Facility,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14—Subsequent Events,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January 2010, the board of directors approved and we announced a stock repurchase program which allowed for the repurchase of up to $10.0 million of our common stock. In May 2014, the board of directors authorized and we announced an additional $10.0 million to the stock repurchase program. At September 30, 2015, approximately $7.3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No shares of common stock were repurchased under the stock repurchase program during the quarter ended September 30, 2015.</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September 30, 2015, 11,518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September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2015</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81.50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August 2015</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120.79</w:t>
            </w:r>
          </w:p>
        </w:tc>
        <w:tc>
          <w:tcPr>
            <w:tcW w:w="120" w:type="dxa"/>
            <w:vAlign w:val="bottom"/>
          </w:tcPr>
          <w:p>
            <w:pPr>
              <w:spacing w:after="0"/>
              <w:rPr>
                <w:sz w:val="21"/>
                <w:szCs w:val="21"/>
                <w:color w:val="auto"/>
              </w:rPr>
            </w:pP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2015</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106.01</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11,518</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92.27</w:t>
            </w:r>
          </w:p>
        </w:tc>
        <w:tc>
          <w:tcPr>
            <w:tcW w:w="1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July 2015, August 2015 and September 2015, 8,118 shares, 2,755 shares and 645 shares, respectively (totaling 11,518 shares), were purchased to satisfy federal and state withholding obligations of our employees upon the settlement of restricted stock unit awards, all in accordance with our Fourth Amended and Restated 2008 Stock and Award Incentive Plan, as described above.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October 22, 2015, our wholly-owned subsidiary, LendingTree, LLC, entered into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October 26, 2015, we do not have any borrowings outstanding under the Revolving Credit Facility. For more information about the Revolving Credit Facility and related documents,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 Subsequent Events,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disclosure is provided in lieu of disclosure on Items 1.01, 2.03 and 3.03 on Form 8-K.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 Certificate of Incorporation of LendingTree, Inc.</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6560" w:type="dxa"/>
            <w:vAlign w:val="bottom"/>
          </w:tcPr>
          <w:p>
            <w:pPr>
              <w:ind w:left="140"/>
              <w:spacing w:after="0"/>
              <w:rPr>
                <w:sz w:val="20"/>
                <w:szCs w:val="20"/>
                <w:color w:val="auto"/>
              </w:rPr>
            </w:pPr>
            <w:r>
              <w:rPr>
                <w:rFonts w:ascii="Arial" w:cs="Arial" w:eastAsia="Arial" w:hAnsi="Arial"/>
                <w:sz w:val="18"/>
                <w:szCs w:val="18"/>
                <w:color w:val="auto"/>
              </w:rPr>
              <w:t>Third Amended and Restated By-laws of LendingTree, Inc.</w:t>
            </w:r>
          </w:p>
        </w:tc>
        <w:tc>
          <w:tcPr>
            <w:tcW w:w="3800" w:type="dxa"/>
            <w:vAlign w:val="bottom"/>
          </w:tcPr>
          <w:p>
            <w:pPr>
              <w:ind w:left="80"/>
              <w:spacing w:after="0"/>
              <w:rPr>
                <w:sz w:val="20"/>
                <w:szCs w:val="20"/>
                <w:color w:val="auto"/>
              </w:rPr>
            </w:pPr>
            <w:r>
              <w:rPr>
                <w:rFonts w:ascii="Arial" w:cs="Arial" w:eastAsia="Arial" w:hAnsi="Arial"/>
                <w:sz w:val="18"/>
                <w:szCs w:val="18"/>
                <w:color w:val="auto"/>
                <w:w w:val="96"/>
              </w:rPr>
              <w:t>Exhibit 3.2 to the Registrant's Current Report on</w:t>
            </w:r>
          </w:p>
        </w:tc>
      </w:tr>
      <w:tr>
        <w:trPr>
          <w:trHeight w:val="230"/>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December 31, 2014</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Employment Offer and Change in Control Letter and Release by and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between Alexander Mandel and LendingTree, Inc., dated July 2, 2015 *</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31.1</w:t>
            </w:r>
          </w:p>
        </w:tc>
        <w:tc>
          <w:tcPr>
            <w:tcW w:w="6560" w:type="dxa"/>
            <w:vAlign w:val="bottom"/>
          </w:tcPr>
          <w:p>
            <w:pPr>
              <w:ind w:left="140"/>
              <w:spacing w:after="0"/>
              <w:rPr>
                <w:sz w:val="20"/>
                <w:szCs w:val="20"/>
                <w:color w:val="auto"/>
              </w:rPr>
            </w:pPr>
            <w:r>
              <w:rPr>
                <w:rFonts w:ascii="Arial" w:cs="Arial" w:eastAsia="Arial" w:hAnsi="Arial"/>
                <w:sz w:val="18"/>
                <w:szCs w:val="18"/>
                <w:color w:val="auto"/>
                <w:w w:val="97"/>
              </w:rPr>
              <w:t>Certification of the Chief Executive Officer pursuant to Rule 13a-14(a) or Rule 15d-</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31.2</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Certification of the Chief Financial Officer pursuant to Rule 13a-14(a) or Rule 15d-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32.1</w:t>
            </w:r>
          </w:p>
        </w:tc>
        <w:tc>
          <w:tcPr>
            <w:tcW w:w="6560" w:type="dxa"/>
            <w:vAlign w:val="bottom"/>
          </w:tcPr>
          <w:p>
            <w:pPr>
              <w:ind w:left="140"/>
              <w:spacing w:after="0"/>
              <w:rPr>
                <w:sz w:val="20"/>
                <w:szCs w:val="20"/>
                <w:color w:val="auto"/>
              </w:rPr>
            </w:pPr>
            <w:r>
              <w:rPr>
                <w:rFonts w:ascii="Arial" w:cs="Arial" w:eastAsia="Arial" w:hAnsi="Arial"/>
                <w:sz w:val="18"/>
                <w:szCs w:val="18"/>
                <w:color w:val="auto"/>
                <w:w w:val="99"/>
              </w:rPr>
              <w:t>Certification of the Chief Executive Officer pursuant to 18 U.S.C. Section 1350 as</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32.2</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Certification of the Chief Financial Officer pursuant to 18 U.S.C. Section 1350 as</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99.1</w:t>
            </w:r>
          </w:p>
        </w:tc>
        <w:tc>
          <w:tcPr>
            <w:tcW w:w="6560" w:type="dxa"/>
            <w:vAlign w:val="bottom"/>
          </w:tcPr>
          <w:p>
            <w:pPr>
              <w:ind w:left="140"/>
              <w:spacing w:after="0"/>
              <w:rPr>
                <w:sz w:val="20"/>
                <w:szCs w:val="20"/>
                <w:color w:val="auto"/>
              </w:rPr>
            </w:pPr>
            <w:r>
              <w:rPr>
                <w:rFonts w:ascii="Arial" w:cs="Arial" w:eastAsia="Arial" w:hAnsi="Arial"/>
                <w:sz w:val="18"/>
                <w:szCs w:val="18"/>
                <w:color w:val="auto"/>
              </w:rPr>
              <w:t>Credit Agreement dated October 22, 2015.</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101.INS</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2015</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154940</wp:posOffset>
            </wp:positionV>
            <wp:extent cx="155194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July 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Alexander E. Mandel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Alex,</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letter references our mutual agreement to amend your employment offer letter dated July 27, 2012 (the “</w:t>
      </w:r>
      <w:r>
        <w:rPr>
          <w:rFonts w:ascii="Arial" w:cs="Arial" w:eastAsia="Arial" w:hAnsi="Arial"/>
          <w:sz w:val="16"/>
          <w:szCs w:val="16"/>
          <w:u w:val="single" w:color="auto"/>
          <w:color w:val="auto"/>
        </w:rPr>
        <w:t>Offer Letter</w:t>
      </w:r>
      <w:r>
        <w:rPr>
          <w:rFonts w:ascii="Arial" w:cs="Arial" w:eastAsia="Arial" w:hAnsi="Arial"/>
          <w:sz w:val="16"/>
          <w:szCs w:val="16"/>
          <w:color w:val="auto"/>
        </w:rPr>
        <w:t>”) and the change of control letter dated July 27, 2012 (the “</w:t>
      </w:r>
      <w:r>
        <w:rPr>
          <w:rFonts w:ascii="Arial" w:cs="Arial" w:eastAsia="Arial" w:hAnsi="Arial"/>
          <w:sz w:val="16"/>
          <w:szCs w:val="16"/>
          <w:u w:val="single" w:color="auto"/>
          <w:color w:val="auto"/>
        </w:rPr>
        <w:t>CIC Letter</w:t>
      </w:r>
      <w:r>
        <w:rPr>
          <w:rFonts w:ascii="Arial" w:cs="Arial" w:eastAsia="Arial" w:hAnsi="Arial"/>
          <w:sz w:val="16"/>
          <w:szCs w:val="16"/>
          <w:color w:val="auto"/>
        </w:rPr>
        <w:t>”), as follows. Capitalized terms used herein and not defined have the same meaning as set forth in the Offer Letter.</w:t>
      </w:r>
    </w:p>
    <w:p>
      <w:pPr>
        <w:spacing w:after="0" w:line="12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references in the Offer Letter to the CIC Letter are to the CIC Letter defined in this letter.</w:t>
      </w:r>
    </w:p>
    <w:p>
      <w:pPr>
        <w:spacing w:after="0" w:line="225" w:lineRule="exact"/>
        <w:rPr>
          <w:rFonts w:ascii="Arial" w:cs="Arial" w:eastAsia="Arial" w:hAnsi="Arial"/>
          <w:sz w:val="18"/>
          <w:szCs w:val="18"/>
          <w:color w:val="auto"/>
        </w:rPr>
      </w:pPr>
    </w:p>
    <w:p>
      <w:pPr>
        <w:jc w:val="both"/>
        <w:ind w:firstLine="8"/>
        <w:spacing w:after="0" w:line="259" w:lineRule="auto"/>
        <w:tabs>
          <w:tab w:leader="none" w:pos="3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the paragraph in the Offer Letter entitled “Termination of Employment; Severance”, if you do not execute the Waiver and Release in the form attached hereto as Exhibit A within forty-five (45) days following the effective date of termination of your employment by the Company without Cause or by you for Good Reason, or if you revoke the Waiver and Release within the time permitted therein, your eligibility to the payments and benefits described in clauses (a) and (b) in such paragraph shall immediately become null and void.</w:t>
      </w:r>
    </w:p>
    <w:p>
      <w:pPr>
        <w:spacing w:after="0" w:line="186" w:lineRule="exact"/>
        <w:rPr>
          <w:rFonts w:ascii="Arial" w:cs="Arial" w:eastAsia="Arial" w:hAnsi="Arial"/>
          <w:sz w:val="18"/>
          <w:szCs w:val="18"/>
          <w:color w:val="auto"/>
        </w:rPr>
      </w:pPr>
    </w:p>
    <w:p>
      <w:pPr>
        <w:jc w:val="both"/>
        <w:ind w:firstLine="8"/>
        <w:spacing w:after="0" w:line="302" w:lineRule="auto"/>
        <w:tabs>
          <w:tab w:leader="none" w:pos="3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respect to the fourth paragraph of the CIC Letter, if you do not execute a general release of claims in favor of the Company in the form attached hereto as Exhibit A, with the addition of the Restrictive Covenants set forth in the CIC Letter, within forty-five (45) days following the effective date of termination of your employment in the circumstances described in the third paragraph of the CIC Letter, or if you revoke such general release of claims within the time permitted therein, your eligibility to the payments and benefits described in such third paragraph shall immediately become null and void.</w:t>
      </w:r>
    </w:p>
    <w:p>
      <w:pPr>
        <w:spacing w:after="0" w:line="154" w:lineRule="exact"/>
        <w:rPr>
          <w:rFonts w:ascii="Arial" w:cs="Arial" w:eastAsia="Arial" w:hAnsi="Arial"/>
          <w:sz w:val="16"/>
          <w:szCs w:val="16"/>
          <w:color w:val="auto"/>
        </w:rPr>
      </w:pPr>
    </w:p>
    <w:p>
      <w:pPr>
        <w:ind w:firstLine="8"/>
        <w:spacing w:after="0" w:line="277" w:lineRule="auto"/>
        <w:tabs>
          <w:tab w:leader="none" w:pos="3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last three sentences in the paragraph in the Offer Letter entitled “Termination of Employment; Severance” are hereby deleted and replaced with the following sentences:</w:t>
      </w:r>
    </w:p>
    <w:p>
      <w:pPr>
        <w:spacing w:after="0" w:line="170" w:lineRule="exact"/>
        <w:rPr>
          <w:sz w:val="20"/>
          <w:szCs w:val="20"/>
          <w:color w:val="auto"/>
        </w:rPr>
      </w:pPr>
    </w:p>
    <w:p>
      <w:pPr>
        <w:jc w:val="both"/>
        <w:ind w:left="660"/>
        <w:spacing w:after="0" w:line="285" w:lineRule="auto"/>
        <w:rPr>
          <w:sz w:val="20"/>
          <w:szCs w:val="20"/>
          <w:color w:val="auto"/>
        </w:rPr>
      </w:pPr>
      <w:r>
        <w:rPr>
          <w:rFonts w:ascii="Arial" w:cs="Arial" w:eastAsia="Arial" w:hAnsi="Arial"/>
          <w:sz w:val="16"/>
          <w:szCs w:val="16"/>
          <w:color w:val="auto"/>
        </w:rPr>
        <w:t>So long as you timely execute and do not revoke the Waiver and Release in the form attached as Exhibit A to the letter dated July 2, 2015 amending the terms of your offer, the Base Salary Severance will be paid ninety (90) days after your separation from service and any other nonqualified deferred compensation whose timing of payment was dependent on the effectiveness of the Waiver and Release will be delivered to you ninety (90) days after your separation from service subject to the sixth sentence of the paragraph entitled “Section 409A.” If you obtain other employment or are otherwise compensated for services during the twelve (12) month period following your separation from service, the gross amount of compensation (before any withholding, deductions, or deferrals) you so earn (“Base Salary Severance Offset”) shall be set off against any amounts of the Base Salary Severance that remain unpaid, and, following the date of payment of Base Salary Severance, you agree promptly to repay the Company any Base Salary Severance Offset that was not set off against Base Salary Severance paid. Notwithstanding the foregoing, the Base Salary Severance Offset shall be limited in the aggregate to the prorated amount of the Base Salary Severance for the period beginning on the date you first earn other compensation and ending on the date twelve (12) months from separation from service. For example and purely to hypothetically illustrate the mechanics of the offset and repayment obligation, if your service terminates on July 1, 2015, and you first begin to earn other compensation commencing on October 1, 2015, the total amount of gross compensation (before any withholding, deductions, or deferrals) you earn from October 1, 2015 through the date of payment of the Base Salary Severance will be Base Salary Severance Offset, and such amount shall be set off against such Base Salary Severance payment (or if not so set off, subject to your prompt repayment), but not in excess of 75% of your gross Base Salary Severance (i.e., the prorated amount from October 1, 2015 through July 1, 2016). Further, the amount of further compensation you earn from the date of payment of the Base Salary Severance through July 1, 2016 will be further Base Salary Severance Offset, and therefore must promptly be paid to the Company (), provided that, the combined Base Salary Severance Offset (i.e., the amount set off against the Base Salary Severance payment plus the amount you are obligated to repay to the Company) shall not exceed 75% of your gross Base Salary Severance (i.e., the prorated amount from October 1, 2015 through July 1, 2016). You agree to inform the Company promptly of your employment status and any compensation earned during the twelve (12) months following your separation from service.</w:t>
      </w:r>
    </w:p>
    <w:p>
      <w:pPr>
        <w:sectPr>
          <w:pgSz w:w="11900" w:h="16838" w:orient="portrait"/>
          <w:cols w:equalWidth="0" w:num="1">
            <w:col w:w="11420"/>
          </w:cols>
          <w:pgMar w:left="240" w:top="580" w:right="239" w:bottom="1440" w:gutter="0" w:footer="0" w:header="0"/>
        </w:sectPr>
      </w:pPr>
    </w:p>
    <w:bookmarkStart w:id="35" w:name="page36"/>
    <w:bookmarkEnd w:id="35"/>
    <w:p>
      <w:pPr>
        <w:jc w:val="both"/>
        <w:ind w:firstLine="8"/>
        <w:spacing w:after="0" w:line="253" w:lineRule="auto"/>
        <w:tabs>
          <w:tab w:leader="none" w:pos="1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letter agreement and any signed agreement or instrument entered into in connection with this letter agreement or contemplated hereby, and any amendments hereto or thereto, to the extent signed and delivered by means of a facsimile machine or internet (i.e., pdf via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to any such agreement or instrument shall raise the use of a facsimile machine or internet to deliver a signature or the fact that any signature or agreement or instrument was transmitted or communicated through the use of a facsimile machine or the internet as a defense to the formation of a contract and each such party forever waives any such defense. This letter agreement shall be deemed to be legally binding on both parties at the date and time on which the parties have exchanged each party’s signature to this letter agreement with the other party.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in this letter, the Offer Letter and the CIC Letter remain in full force and effect.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Claudette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49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Claudette Parham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People Officer</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Agreed and accepted</w:t>
      </w:r>
      <w:r>
        <w:rPr>
          <w:rFonts w:ascii="Arial" w:cs="Arial" w:eastAsia="Arial" w:hAnsi="Arial"/>
          <w:sz w:val="18"/>
          <w:szCs w:val="18"/>
          <w:b w:val="1"/>
          <w:bCs w:val="1"/>
          <w:color w:val="auto"/>
        </w:rPr>
        <w:t>:</w:t>
      </w:r>
    </w:p>
    <w:p>
      <w:pPr>
        <w:sectPr>
          <w:pgSz w:w="11900" w:h="16838" w:orient="portrait"/>
          <w:cols w:equalWidth="0" w:num="1">
            <w:col w:w="11420"/>
          </w:cols>
          <w:pgMar w:left="240" w:top="800"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Alexander E.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249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July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46355</wp:posOffset>
            </wp:positionV>
            <wp:extent cx="32416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4640" w:space="720"/>
            <w:col w:w="6060"/>
          </w:cols>
          <w:pgMar w:left="240" w:top="80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Alexander E. Mandel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4640" w:space="720"/>
            <w:col w:w="6060"/>
          </w:cols>
          <w:pgMar w:left="240" w:top="800"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WAIVER AND GENERAL RELEASE</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Waiver and General Release (“</w:t>
      </w:r>
      <w:r>
        <w:rPr>
          <w:rFonts w:ascii="Arial" w:cs="Arial" w:eastAsia="Arial" w:hAnsi="Arial"/>
          <w:sz w:val="17"/>
          <w:szCs w:val="17"/>
          <w:b w:val="1"/>
          <w:bCs w:val="1"/>
          <w:color w:val="auto"/>
        </w:rPr>
        <w:t>General Release</w:t>
      </w:r>
      <w:r>
        <w:rPr>
          <w:rFonts w:ascii="Arial" w:cs="Arial" w:eastAsia="Arial" w:hAnsi="Arial"/>
          <w:sz w:val="17"/>
          <w:szCs w:val="17"/>
          <w:color w:val="auto"/>
        </w:rPr>
        <w:t>”) is entered into by and between LendingTree, Inc. (the “</w:t>
      </w:r>
      <w:r>
        <w:rPr>
          <w:rFonts w:ascii="Arial" w:cs="Arial" w:eastAsia="Arial" w:hAnsi="Arial"/>
          <w:sz w:val="17"/>
          <w:szCs w:val="17"/>
          <w:b w:val="1"/>
          <w:bCs w:val="1"/>
          <w:color w:val="auto"/>
        </w:rPr>
        <w:t>Company</w:t>
      </w:r>
      <w:r>
        <w:rPr>
          <w:rFonts w:ascii="Arial" w:cs="Arial" w:eastAsia="Arial" w:hAnsi="Arial"/>
          <w:sz w:val="17"/>
          <w:szCs w:val="17"/>
          <w:color w:val="auto"/>
        </w:rPr>
        <w:t>”) and Alexander 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Mandel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38" w:lineRule="exact"/>
        <w:rPr>
          <w:sz w:val="20"/>
          <w:szCs w:val="20"/>
          <w:color w:val="auto"/>
        </w:rPr>
      </w:pPr>
    </w:p>
    <w:p>
      <w:pPr>
        <w:jc w:val="both"/>
        <w:ind w:firstLine="656"/>
        <w:spacing w:after="0" w:line="340" w:lineRule="auto"/>
        <w:tabs>
          <w:tab w:leader="none" w:pos="143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Executive acknowledges and agrees that the consideration supporting Executive’s waiver and release and covenants under this General Release is provided by and pursuant to (a) the Sections entitled “Termination of Employment; Severance” and “Section 409A” in the Employment Agreement dated as of July 27, 2012, between and among Executive, and the Company (</w:t>
      </w:r>
      <w:r>
        <w:rPr>
          <w:rFonts w:ascii="Arial" w:cs="Arial" w:eastAsia="Arial" w:hAnsi="Arial"/>
          <w:sz w:val="16"/>
          <w:szCs w:val="16"/>
          <w:b w:val="1"/>
          <w:bCs w:val="1"/>
          <w:color w:val="auto"/>
        </w:rPr>
        <w:t>“Employment Agreement”</w:t>
      </w:r>
      <w:r>
        <w:rPr>
          <w:rFonts w:ascii="Arial" w:cs="Arial" w:eastAsia="Arial" w:hAnsi="Arial"/>
          <w:sz w:val="16"/>
          <w:szCs w:val="16"/>
          <w:color w:val="auto"/>
        </w:rPr>
        <w:t>), and (b) the amendment to such Employment Agreement dated July 2, 2015 (“</w:t>
      </w:r>
      <w:r>
        <w:rPr>
          <w:rFonts w:ascii="Arial" w:cs="Arial" w:eastAsia="Arial" w:hAnsi="Arial"/>
          <w:sz w:val="16"/>
          <w:szCs w:val="16"/>
          <w:b w:val="1"/>
          <w:bCs w:val="1"/>
          <w:color w:val="auto"/>
        </w:rPr>
        <w:t>Amendment</w:t>
      </w:r>
      <w:r>
        <w:rPr>
          <w:rFonts w:ascii="Arial" w:cs="Arial" w:eastAsia="Arial" w:hAnsi="Arial"/>
          <w:sz w:val="16"/>
          <w:szCs w:val="16"/>
          <w:color w:val="auto"/>
        </w:rPr>
        <w:t>,” which together with the Employment Agreement is the “</w:t>
      </w:r>
      <w:r>
        <w:rPr>
          <w:rFonts w:ascii="Arial" w:cs="Arial" w:eastAsia="Arial" w:hAnsi="Arial"/>
          <w:sz w:val="16"/>
          <w:szCs w:val="16"/>
          <w:b w:val="1"/>
          <w:bCs w:val="1"/>
          <w:color w:val="auto"/>
        </w:rPr>
        <w:t>Amended 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for his termination by the Company without Cause effective July 3, 2015 (“</w:t>
      </w:r>
      <w:r>
        <w:rPr>
          <w:rFonts w:ascii="Arial" w:cs="Arial" w:eastAsia="Arial" w:hAnsi="Arial"/>
          <w:sz w:val="16"/>
          <w:szCs w:val="16"/>
          <w:b w:val="1"/>
          <w:bCs w:val="1"/>
          <w:color w:val="auto"/>
        </w:rPr>
        <w:t>Separation from Service Date</w:t>
      </w:r>
      <w:r>
        <w:rPr>
          <w:rFonts w:ascii="Arial" w:cs="Arial" w:eastAsia="Arial" w:hAnsi="Arial"/>
          <w:sz w:val="16"/>
          <w:szCs w:val="16"/>
          <w:color w:val="auto"/>
        </w:rPr>
        <w:t>”). Executive acknowledges that,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the terms of the Amended Employment Agreement, Executive’s entitlement to this consideration is conditioned upon Executive’s execution of this General Release. Executive further acknowledges and agrees that Executive’s waiver and release and the covenants in this General Release are adequately supported by this consideration. Terms that are not defined in this General Release shall have the meaning set forth in the Amended Employment Agreement. Executive shall continue to be paid his Base Salary of $290,000 and remain entitled to employee benefits and the vesting of any outstanding equity awards as an active employee through the Separation from Service Date. In addition, for the avoidance of doubt, the consideration for this General Release is the Base Salary Severance paid in accordance with the Sections entitled “Termination of Employment; Severance” and “Section 409A” of the Amended Employment Agreement and the vesting and, if applicable, the delivery of Executive’s equity awards in the manner set forth in such Sections.</w:t>
      </w:r>
    </w:p>
    <w:p>
      <w:pPr>
        <w:spacing w:after="0" w:line="167" w:lineRule="exact"/>
        <w:rPr>
          <w:rFonts w:ascii="Arial" w:cs="Arial" w:eastAsia="Arial" w:hAnsi="Arial"/>
          <w:sz w:val="16"/>
          <w:szCs w:val="16"/>
          <w:color w:val="auto"/>
        </w:rPr>
      </w:pPr>
    </w:p>
    <w:p>
      <w:pPr>
        <w:jc w:val="both"/>
        <w:ind w:firstLine="656"/>
        <w:spacing w:after="0" w:line="346" w:lineRule="auto"/>
        <w:tabs>
          <w:tab w:leader="none" w:pos="143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 Other Compensation or Benefits</w:t>
      </w:r>
      <w:r>
        <w:rPr>
          <w:rFonts w:ascii="Arial" w:cs="Arial" w:eastAsia="Arial" w:hAnsi="Arial"/>
          <w:sz w:val="16"/>
          <w:szCs w:val="16"/>
          <w:color w:val="auto"/>
        </w:rPr>
        <w:t>. The Company and Executive agree that, except as specifically set forth in this General Release, Executive has no further right to any additional salary, vacation, bonuses, severance, paid leave, or any other type of compensation or benefits of any kind, except as set forth in this General Release, and Executive expressly waives claims for such additional compensation or pay not set forth in this General Release. Executive specifically acknowledges that the consideration provided to Executive pursuant to this General Release and the Amended Employment Agreement substantially exceeds the benefits to which Executive would be entitled in the absence of Executive’s execution of this General Release. Defined terms in this General Release shall have the meanings set forth in the Amended Employment Agreement except as set forth herein.</w:t>
      </w:r>
    </w:p>
    <w:p>
      <w:pPr>
        <w:spacing w:after="0" w:line="164" w:lineRule="exact"/>
        <w:rPr>
          <w:rFonts w:ascii="Arial" w:cs="Arial" w:eastAsia="Arial" w:hAnsi="Arial"/>
          <w:sz w:val="16"/>
          <w:szCs w:val="16"/>
          <w:color w:val="auto"/>
        </w:rPr>
      </w:pPr>
    </w:p>
    <w:p>
      <w:pPr>
        <w:jc w:val="both"/>
        <w:ind w:firstLine="656"/>
        <w:spacing w:after="0" w:line="340" w:lineRule="auto"/>
        <w:tabs>
          <w:tab w:leader="none" w:pos="143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Executive Release and Discharge of Claims</w:t>
      </w:r>
      <w:r>
        <w:rPr>
          <w:rFonts w:ascii="Arial" w:cs="Arial" w:eastAsia="Arial" w:hAnsi="Arial"/>
          <w:sz w:val="16"/>
          <w:szCs w:val="16"/>
          <w:color w:val="auto"/>
        </w:rPr>
        <w:t>. Executive, on behalf of him or herself, his or her heirs, representatives, agents, executors and assigns, hereby irrevocably and unconditionally releases and discharges the Company, its subsidiaries, business units, affiliates, parent companies, past and present, its predecessors and successors and its respective officers, directors, shareholders, Executives, agents, legal counsel, insurance carriers, successors and assigns, past and present (all of the foregoing referred to in this General Release as the “</w:t>
      </w:r>
      <w:r>
        <w:rPr>
          <w:rFonts w:ascii="Arial" w:cs="Arial" w:eastAsia="Arial" w:hAnsi="Arial"/>
          <w:sz w:val="16"/>
          <w:szCs w:val="16"/>
          <w:b w:val="1"/>
          <w:bCs w:val="1"/>
          <w:color w:val="auto"/>
        </w:rPr>
        <w:t>Released Parties</w:t>
      </w:r>
      <w:r>
        <w:rPr>
          <w:rFonts w:ascii="Arial" w:cs="Arial" w:eastAsia="Arial" w:hAnsi="Arial"/>
          <w:sz w:val="16"/>
          <w:szCs w:val="16"/>
          <w:color w:val="auto"/>
        </w:rPr>
        <w:t>”), with respect to any and all claims, liens, covenants, grievances, demands, causes of action, obligations, damages and liabilities, known or unknown, anticipated or unanticipated, contingent or non-contingent, that Executive has had in the past or now has against any Company Released Party, from any and all known and unknown claims, demands and causes of action that Executive may have against the Released Parties arising from or in connection with: (a) the terms and conditions of his employment with the Company (including any agreements between Company and Executive, including but not limited to the change of control letter agreement between the parties dated July 27, 2012 (“</w:t>
      </w:r>
      <w:r>
        <w:rPr>
          <w:rFonts w:ascii="Arial" w:cs="Arial" w:eastAsia="Arial" w:hAnsi="Arial"/>
          <w:sz w:val="16"/>
          <w:szCs w:val="16"/>
          <w:b w:val="1"/>
          <w:bCs w:val="1"/>
          <w:color w:val="auto"/>
        </w:rPr>
        <w:t>CIC Letter</w:t>
      </w:r>
      <w:r>
        <w:rPr>
          <w:rFonts w:ascii="Arial" w:cs="Arial" w:eastAsia="Arial" w:hAnsi="Arial"/>
          <w:sz w:val="16"/>
          <w:szCs w:val="16"/>
          <w:color w:val="auto"/>
        </w:rPr>
        <w:t>”)); (b) the termination of his employment from the Company; and (c) any conduct, actions or omissions, known or unknown, by the Released Parties occurring on or before the date Executive executes this General Release. It is expressly intended, understood and agreed that the claims released by Executive shall include, by way of example and without limitation, all contractual, statutory, common law, federal and state constitutional and other claims, whether known or unknown, based upon:</w:t>
      </w:r>
    </w:p>
    <w:p>
      <w:pPr>
        <w:spacing w:after="0" w:line="140"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Actual or alleged defamation, invasion of privacy, personal inconvenience, damage to Executive’s personal reputation, and intentional or negligent infliction of emotional distress;</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Actual or alleged violations of the employment and discrimination laws of the State of North Carolina, common law and any and all other applicable state, county or local statutes, ordinances or regulations;</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Actual or alleged violations of the federal Age Discrimination in Employment Act, as amended, the Civil Rights Act of 1866, Title VII of the Civil Rights Act of 1964, as amended, the Civil Rights Act of 1991, all federal and state executive orders, the Uniformed Services Employment and Reemployment Rights Act of 1994, and the Equal Pay Act;</w:t>
      </w:r>
    </w:p>
    <w:p>
      <w:pPr>
        <w:sectPr>
          <w:pgSz w:w="11900" w:h="16838" w:orient="portrait"/>
          <w:cols w:equalWidth="0" w:num="1">
            <w:col w:w="11420"/>
          </w:cols>
          <w:pgMar w:left="240" w:top="585" w:right="239" w:bottom="1440" w:gutter="0" w:footer="0" w:header="0"/>
        </w:sectPr>
      </w:pPr>
    </w:p>
    <w:bookmarkStart w:id="37" w:name="page38"/>
    <w:bookmarkEnd w:id="37"/>
    <w:p>
      <w:pPr>
        <w:jc w:val="both"/>
        <w:ind w:left="1960" w:hanging="655"/>
        <w:spacing w:after="0" w:line="259"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alleged violations of the Americans with Disabilities Act of 1990, the Rehabilitation Act of 1973, the Family and Medical Leave Act, the Fair Labor Standards Act and state and local wage-hour laws and regulations, and claims under the federal Executive Retirement Income Security Act, including but not limited to claims under Company-sponsored severance and termination pay plans, if any;</w:t>
      </w:r>
    </w:p>
    <w:p>
      <w:pPr>
        <w:spacing w:after="0" w:line="186" w:lineRule="exact"/>
        <w:rPr>
          <w:rFonts w:ascii="Arial" w:cs="Arial" w:eastAsia="Arial" w:hAnsi="Arial"/>
          <w:sz w:val="18"/>
          <w:szCs w:val="18"/>
          <w:color w:val="auto"/>
        </w:rPr>
      </w:pPr>
    </w:p>
    <w:p>
      <w:pPr>
        <w:ind w:left="1960" w:hanging="655"/>
        <w:spacing w:after="0" w:line="308" w:lineRule="auto"/>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Actual or alleged violations of any other federal or state codes, laws, ordinances, regulations or case law which prohibit employment discrimination, retaliatory termination of employment and employment termination in violation of public policy;</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alleged breach of express and implied contract and wrongful discharge;</w:t>
      </w:r>
    </w:p>
    <w:p>
      <w:pPr>
        <w:spacing w:after="0" w:line="221"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for Executive’s attorneys’ fees. (collectively (a)-(g), “</w:t>
      </w:r>
      <w:r>
        <w:rPr>
          <w:rFonts w:ascii="Arial" w:cs="Arial" w:eastAsia="Arial" w:hAnsi="Arial"/>
          <w:sz w:val="18"/>
          <w:szCs w:val="18"/>
          <w:b w:val="1"/>
          <w:bCs w:val="1"/>
          <w:color w:val="auto"/>
        </w:rPr>
        <w:t>Executive Released Claims</w:t>
      </w:r>
      <w:r>
        <w:rPr>
          <w:rFonts w:ascii="Arial" w:cs="Arial" w:eastAsia="Arial" w:hAnsi="Arial"/>
          <w:sz w:val="18"/>
          <w:szCs w:val="18"/>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Executive agrees and understands that any claims he may have under the aforementioned statutes, or any other federal, state or local law ordinance, rule or regulation are effectively waived and released by this Agreement. Executive represents that he knows of no claim that he has that has not been released by this paragraph. Executive acknowledges and understands that this paragraph is intended to prevent him from making any claim against the Released Parties regarding any matter or incident relating to or arising from the employment relationship or its termination that occurs up to the date Executive executes this Agreement. Nothing in this General Release shall constitute a release by Executive (or his heirs, successors or assign) (and therefore shall not be included in the definition of “Executive Released Claims”) of: claims for breach or enforcement of this General Release (including with respect to the payment of the consideration for the General Release set forth in paragraph 1), claims to vested benefits under ERISA, rights to indemnity under the by-laws or other governing documents of the Company or under applicable law, rights to coverage under any applicable insurance policy, rights under the Section of the Amended Employment Agreement entitled “Section 280G Limitation”, claims deriving from the imposition on Executive of any additional taxes, interest and/or penalties under Section 409A of the Internal Revenue Code of 1986, as amended, and its implementing regulations and notices, that would not have been imposed but for a failure by the Company to comply with the requirements of Section III.B and/or XII of IRS Notice 2010-6 with respect to correcting other nonqualified deferred compensation plans containing substantially similar document failures as the Employment Agreement (should such failure occur), any other claims that may not be released under this General Release in accordance with applicable law, any rights to file for unemployment insurance or any claims that arise after the date this General Release is executed by Executive.</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Executive represents that he has not filed any complaints, charges, or lawsuits against the Company or any other Released Party with any court or governmental agency. If Executive does file a charge with any government agency, or if any governmental agency prosecutes a charge on behalf of Executive, Executive specifically agrees that he will not be entitled to monetary relief of any kind in connection with resolution of the charge, whether by means of settlement or otherwise, including without limitation back pay, front pay, other damages, fees, or costs. Executive covenants and promises never to file, press, or join in any lawsuit based on any Executive Released Claim and agrees that any such claim, if filed by Executive, shall be dismissed. This General Release shall serve as an absolute defense to any such claims brought by Executive. Executive represents and warrants that Executive is the sole owner of any and all Executive Released Claims that Executive may have, and that Executive has not assigned or otherwise transferred Executive’s right or interest in any Executive Released Claim.</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Notwithstanding anything to the contrary in this General Release, in case of any common law, statutory or other complaints, claims, charges or causes of action of any kind whatsoever, both known and unknown, in law or in equity made by any Released Party against Executive, whether directly or derivatively, Executive shall not be restricted in any manner from defending himself to the fullest extent permitted by law, including but not limited to asserting against such Released Party, whether directly, through impleader or otherwise, any and all facts and circumstances in his defense, including but not limited to any Executive Released Claims, as defense.</w:t>
      </w:r>
    </w:p>
    <w:p>
      <w:pPr>
        <w:spacing w:after="0" w:line="215" w:lineRule="exact"/>
        <w:rPr>
          <w:sz w:val="20"/>
          <w:szCs w:val="20"/>
          <w:color w:val="auto"/>
        </w:rPr>
      </w:pPr>
    </w:p>
    <w:p>
      <w:pPr>
        <w:jc w:val="both"/>
        <w:ind w:firstLine="656"/>
        <w:spacing w:after="0" w:line="343" w:lineRule="auto"/>
        <w:tabs>
          <w:tab w:leader="none" w:pos="1431"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Covenant not to Sue</w:t>
      </w:r>
      <w:r>
        <w:rPr>
          <w:rFonts w:ascii="Arial" w:cs="Arial" w:eastAsia="Arial" w:hAnsi="Arial"/>
          <w:sz w:val="16"/>
          <w:szCs w:val="16"/>
          <w:color w:val="auto"/>
        </w:rPr>
        <w:t>. Executive hereby covenants and agrees not to file, commence or initiate any suits, grievances, demands or causes of action against the Released Parties based upon or relating to any of the claims released and forever discharged pursuant to this General Release. If Executive breaches this covenant not to sue, he hereby agrees to pay all of the reasonable costs and attorneys’ fees actually incurred by the Released Parties in defending against such claims, demands or causes of action, together with such and further damages as may result, directly or indirectly, from that breach. Moreover, Executive agrees that he will not persuade or instruct any person to file a suit, claim or complaint with any state or federal court or administrative agency against the Released Parties. In accordance with 29 C.F.R. § 1625.23(b), nothing in this covenant not to sue is intended to preclude Executive from challenging the validity of this Agreement under the OWBPA, 29 U.S.C. § 626(f), with respect to claims under the ADEA, and the Company shall not be entitled to recover any consideration paid under this General Release, damages or its attorneys’ fees and costs resulting from such challenge.</w:t>
      </w:r>
    </w:p>
    <w:p>
      <w:pPr>
        <w:sectPr>
          <w:pgSz w:w="11900" w:h="16838" w:orient="portrait"/>
          <w:cols w:equalWidth="0" w:num="1">
            <w:col w:w="11420"/>
          </w:cols>
          <w:pgMar w:left="240" w:top="584" w:right="239" w:bottom="1440" w:gutter="0" w:footer="0" w:header="0"/>
        </w:sectPr>
      </w:pPr>
    </w:p>
    <w:bookmarkStart w:id="38" w:name="page39"/>
    <w:bookmarkEnd w:id="38"/>
    <w:p>
      <w:pPr>
        <w:jc w:val="both"/>
        <w:ind w:left="-656" w:right="20" w:firstLine="656"/>
        <w:spacing w:after="0" w:line="311"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Admission of Wrongdoing or Liability</w:t>
      </w:r>
      <w:r>
        <w:rPr>
          <w:rFonts w:ascii="Arial" w:cs="Arial" w:eastAsia="Arial" w:hAnsi="Arial"/>
          <w:sz w:val="18"/>
          <w:szCs w:val="18"/>
          <w:color w:val="auto"/>
        </w:rPr>
        <w:t>. Nothing contained in this General Release shall constitute, or be construed as or is intended to be an admission or an acknowledgment by the Company, the Released Parties or Executive of any wrongdoing or liability, all such wrongdoing and liability being expressly denied.</w:t>
      </w:r>
    </w:p>
    <w:p>
      <w:pPr>
        <w:spacing w:after="0" w:line="181" w:lineRule="exact"/>
        <w:rPr>
          <w:rFonts w:ascii="Arial" w:cs="Arial" w:eastAsia="Arial" w:hAnsi="Arial"/>
          <w:sz w:val="18"/>
          <w:szCs w:val="18"/>
          <w:color w:val="auto"/>
        </w:rPr>
      </w:pPr>
    </w:p>
    <w:p>
      <w:pPr>
        <w:ind w:left="784" w:hanging="784"/>
        <w:spacing w:after="0"/>
        <w:tabs>
          <w:tab w:leader="none" w:pos="78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Confidentiality, Non-disparagement and Continuing Obligations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304" w:hanging="655"/>
        <w:spacing w:after="0" w:line="272" w:lineRule="auto"/>
        <w:tabs>
          <w:tab w:leader="none" w:pos="1304" w:val="left"/>
        </w:tabs>
        <w:numPr>
          <w:ilvl w:val="1"/>
          <w:numId w:val="18"/>
        </w:numPr>
        <w:rPr>
          <w:rFonts w:ascii="Arial" w:cs="Arial" w:eastAsia="Arial" w:hAnsi="Arial"/>
          <w:sz w:val="17"/>
          <w:szCs w:val="17"/>
          <w:color w:val="auto"/>
        </w:rPr>
      </w:pPr>
      <w:r>
        <w:rPr>
          <w:rFonts w:ascii="Arial" w:cs="Arial" w:eastAsia="Arial" w:hAnsi="Arial"/>
          <w:sz w:val="17"/>
          <w:szCs w:val="17"/>
          <w:color w:val="auto"/>
        </w:rPr>
        <w:t>From and after the Effective Date, LendingTree agrees not to disparage Executive, and Executive agrees not to disparage LendingTree or any LendingTree officers, directors, executives, shareholders, parent companies, affiliates and agents, in any manner likely to be harmful to the parties or their business, business reputation or personal reputation; provided that a party may respond accurately and fully to any question, inquiry or request for information when required by legal process or by any governmental or regulatory agency and can make any truthful statement to the extent necessary in connection with any claim filed in court with respect to enforcement or defense of the provisions of this General Release (a “Dispute”). This General Release shall cover all forms of disparagement, direct or indirect, through any medium or in any venue.</w:t>
      </w:r>
    </w:p>
    <w:p>
      <w:pPr>
        <w:spacing w:after="0" w:line="177" w:lineRule="exact"/>
        <w:rPr>
          <w:rFonts w:ascii="Arial" w:cs="Arial" w:eastAsia="Arial" w:hAnsi="Arial"/>
          <w:sz w:val="17"/>
          <w:szCs w:val="17"/>
          <w:color w:val="auto"/>
        </w:rPr>
      </w:pPr>
    </w:p>
    <w:p>
      <w:pPr>
        <w:jc w:val="both"/>
        <w:ind w:left="1304" w:hanging="655"/>
        <w:spacing w:after="0" w:line="270" w:lineRule="auto"/>
        <w:tabs>
          <w:tab w:leader="none" w:pos="1304" w:val="left"/>
        </w:tabs>
        <w:numPr>
          <w:ilvl w:val="1"/>
          <w:numId w:val="18"/>
        </w:numPr>
        <w:rPr>
          <w:rFonts w:ascii="Arial" w:cs="Arial" w:eastAsia="Arial" w:hAnsi="Arial"/>
          <w:sz w:val="17"/>
          <w:szCs w:val="17"/>
          <w:color w:val="auto"/>
        </w:rPr>
      </w:pPr>
      <w:r>
        <w:rPr>
          <w:rFonts w:ascii="Arial" w:cs="Arial" w:eastAsia="Arial" w:hAnsi="Arial"/>
          <w:sz w:val="17"/>
          <w:szCs w:val="17"/>
          <w:color w:val="auto"/>
        </w:rPr>
        <w:t>Additionally, Executive acknowledges that, during his employment with the Company, he may have learned information that is confidential to the Company (“Confidential Information”). Such Confidential Information may have included (among other things): purchasing and product information; sales and account information; customer information; sales and marketing plans and strategies; pricing strategies; profit margins; pricing reports; information concerning claims or potential claims against the Company; personnel information, and any other information of a similar nature. Executive agrees that he will not disclose any Confidential Information to any person (including any Company Executive who does not need to know such Confidential Information), agency, institution, company or other entity without first obtaining the written consent of the Company. Nothing herein shall prevent Executive from disclosing Confidential Information to the extent required by law or by any court or governmental or regulatory agency or in connection with a Dispute.</w:t>
      </w:r>
    </w:p>
    <w:p>
      <w:pPr>
        <w:spacing w:after="0" w:line="181" w:lineRule="exact"/>
        <w:rPr>
          <w:rFonts w:ascii="Arial" w:cs="Arial" w:eastAsia="Arial" w:hAnsi="Arial"/>
          <w:sz w:val="17"/>
          <w:szCs w:val="17"/>
          <w:color w:val="auto"/>
        </w:rPr>
      </w:pPr>
    </w:p>
    <w:p>
      <w:pPr>
        <w:ind w:left="1304" w:hanging="655"/>
        <w:spacing w:after="0" w:line="277" w:lineRule="auto"/>
        <w:tabs>
          <w:tab w:leader="none" w:pos="13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Executive acknowledges that his obligations governed by any agreements entered into with Company regarding rights in intellectual property, non-competition and non-solicitation remain in effect pursuant to their original terms.</w:t>
      </w:r>
    </w:p>
    <w:p>
      <w:pPr>
        <w:spacing w:after="0" w:line="197" w:lineRule="exact"/>
        <w:rPr>
          <w:rFonts w:ascii="Arial" w:cs="Arial" w:eastAsia="Arial" w:hAnsi="Arial"/>
          <w:sz w:val="18"/>
          <w:szCs w:val="18"/>
          <w:color w:val="auto"/>
        </w:rPr>
      </w:pPr>
    </w:p>
    <w:p>
      <w:pPr>
        <w:jc w:val="both"/>
        <w:ind w:left="-656" w:firstLine="656"/>
        <w:spacing w:after="0" w:line="304"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Executive acknowledges and warrants that he is not aware of, or that he has fully disclosed to the Company, any matters for which Executive was responsible or which came to Executive’s attention as an Executive of the Company that might give rise to, evidence, or support any claim of illegal conduct, regulatory violation, unlawful discrimination, or other cause of action against the Company. The Company acknowledges that as of the date it executes this General Release that it does not know of any claims it has or may have against Executive and that he does not owe the Company any money.</w:t>
      </w:r>
    </w:p>
    <w:p>
      <w:pPr>
        <w:spacing w:after="0" w:line="188" w:lineRule="exact"/>
        <w:rPr>
          <w:rFonts w:ascii="Arial" w:cs="Arial" w:eastAsia="Arial" w:hAnsi="Arial"/>
          <w:sz w:val="18"/>
          <w:szCs w:val="18"/>
          <w:color w:val="auto"/>
        </w:rPr>
      </w:pPr>
    </w:p>
    <w:p>
      <w:pPr>
        <w:jc w:val="both"/>
        <w:ind w:left="-656" w:firstLine="656"/>
        <w:spacing w:after="0" w:line="320" w:lineRule="auto"/>
        <w:tabs>
          <w:tab w:leader="none" w:pos="77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Company Property and Information</w:t>
      </w:r>
      <w:r>
        <w:rPr>
          <w:rFonts w:ascii="Arial" w:cs="Arial" w:eastAsia="Arial" w:hAnsi="Arial"/>
          <w:sz w:val="17"/>
          <w:szCs w:val="17"/>
          <w:color w:val="auto"/>
        </w:rPr>
        <w:t>. All records, files, lists, including computer generated lists, data, drawings, documents, equipment and similar items relating to the Company’s business that Executive generated or received from the Company remain the Company’s sole and exclusive property. On or before July 10, 2015, Executive agrees to return to the Company) all property of the Company in his possession; provided, however, that Executive may destroy duplicate copies of any Company property that may be in his possession or on his personal electronic devices. Executive further represents that after June 10, 2015 he has not copied or caused to be copied, printed out, or caused to be printed out any documents or other material originating with or belonging to the Company. Executive additionally represents that he will not retain in his possession any such documents or other materials. Executive shall further: (1) immediately refrain from accessing any Company Confidential Information stored on any personal electronic devices that were used by Executive for Company purposes; and (2) no later than July 10, 2015 permanently delete and erase any Company Confidential Information stored on any personal devices that were used by Executive for Company purposes.</w:t>
      </w:r>
    </w:p>
    <w:p>
      <w:pPr>
        <w:spacing w:after="0" w:line="179" w:lineRule="exact"/>
        <w:rPr>
          <w:rFonts w:ascii="Arial" w:cs="Arial" w:eastAsia="Arial" w:hAnsi="Arial"/>
          <w:sz w:val="17"/>
          <w:szCs w:val="17"/>
          <w:color w:val="auto"/>
        </w:rPr>
      </w:pPr>
    </w:p>
    <w:p>
      <w:pPr>
        <w:ind w:left="-656" w:firstLine="656"/>
        <w:spacing w:after="0" w:line="324"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Breach of Agreement</w:t>
      </w:r>
      <w:r>
        <w:rPr>
          <w:rFonts w:ascii="Arial" w:cs="Arial" w:eastAsia="Arial" w:hAnsi="Arial"/>
          <w:sz w:val="18"/>
          <w:szCs w:val="18"/>
          <w:color w:val="auto"/>
        </w:rPr>
        <w:t>. If either party brings a claim for breach of the terms of this General Release, the prevailing party shall be entitled to its reasonable attorneys’ fees and expenses incurred in prosecuting or defending such an action.</w:t>
      </w:r>
    </w:p>
    <w:p>
      <w:pPr>
        <w:spacing w:after="0" w:line="170" w:lineRule="exact"/>
        <w:rPr>
          <w:rFonts w:ascii="Arial" w:cs="Arial" w:eastAsia="Arial" w:hAnsi="Arial"/>
          <w:sz w:val="18"/>
          <w:szCs w:val="18"/>
          <w:color w:val="auto"/>
        </w:rPr>
      </w:pPr>
    </w:p>
    <w:p>
      <w:pPr>
        <w:ind w:left="-656" w:firstLine="656"/>
        <w:spacing w:after="0" w:line="324" w:lineRule="auto"/>
        <w:tabs>
          <w:tab w:leader="none" w:pos="86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General Release shall be binding upon and inure to the benefit of Executive and the Company, and their officers, directors, executives, agents, legal counsel, heirs, successors and assigns.</w:t>
      </w:r>
    </w:p>
    <w:p>
      <w:pPr>
        <w:spacing w:after="0" w:line="170" w:lineRule="exact"/>
        <w:rPr>
          <w:rFonts w:ascii="Arial" w:cs="Arial" w:eastAsia="Arial" w:hAnsi="Arial"/>
          <w:sz w:val="18"/>
          <w:szCs w:val="18"/>
          <w:color w:val="auto"/>
        </w:rPr>
      </w:pPr>
    </w:p>
    <w:p>
      <w:pPr>
        <w:ind w:left="-656" w:firstLine="656"/>
        <w:spacing w:after="0" w:line="324" w:lineRule="auto"/>
        <w:tabs>
          <w:tab w:leader="none" w:pos="85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General Release shall be governed by and construed and enforced in accordance with the laws of the State of Delaware. Any action brought by any party to this General Release shall be brought and maintained</w:t>
      </w:r>
    </w:p>
    <w:p>
      <w:pPr>
        <w:sectPr>
          <w:pgSz w:w="11900" w:h="16838" w:orient="portrait"/>
          <w:cols w:equalWidth="0" w:num="1">
            <w:col w:w="10764"/>
          </w:cols>
          <w:pgMar w:left="896" w:top="611" w:right="239" w:bottom="1440" w:gutter="0" w:footer="0" w:header="0"/>
        </w:sectPr>
      </w:pPr>
    </w:p>
    <w:bookmarkStart w:id="39" w:name="page40"/>
    <w:bookmarkEnd w:id="39"/>
    <w:p>
      <w:pPr>
        <w:spacing w:after="0" w:line="324" w:lineRule="auto"/>
        <w:rPr>
          <w:sz w:val="20"/>
          <w:szCs w:val="20"/>
          <w:color w:val="auto"/>
        </w:rPr>
      </w:pPr>
      <w:r>
        <w:rPr>
          <w:rFonts w:ascii="Arial" w:cs="Arial" w:eastAsia="Arial" w:hAnsi="Arial"/>
          <w:sz w:val="18"/>
          <w:szCs w:val="18"/>
          <w:color w:val="auto"/>
        </w:rPr>
        <w:t>exclusively in the state and federal courts sitting in Delaware, and the parties hereby consent and submit themselves to the exclusive venue and personal jurisdiction of said court with respect to all such disputes and controversies.</w:t>
      </w:r>
    </w:p>
    <w:p>
      <w:pPr>
        <w:spacing w:after="0" w:line="170" w:lineRule="exact"/>
        <w:rPr>
          <w:sz w:val="20"/>
          <w:szCs w:val="20"/>
          <w:color w:val="auto"/>
        </w:rPr>
      </w:pPr>
    </w:p>
    <w:p>
      <w:pPr>
        <w:ind w:left="1520" w:hanging="864"/>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Warranties/Representations</w:t>
      </w:r>
      <w:r>
        <w:rPr>
          <w:rFonts w:ascii="Arial" w:cs="Arial" w:eastAsia="Arial" w:hAnsi="Arial"/>
          <w:sz w:val="18"/>
          <w:szCs w:val="18"/>
          <w:color w:val="auto"/>
        </w:rPr>
        <w:t>. Executive hereby warrants and represents that:</w:t>
      </w:r>
    </w:p>
    <w:p>
      <w:pPr>
        <w:spacing w:after="0" w:line="238"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Throughout his employment, he was fully and appropriately compensated for all hours worked in accordance with the Fair Labor Standards Act and other applicable law, if any.</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 has been provided with all leave to which he is entitled under Company policy and applicable law, including but not limited to the Family and Medical Leave Act.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 has carefully read and fully understands the comprehensive terms and conditions of this General Release and the releases set forth herein.</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 is executing this General Release knowingly and voluntarily, without any duress, coercion or undue influence by the Company, its representatives, or any other person;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 has consulted with legal counsel of his own choice before executing this General Release;</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 has pending no claim, complaint, grievance or any document with any federal or state agency or any court seeking money damages or relief against the Company;</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 is fully satisfied with the terms and conditions of this General Release including, without limitation, the consideration paid to him by the Company;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 is not waiving rights or claims that may arise after the date this General Release is executed; and</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 has had the right to consider the terms of this General Release for a full 45 days; and he hereby waives any and all rights to any further review period.</w:t>
      </w:r>
    </w:p>
    <w:p>
      <w:pPr>
        <w:spacing w:after="0" w:line="197" w:lineRule="exact"/>
        <w:rPr>
          <w:rFonts w:ascii="Arial" w:cs="Arial" w:eastAsia="Arial" w:hAnsi="Arial"/>
          <w:sz w:val="18"/>
          <w:szCs w:val="18"/>
          <w:color w:val="auto"/>
        </w:rPr>
      </w:pPr>
    </w:p>
    <w:p>
      <w:pPr>
        <w:jc w:val="both"/>
        <w:ind w:firstLine="656"/>
        <w:spacing w:after="0" w:line="323" w:lineRule="auto"/>
        <w:tabs>
          <w:tab w:leader="none" w:pos="152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Compliance with the Older Worker Benefit Protection Act</w:t>
      </w:r>
      <w:r>
        <w:rPr>
          <w:rFonts w:ascii="Arial" w:cs="Arial" w:eastAsia="Arial" w:hAnsi="Arial"/>
          <w:sz w:val="17"/>
          <w:szCs w:val="17"/>
          <w:color w:val="auto"/>
        </w:rPr>
        <w:t>. Executive represents and agrees that he has carefully read and fully understands all the provisions of this General Release, specifically including the General Release of claims included in the General Release. Executive further represents and acknowledges that prior to the execution of this General Release, he has been provided a period of at least 45 days within which to consider the General Release and that Executive has been advised to discuss any and all aspects of this General Release with an attorney of choice during this period at her/his own expense. Executive understands that this General Release may be executed at any time before the 45-day consideration period expires, and that by signing this General Release, Executive acknowledges that he does so freely, knowingly, and voluntarily.</w:t>
      </w:r>
    </w:p>
    <w:p>
      <w:pPr>
        <w:spacing w:after="0" w:line="177" w:lineRule="exact"/>
        <w:rPr>
          <w:rFonts w:ascii="Arial" w:cs="Arial" w:eastAsia="Arial" w:hAnsi="Arial"/>
          <w:sz w:val="17"/>
          <w:szCs w:val="17"/>
          <w:color w:val="auto"/>
        </w:rPr>
      </w:pPr>
    </w:p>
    <w:p>
      <w:pPr>
        <w:ind w:right="20" w:firstLine="656"/>
        <w:spacing w:after="0" w:line="324" w:lineRule="auto"/>
        <w:tabs>
          <w:tab w:leader="none" w:pos="152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Revocation/Effective Date</w:t>
      </w:r>
      <w:r>
        <w:rPr>
          <w:rFonts w:ascii="Arial" w:cs="Arial" w:eastAsia="Arial" w:hAnsi="Arial"/>
          <w:sz w:val="18"/>
          <w:szCs w:val="18"/>
          <w:color w:val="auto"/>
        </w:rPr>
        <w:t>. Executive may revoke his acceptance of this General Release within seven (7) calendar days after signing it by delivering (including by facsimile or email) no later than midnight of the seventh day a written notice of revocation 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People Officer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LendingTree,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11115 Rushmore Dr.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Fax: </w:t>
      </w:r>
      <w:r>
        <w:rPr>
          <w:rFonts w:ascii="Arial" w:cs="Arial" w:eastAsia="Arial" w:hAnsi="Arial"/>
          <w:sz w:val="18"/>
          <w:szCs w:val="18"/>
          <w:color w:val="4D4D4D"/>
        </w:rPr>
        <w:t>704-314-0870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claudette@tree.com</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Executive revokes this General Release during the seven-day period, the General Release and all obligations hereunder become null and void in their entirety. If Executive does not revoke his acceptance on or before that date, his acceptance of this General Release shall become binding and enforceable on the eighth day (“Effective Date of the General Release”).</w:t>
      </w:r>
    </w:p>
    <w:p>
      <w:pPr>
        <w:spacing w:after="0" w:line="208" w:lineRule="exact"/>
        <w:rPr>
          <w:sz w:val="20"/>
          <w:szCs w:val="20"/>
          <w:color w:val="auto"/>
        </w:rPr>
      </w:pPr>
    </w:p>
    <w:p>
      <w:pPr>
        <w:jc w:val="both"/>
        <w:ind w:firstLine="656"/>
        <w:spacing w:after="0" w:line="311" w:lineRule="auto"/>
        <w:tabs>
          <w:tab w:leader="none" w:pos="152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Timing of Payment/Mitigation</w:t>
      </w:r>
      <w:r>
        <w:rPr>
          <w:rFonts w:ascii="Arial" w:cs="Arial" w:eastAsia="Arial" w:hAnsi="Arial"/>
          <w:sz w:val="18"/>
          <w:szCs w:val="18"/>
          <w:color w:val="auto"/>
        </w:rPr>
        <w:t>: Following the Effective Date of the General Release and conditioned on Executive’s continuing compliance with both this General Release and the Amended Employment Agreement, the Base Salary Severance will be paid to Executive in accordance with the section of the Amended Employment Agreement entitled “Termination of Employment; Severance.”</w:t>
      </w:r>
    </w:p>
    <w:p>
      <w:pPr>
        <w:sectPr>
          <w:pgSz w:w="11900" w:h="16838" w:orient="portrait"/>
          <w:cols w:equalWidth="0" w:num="1">
            <w:col w:w="11420"/>
          </w:cols>
          <w:pgMar w:left="240" w:top="611" w:right="239" w:bottom="1440" w:gutter="0" w:footer="0" w:header="0"/>
        </w:sectPr>
      </w:pPr>
    </w:p>
    <w:bookmarkStart w:id="40" w:name="page41"/>
    <w:bookmarkEnd w:id="40"/>
    <w:p>
      <w:pPr>
        <w:jc w:val="both"/>
        <w:ind w:firstLine="656"/>
        <w:spacing w:after="0" w:line="306" w:lineRule="auto"/>
        <w:tabs>
          <w:tab w:leader="none" w:pos="156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Preserved Rights of Executive</w:t>
      </w:r>
      <w:r>
        <w:rPr>
          <w:rFonts w:ascii="Arial" w:cs="Arial" w:eastAsia="Arial" w:hAnsi="Arial"/>
          <w:sz w:val="18"/>
          <w:szCs w:val="18"/>
          <w:color w:val="auto"/>
        </w:rPr>
        <w:t>. This General Release does not waive or release any rights or claims that Executive may have under the Age Discrimination in Employment Act that arise after the execution of this General Release. In addition, this General Release does not prohibit Executive from seeking relief in the event of a breach of the General Release, or from challenging the validity of waiver and release of claims under the Age Discrimination in Employment Act.</w:t>
      </w:r>
    </w:p>
    <w:p>
      <w:pPr>
        <w:spacing w:after="0" w:line="186" w:lineRule="exact"/>
        <w:rPr>
          <w:rFonts w:ascii="Arial" w:cs="Arial" w:eastAsia="Arial" w:hAnsi="Arial"/>
          <w:sz w:val="18"/>
          <w:szCs w:val="18"/>
          <w:color w:val="auto"/>
        </w:rPr>
      </w:pPr>
    </w:p>
    <w:p>
      <w:pPr>
        <w:jc w:val="both"/>
        <w:ind w:firstLine="656"/>
        <w:spacing w:after="0" w:line="319" w:lineRule="auto"/>
        <w:tabs>
          <w:tab w:leader="none" w:pos="1521"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Entire Agreement/Severability</w:t>
      </w:r>
      <w:r>
        <w:rPr>
          <w:rFonts w:ascii="Arial" w:cs="Arial" w:eastAsia="Arial" w:hAnsi="Arial"/>
          <w:sz w:val="17"/>
          <w:szCs w:val="17"/>
          <w:color w:val="auto"/>
        </w:rPr>
        <w:t>. Executive and Company warrant that no promise, inducement, or agreement not expressed or incorporated herein has been made to Executive in connection with this General Release, and that this General Release constitutes the entire agreement between the parties and supersedes all prior agreements and understandings of the parties arising out of or relating to Executive's employment with the Company, except for Executive’s ongoing obligations pursuant to the Amended Employment Agreement, including without limitation the Restrictive Covenants, and the Confidentiality policy set forth in the Company’s handbook, and Executive's continuing obligations pursuant to that policy. It is expressly understood and agreed that this General Release may not be altered, amended, modified or otherwise changed in any respect whatsoever except by an executed written agreement signed by both parties. The parties hereto agree that they will make no claim at any time or place that this General Release has been orally altered or modified or otherwise changed by oral communication of any kind or character. If any provision of this General Release is determined to be invalid or otherwise unenforceable, then that invalidity or unenforceability shall not affect any other provision of this General Release, which shall continue and remain in full force and effect.</w:t>
      </w:r>
    </w:p>
    <w:p>
      <w:pPr>
        <w:spacing w:after="0" w:line="183" w:lineRule="exact"/>
        <w:rPr>
          <w:rFonts w:ascii="Arial" w:cs="Arial" w:eastAsia="Arial" w:hAnsi="Arial"/>
          <w:sz w:val="17"/>
          <w:szCs w:val="17"/>
          <w:color w:val="auto"/>
        </w:rPr>
      </w:pPr>
    </w:p>
    <w:p>
      <w:pPr>
        <w:ind w:firstLine="656"/>
        <w:spacing w:after="0" w:line="324" w:lineRule="auto"/>
        <w:tabs>
          <w:tab w:leader="none" w:pos="152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General Release is and shall be binding upon and inure to the benefit of the parties hereto and their respective heirs, affiliates, predecessors, successors and assigns.</w:t>
      </w:r>
    </w:p>
    <w:p>
      <w:pPr>
        <w:spacing w:after="0" w:line="170" w:lineRule="exact"/>
        <w:rPr>
          <w:rFonts w:ascii="Arial" w:cs="Arial" w:eastAsia="Arial" w:hAnsi="Arial"/>
          <w:sz w:val="18"/>
          <w:szCs w:val="18"/>
          <w:color w:val="auto"/>
        </w:rPr>
      </w:pPr>
    </w:p>
    <w:p>
      <w:pPr>
        <w:jc w:val="both"/>
        <w:ind w:right="20" w:firstLine="656"/>
        <w:spacing w:after="0" w:line="395" w:lineRule="auto"/>
        <w:tabs>
          <w:tab w:leader="none" w:pos="1521"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 Representations</w:t>
      </w:r>
      <w:r>
        <w:rPr>
          <w:rFonts w:ascii="Arial" w:cs="Arial" w:eastAsia="Arial" w:hAnsi="Arial"/>
          <w:sz w:val="16"/>
          <w:szCs w:val="16"/>
          <w:color w:val="auto"/>
        </w:rPr>
        <w:t>. Each of the parties to this General Release acknowledges that he/it is fully aware of the significance and legal effect of this General Release, including its release provisions, and is not entering into this General Release in reliance on any representation, promise, or statement.</w:t>
      </w:r>
    </w:p>
    <w:p>
      <w:pPr>
        <w:spacing w:after="0" w:line="123" w:lineRule="exact"/>
        <w:rPr>
          <w:rFonts w:ascii="Arial" w:cs="Arial" w:eastAsia="Arial" w:hAnsi="Arial"/>
          <w:sz w:val="16"/>
          <w:szCs w:val="16"/>
          <w:color w:val="auto"/>
        </w:rPr>
      </w:pPr>
    </w:p>
    <w:p>
      <w:pPr>
        <w:jc w:val="both"/>
        <w:ind w:firstLine="656"/>
        <w:spacing w:after="0" w:line="311" w:lineRule="auto"/>
        <w:tabs>
          <w:tab w:leader="none" w:pos="152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parties represent and warrant that he/it has full power, authority, and capacity to make the commitments contained in this General Release. Each of the parties represents and warrants that he/it has not assigned, or in any way transferred, all or any portion of any claim released by this General Release.</w:t>
      </w:r>
    </w:p>
    <w:p>
      <w:pPr>
        <w:spacing w:after="0" w:line="181"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Mistake</w:t>
      </w:r>
      <w:r>
        <w:rPr>
          <w:rFonts w:ascii="Arial" w:cs="Arial" w:eastAsia="Arial" w:hAnsi="Arial"/>
          <w:sz w:val="18"/>
          <w:szCs w:val="18"/>
          <w:color w:val="auto"/>
        </w:rPr>
        <w:t>. Each of the parties to this General Release has investigated the facts pertaining to this General Release to the extent each party deems necessary. In entering into this General Release, each party assumes the risk of mistake with respect to such facts. This General Release is intended to be final and binding upon all parties regardless of any claim of mistake.</w:t>
      </w:r>
    </w:p>
    <w:p>
      <w:pPr>
        <w:spacing w:after="0" w:line="181" w:lineRule="exact"/>
        <w:rPr>
          <w:rFonts w:ascii="Arial" w:cs="Arial" w:eastAsia="Arial" w:hAnsi="Arial"/>
          <w:sz w:val="18"/>
          <w:szCs w:val="18"/>
          <w:color w:val="auto"/>
        </w:rPr>
      </w:pPr>
    </w:p>
    <w:p>
      <w:pPr>
        <w:jc w:val="both"/>
        <w:ind w:firstLine="656"/>
        <w:spacing w:after="0" w:line="306" w:lineRule="auto"/>
        <w:tabs>
          <w:tab w:leader="none" w:pos="152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General Release has been reviewed by the parties, and the parties have had a full opportunity to negotiate the contents of this General Release. The parties expressly waive any common law or statutory rule of construction that ambiguity should be construed against the drafter of this General Release, and agree that the language in all parts of this General Release shall in all cases be construed as a whole, according to its fair meaning.</w:t>
      </w:r>
    </w:p>
    <w:p>
      <w:pPr>
        <w:spacing w:after="0" w:line="186" w:lineRule="exact"/>
        <w:rPr>
          <w:rFonts w:ascii="Arial" w:cs="Arial" w:eastAsia="Arial" w:hAnsi="Arial"/>
          <w:sz w:val="18"/>
          <w:szCs w:val="18"/>
          <w:color w:val="auto"/>
        </w:rPr>
      </w:pPr>
    </w:p>
    <w:p>
      <w:pPr>
        <w:ind w:firstLine="656"/>
        <w:spacing w:after="0" w:line="324" w:lineRule="auto"/>
        <w:tabs>
          <w:tab w:leader="none" w:pos="152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General Release may be executed in counterparts, each of which shall be deemed an original, but all of which together constitute one and the same instrument.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IS A LEGALLY ENFORCEABLE AGREEMENT CONTAINING A GENERAL RELEASE OF CLAIMS.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Executive and LendingTree, Inc. have executed this General Release as of the date(s) identified below.</w:t>
      </w:r>
    </w:p>
    <w:p>
      <w:pPr>
        <w:spacing w:after="0" w:line="39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6120" w:type="dxa"/>
            <w:vAlign w:val="bottom"/>
            <w:gridSpan w:val="3"/>
          </w:tcPr>
          <w:p>
            <w:pPr>
              <w:spacing w:after="0"/>
              <w:rPr>
                <w:sz w:val="20"/>
                <w:szCs w:val="20"/>
                <w:color w:val="auto"/>
              </w:rPr>
            </w:pPr>
            <w:r>
              <w:rPr>
                <w:rFonts w:ascii="Arial" w:cs="Arial" w:eastAsia="Arial" w:hAnsi="Arial"/>
                <w:sz w:val="18"/>
                <w:szCs w:val="18"/>
                <w:color w:val="auto"/>
              </w:rPr>
              <w:t>EXECUTIVE</w:t>
            </w:r>
          </w:p>
        </w:tc>
        <w:tc>
          <w:tcPr>
            <w:tcW w:w="1760" w:type="dxa"/>
            <w:vAlign w:val="bottom"/>
            <w:gridSpan w:val="5"/>
          </w:tcPr>
          <w:p>
            <w:pPr>
              <w:spacing w:after="0"/>
              <w:rPr>
                <w:sz w:val="20"/>
                <w:szCs w:val="20"/>
                <w:color w:val="auto"/>
              </w:rPr>
            </w:pPr>
            <w:r>
              <w:rPr>
                <w:rFonts w:ascii="Arial" w:cs="Arial" w:eastAsia="Arial" w:hAnsi="Arial"/>
                <w:sz w:val="18"/>
                <w:szCs w:val="18"/>
                <w:color w:val="auto"/>
              </w:rPr>
              <w:t>LendingTree, Inc.</w:t>
            </w:r>
          </w:p>
        </w:tc>
        <w:tc>
          <w:tcPr>
            <w:tcW w:w="0" w:type="dxa"/>
            <w:vAlign w:val="bottom"/>
          </w:tcPr>
          <w:p>
            <w:pPr>
              <w:spacing w:after="0"/>
              <w:rPr>
                <w:sz w:val="1"/>
                <w:szCs w:val="1"/>
                <w:color w:val="auto"/>
              </w:rPr>
            </w:pPr>
          </w:p>
        </w:tc>
      </w:tr>
      <w:tr>
        <w:trPr>
          <w:trHeight w:val="392"/>
        </w:trPr>
        <w:tc>
          <w:tcPr>
            <w:tcW w:w="1760" w:type="dxa"/>
            <w:vAlign w:val="bottom"/>
            <w:gridSpan w:val="2"/>
          </w:tcPr>
          <w:p>
            <w:pPr>
              <w:spacing w:after="0"/>
              <w:rPr>
                <w:sz w:val="20"/>
                <w:szCs w:val="20"/>
                <w:color w:val="auto"/>
              </w:rPr>
            </w:pPr>
            <w:r>
              <w:rPr>
                <w:rFonts w:ascii="Arial" w:cs="Arial" w:eastAsia="Arial" w:hAnsi="Arial"/>
                <w:sz w:val="18"/>
                <w:szCs w:val="18"/>
                <w:color w:val="auto"/>
                <w:w w:val="91"/>
              </w:rPr>
              <w:t>/s/ Alexander E. Mandel</w:t>
            </w:r>
          </w:p>
        </w:tc>
        <w:tc>
          <w:tcPr>
            <w:tcW w:w="436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Arial" w:cs="Arial" w:eastAsia="Arial" w:hAnsi="Arial"/>
                <w:sz w:val="18"/>
                <w:szCs w:val="18"/>
                <w:color w:val="auto"/>
                <w:w w:val="89"/>
              </w:rPr>
              <w:t>By /s/ Claudette Parham</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rPr>
              <w:t>Alexander E. Mandel</w:t>
            </w:r>
          </w:p>
        </w:tc>
        <w:tc>
          <w:tcPr>
            <w:tcW w:w="4360" w:type="dxa"/>
            <w:vAlign w:val="bottom"/>
          </w:tcPr>
          <w:p>
            <w:pPr>
              <w:spacing w:after="0"/>
              <w:rPr>
                <w:sz w:val="20"/>
                <w:szCs w:val="20"/>
                <w:color w:val="auto"/>
              </w:rPr>
            </w:pPr>
          </w:p>
        </w:tc>
        <w:tc>
          <w:tcPr>
            <w:tcW w:w="1760" w:type="dxa"/>
            <w:vAlign w:val="bottom"/>
            <w:gridSpan w:val="5"/>
            <w:vMerge w:val="restart"/>
          </w:tcPr>
          <w:p>
            <w:pPr>
              <w:spacing w:after="0"/>
              <w:rPr>
                <w:sz w:val="20"/>
                <w:szCs w:val="20"/>
                <w:color w:val="auto"/>
              </w:rPr>
            </w:pPr>
            <w:r>
              <w:rPr>
                <w:rFonts w:ascii="Arial" w:cs="Arial" w:eastAsia="Arial" w:hAnsi="Arial"/>
                <w:sz w:val="18"/>
                <w:szCs w:val="18"/>
                <w:color w:val="auto"/>
              </w:rPr>
              <w:t>Its CPO</w:t>
            </w:r>
          </w:p>
        </w:tc>
        <w:tc>
          <w:tcPr>
            <w:tcW w:w="0" w:type="dxa"/>
            <w:vAlign w:val="bottom"/>
          </w:tcPr>
          <w:p>
            <w:pPr>
              <w:spacing w:after="0"/>
              <w:rPr>
                <w:sz w:val="1"/>
                <w:szCs w:val="1"/>
                <w:color w:val="auto"/>
              </w:rPr>
            </w:pPr>
          </w:p>
        </w:tc>
      </w:tr>
      <w:tr>
        <w:trPr>
          <w:trHeight w:val="176"/>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rPr>
              <w:t>7/10/15</w:t>
            </w:r>
          </w:p>
        </w:tc>
        <w:tc>
          <w:tcPr>
            <w:tcW w:w="43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60" w:type="dxa"/>
            <w:vAlign w:val="bottom"/>
            <w:gridSpan w:val="2"/>
            <w:vMerge w:val="continue"/>
          </w:tcPr>
          <w:p>
            <w:pPr>
              <w:spacing w:after="0"/>
              <w:rPr>
                <w:sz w:val="17"/>
                <w:szCs w:val="17"/>
                <w:color w:val="auto"/>
              </w:rPr>
            </w:pPr>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Date</w:t>
            </w:r>
          </w:p>
        </w:tc>
        <w:tc>
          <w:tcPr>
            <w:tcW w:w="5580" w:type="dxa"/>
            <w:vAlign w:val="bottom"/>
            <w:gridSpan w:val="2"/>
          </w:tcPr>
          <w:p>
            <w:pPr>
              <w:spacing w:after="0"/>
              <w:rPr>
                <w:sz w:val="17"/>
                <w:szCs w:val="17"/>
                <w:color w:val="auto"/>
              </w:rPr>
            </w:pPr>
          </w:p>
        </w:tc>
        <w:tc>
          <w:tcPr>
            <w:tcW w:w="780" w:type="dxa"/>
            <w:vAlign w:val="bottom"/>
            <w:tcBorders>
              <w:bottom w:val="single" w:sz="8" w:color="auto"/>
            </w:tcBorders>
            <w:gridSpan w:val="4"/>
          </w:tcPr>
          <w:p>
            <w:pPr>
              <w:ind w:left="220"/>
              <w:spacing w:after="0" w:line="196" w:lineRule="exact"/>
              <w:rPr>
                <w:sz w:val="20"/>
                <w:szCs w:val="20"/>
                <w:color w:val="auto"/>
              </w:rPr>
            </w:pPr>
            <w:r>
              <w:rPr>
                <w:rFonts w:ascii="Arial" w:cs="Arial" w:eastAsia="Arial" w:hAnsi="Arial"/>
                <w:sz w:val="18"/>
                <w:szCs w:val="18"/>
                <w:color w:val="auto"/>
                <w:w w:val="89"/>
              </w:rPr>
              <w:t>7/10/15</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60" w:type="dxa"/>
            <w:vAlign w:val="bottom"/>
            <w:gridSpan w:val="5"/>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8"/>
        </w:trPr>
        <w:tc>
          <w:tcPr>
            <w:tcW w:w="6120" w:type="dxa"/>
            <w:vAlign w:val="bottom"/>
            <w:gridSpan w:val="3"/>
          </w:tcPr>
          <w:p>
            <w:pPr>
              <w:spacing w:after="0"/>
              <w:rPr>
                <w:sz w:val="20"/>
                <w:szCs w:val="20"/>
                <w:color w:val="auto"/>
              </w:rPr>
            </w:pPr>
            <w:r>
              <w:rPr>
                <w:rFonts w:ascii="Arial" w:cs="Arial" w:eastAsia="Arial" w:hAnsi="Arial"/>
                <w:sz w:val="18"/>
                <w:szCs w:val="18"/>
                <w:color w:val="auto"/>
              </w:rPr>
              <w:t>(Executive Address)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3"/>
          </w:tcPr>
          <w:p>
            <w:pPr>
              <w:spacing w:after="0"/>
              <w:rPr>
                <w:sz w:val="20"/>
                <w:szCs w:val="20"/>
                <w:color w:val="auto"/>
              </w:rPr>
            </w:pPr>
            <w:r>
              <w:rPr>
                <w:rFonts w:ascii="Arial" w:cs="Arial" w:eastAsia="Arial" w:hAnsi="Arial"/>
                <w:sz w:val="18"/>
                <w:szCs w:val="18"/>
                <w:color w:val="auto"/>
              </w:rPr>
              <w:t>_____________________________________</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2015</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Gabriel Dalporto,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2015</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4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2015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26, 2015</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 Gabriel Dalporto, certify, pursuant to 18 U.S.C. Section 1350, as adopted pursuant to Section 906 of the Sarbanes-Oxley Act of 2002, that to my knowledge:</w:t>
      </w:r>
    </w:p>
    <w:p>
      <w:pPr>
        <w:spacing w:after="0" w:line="116" w:lineRule="exact"/>
        <w:rPr>
          <w:sz w:val="20"/>
          <w:szCs w:val="20"/>
          <w:color w:val="auto"/>
        </w:rPr>
      </w:pPr>
    </w:p>
    <w:p>
      <w:pPr>
        <w:ind w:left="340" w:right="44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2015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26, 2015</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99.1</w:t>
      </w:r>
    </w:p>
    <w:p>
      <w:pPr>
        <w:spacing w:after="0" w:line="230"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dated as of October 22, 2015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LendingTree, LLC</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the Borrower,</w:t>
      </w: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LendingTree, Inc.,</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Parent,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THE LENDERS FROM TIME TO TIME PARTY HERETO</w:t>
      </w:r>
    </w:p>
    <w:p>
      <w:pPr>
        <w:spacing w:after="0" w:line="200" w:lineRule="exact"/>
        <w:rPr>
          <w:sz w:val="20"/>
          <w:szCs w:val="20"/>
          <w:color w:val="auto"/>
        </w:rPr>
      </w:pPr>
    </w:p>
    <w:p>
      <w:pPr>
        <w:spacing w:after="0" w:line="28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SUNTRUST BANK</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_________________________________________________________________________________________</w:t>
      </w:r>
    </w:p>
    <w:p>
      <w:pPr>
        <w:spacing w:after="0" w:line="200" w:lineRule="exact"/>
        <w:rPr>
          <w:sz w:val="20"/>
          <w:szCs w:val="20"/>
          <w:color w:val="auto"/>
        </w:rPr>
      </w:pPr>
    </w:p>
    <w:p>
      <w:pPr>
        <w:spacing w:after="0" w:line="347"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with</w:t>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SUNTRUST ROBINSON HUMPHREY, INC.</w:t>
      </w:r>
      <w:r>
        <w:rPr>
          <w:rFonts w:ascii="Arial" w:cs="Arial" w:eastAsia="Arial" w:hAnsi="Arial"/>
          <w:sz w:val="22"/>
          <w:szCs w:val="22"/>
          <w:color w:val="auto"/>
        </w:rPr>
        <w:t>,</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Left Lead Arranger and Bookrunner,</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and</w:t>
      </w:r>
      <w:r>
        <w:rPr>
          <w:rFonts w:ascii="Arial" w:cs="Arial" w:eastAsia="Arial" w:hAnsi="Arial"/>
          <w:sz w:val="22"/>
          <w:szCs w:val="22"/>
          <w:b w:val="1"/>
          <w:bCs w:val="1"/>
          <w:color w:val="auto"/>
        </w:rPr>
        <w:t xml:space="preserve"> ROYAL BANK OF CANADA</w:t>
      </w:r>
      <w:r>
        <w:rPr>
          <w:rFonts w:ascii="Arial" w:cs="Arial" w:eastAsia="Arial" w:hAnsi="Arial"/>
          <w:sz w:val="22"/>
          <w:szCs w:val="22"/>
          <w:color w:val="auto"/>
        </w:rPr>
        <w:t>,</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Co-Syndication Agents,</w:t>
      </w:r>
    </w:p>
    <w:p>
      <w:pPr>
        <w:spacing w:after="0" w:line="200" w:lineRule="exact"/>
        <w:rPr>
          <w:sz w:val="20"/>
          <w:szCs w:val="20"/>
          <w:color w:val="auto"/>
        </w:rPr>
      </w:pPr>
    </w:p>
    <w:p>
      <w:pPr>
        <w:spacing w:after="0" w:line="21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 xml:space="preserve">FIFTH THIRD BANK </w:t>
      </w:r>
      <w:r>
        <w:rPr>
          <w:rFonts w:ascii="Arial" w:cs="Arial" w:eastAsia="Arial" w:hAnsi="Arial"/>
          <w:sz w:val="22"/>
          <w:szCs w:val="22"/>
          <w:color w:val="auto"/>
        </w:rPr>
        <w:t>and</w:t>
      </w:r>
      <w:r>
        <w:rPr>
          <w:rFonts w:ascii="Arial" w:cs="Arial" w:eastAsia="Arial" w:hAnsi="Arial"/>
          <w:sz w:val="22"/>
          <w:szCs w:val="22"/>
          <w:b w:val="1"/>
          <w:bCs w:val="1"/>
          <w:color w:val="auto"/>
        </w:rPr>
        <w:t xml:space="preserve"> JPMORGAN CHASE BANK, N.A.</w:t>
      </w:r>
      <w:r>
        <w:rPr>
          <w:rFonts w:ascii="Arial" w:cs="Arial" w:eastAsia="Arial" w:hAnsi="Arial"/>
          <w:sz w:val="22"/>
          <w:szCs w:val="22"/>
          <w:color w:val="auto"/>
        </w:rPr>
        <w:t>,</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Co-Documentation Agents</w:t>
      </w:r>
    </w:p>
    <w:p>
      <w:pPr>
        <w:sectPr>
          <w:pgSz w:w="11900" w:h="16838" w:orient="portrait"/>
          <w:cols w:equalWidth="0" w:num="1">
            <w:col w:w="10220"/>
          </w:cols>
          <w:pgMar w:left="1440" w:top="364" w:right="2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94"/>
        </w:trPr>
        <w:tc>
          <w:tcPr>
            <w:tcW w:w="2120" w:type="dxa"/>
            <w:vAlign w:val="bottom"/>
          </w:tcPr>
          <w:p>
            <w:pPr>
              <w:spacing w:after="0"/>
              <w:rPr>
                <w:sz w:val="20"/>
                <w:szCs w:val="20"/>
                <w:color w:val="auto"/>
              </w:rPr>
            </w:pPr>
            <w:r>
              <w:rPr>
                <w:rFonts w:ascii="Arial" w:cs="Arial" w:eastAsia="Arial" w:hAnsi="Arial"/>
                <w:sz w:val="18"/>
                <w:szCs w:val="18"/>
                <w:color w:val="auto"/>
              </w:rPr>
              <w:t>ARTICLE I</w:t>
            </w:r>
          </w:p>
        </w:tc>
        <w:tc>
          <w:tcPr>
            <w:tcW w:w="7120" w:type="dxa"/>
            <w:vAlign w:val="bottom"/>
          </w:tcPr>
          <w:p>
            <w:pPr>
              <w:ind w:left="440"/>
              <w:spacing w:after="0"/>
              <w:rPr>
                <w:sz w:val="20"/>
                <w:szCs w:val="20"/>
                <w:color w:val="auto"/>
              </w:rPr>
            </w:pPr>
            <w:r>
              <w:rPr>
                <w:rFonts w:ascii="Arial" w:cs="Arial" w:eastAsia="Arial" w:hAnsi="Arial"/>
                <w:sz w:val="18"/>
                <w:szCs w:val="18"/>
                <w:color w:val="auto"/>
              </w:rPr>
              <w:t>DEFINITIONS; CONSTRUCTION</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1.1</w:t>
            </w:r>
          </w:p>
        </w:tc>
        <w:tc>
          <w:tcPr>
            <w:tcW w:w="7120" w:type="dxa"/>
            <w:vAlign w:val="bottom"/>
          </w:tcPr>
          <w:p>
            <w:pPr>
              <w:ind w:left="1200"/>
              <w:spacing w:after="0"/>
              <w:rPr>
                <w:sz w:val="20"/>
                <w:szCs w:val="20"/>
                <w:color w:val="auto"/>
              </w:rPr>
            </w:pPr>
            <w:r>
              <w:rPr>
                <w:rFonts w:ascii="Arial" w:cs="Arial" w:eastAsia="Arial" w:hAnsi="Arial"/>
                <w:sz w:val="18"/>
                <w:szCs w:val="18"/>
                <w:color w:val="auto"/>
              </w:rPr>
              <w:t>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1.2</w:t>
            </w:r>
          </w:p>
        </w:tc>
        <w:tc>
          <w:tcPr>
            <w:tcW w:w="7120" w:type="dxa"/>
            <w:vAlign w:val="bottom"/>
          </w:tcPr>
          <w:p>
            <w:pPr>
              <w:ind w:left="1200"/>
              <w:spacing w:after="0"/>
              <w:rPr>
                <w:sz w:val="20"/>
                <w:szCs w:val="20"/>
                <w:color w:val="auto"/>
              </w:rPr>
            </w:pPr>
            <w:r>
              <w:rPr>
                <w:rFonts w:ascii="Arial" w:cs="Arial" w:eastAsia="Arial" w:hAnsi="Arial"/>
                <w:sz w:val="18"/>
                <w:szCs w:val="18"/>
                <w:color w:val="auto"/>
              </w:rPr>
              <w:t>Classifications of Loans and Borrowings</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1.3</w:t>
            </w:r>
          </w:p>
        </w:tc>
        <w:tc>
          <w:tcPr>
            <w:tcW w:w="7120" w:type="dxa"/>
            <w:vAlign w:val="bottom"/>
          </w:tcPr>
          <w:p>
            <w:pPr>
              <w:ind w:left="1200"/>
              <w:spacing w:after="0"/>
              <w:rPr>
                <w:sz w:val="20"/>
                <w:szCs w:val="20"/>
                <w:color w:val="auto"/>
              </w:rPr>
            </w:pPr>
            <w:r>
              <w:rPr>
                <w:rFonts w:ascii="Arial" w:cs="Arial" w:eastAsia="Arial" w:hAnsi="Arial"/>
                <w:sz w:val="18"/>
                <w:szCs w:val="18"/>
                <w:color w:val="auto"/>
              </w:rPr>
              <w:t>Accounting Terms and Determination</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1.4</w:t>
            </w:r>
          </w:p>
        </w:tc>
        <w:tc>
          <w:tcPr>
            <w:tcW w:w="7120" w:type="dxa"/>
            <w:vAlign w:val="bottom"/>
          </w:tcPr>
          <w:p>
            <w:pPr>
              <w:ind w:left="1200"/>
              <w:spacing w:after="0"/>
              <w:rPr>
                <w:sz w:val="20"/>
                <w:szCs w:val="20"/>
                <w:color w:val="auto"/>
              </w:rPr>
            </w:pPr>
            <w:r>
              <w:rPr>
                <w:rFonts w:ascii="Arial" w:cs="Arial" w:eastAsia="Arial" w:hAnsi="Arial"/>
                <w:sz w:val="18"/>
                <w:szCs w:val="18"/>
                <w:color w:val="auto"/>
              </w:rPr>
              <w:t>Terms Generally</w:t>
            </w: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ARTICLE II</w:t>
            </w:r>
          </w:p>
        </w:tc>
        <w:tc>
          <w:tcPr>
            <w:tcW w:w="7120" w:type="dxa"/>
            <w:vAlign w:val="bottom"/>
          </w:tcPr>
          <w:p>
            <w:pPr>
              <w:ind w:left="440"/>
              <w:spacing w:after="0"/>
              <w:rPr>
                <w:sz w:val="20"/>
                <w:szCs w:val="20"/>
                <w:color w:val="auto"/>
              </w:rPr>
            </w:pPr>
            <w:r>
              <w:rPr>
                <w:rFonts w:ascii="Arial" w:cs="Arial" w:eastAsia="Arial" w:hAnsi="Arial"/>
                <w:sz w:val="18"/>
                <w:szCs w:val="18"/>
                <w:color w:val="auto"/>
              </w:rPr>
              <w:t>AMOUNT AND TERMS OF THE COMMITMENTS</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w:t>
            </w:r>
          </w:p>
        </w:tc>
        <w:tc>
          <w:tcPr>
            <w:tcW w:w="7120" w:type="dxa"/>
            <w:vAlign w:val="bottom"/>
          </w:tcPr>
          <w:p>
            <w:pPr>
              <w:ind w:left="1200"/>
              <w:spacing w:after="0"/>
              <w:rPr>
                <w:sz w:val="20"/>
                <w:szCs w:val="20"/>
                <w:color w:val="auto"/>
              </w:rPr>
            </w:pPr>
            <w:r>
              <w:rPr>
                <w:rFonts w:ascii="Arial" w:cs="Arial" w:eastAsia="Arial" w:hAnsi="Arial"/>
                <w:sz w:val="18"/>
                <w:szCs w:val="18"/>
                <w:color w:val="auto"/>
              </w:rPr>
              <w:t>General Description of Facilities</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w:t>
            </w:r>
          </w:p>
        </w:tc>
        <w:tc>
          <w:tcPr>
            <w:tcW w:w="7120" w:type="dxa"/>
            <w:vAlign w:val="bottom"/>
          </w:tcPr>
          <w:p>
            <w:pPr>
              <w:ind w:left="1200"/>
              <w:spacing w:after="0"/>
              <w:rPr>
                <w:sz w:val="20"/>
                <w:szCs w:val="20"/>
                <w:color w:val="auto"/>
              </w:rPr>
            </w:pPr>
            <w:r>
              <w:rPr>
                <w:rFonts w:ascii="Arial" w:cs="Arial" w:eastAsia="Arial" w:hAnsi="Arial"/>
                <w:sz w:val="18"/>
                <w:szCs w:val="18"/>
                <w:color w:val="auto"/>
              </w:rPr>
              <w:t>Revolving Loans</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2.3</w:t>
            </w:r>
          </w:p>
        </w:tc>
        <w:tc>
          <w:tcPr>
            <w:tcW w:w="7120" w:type="dxa"/>
            <w:vAlign w:val="bottom"/>
          </w:tcPr>
          <w:p>
            <w:pPr>
              <w:ind w:left="1200"/>
              <w:spacing w:after="0"/>
              <w:rPr>
                <w:sz w:val="20"/>
                <w:szCs w:val="20"/>
                <w:color w:val="auto"/>
              </w:rPr>
            </w:pPr>
            <w:r>
              <w:rPr>
                <w:rFonts w:ascii="Arial" w:cs="Arial" w:eastAsia="Arial" w:hAnsi="Arial"/>
                <w:sz w:val="18"/>
                <w:szCs w:val="18"/>
                <w:color w:val="auto"/>
              </w:rPr>
              <w:t>Procedures for Revolving Borrowings</w:t>
            </w: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2.4</w:t>
            </w:r>
          </w:p>
        </w:tc>
        <w:tc>
          <w:tcPr>
            <w:tcW w:w="7120" w:type="dxa"/>
            <w:vAlign w:val="bottom"/>
          </w:tcPr>
          <w:p>
            <w:pPr>
              <w:ind w:left="1200"/>
              <w:spacing w:after="0"/>
              <w:rPr>
                <w:sz w:val="20"/>
                <w:szCs w:val="20"/>
                <w:color w:val="auto"/>
              </w:rPr>
            </w:pPr>
            <w:r>
              <w:rPr>
                <w:rFonts w:ascii="Arial" w:cs="Arial" w:eastAsia="Arial" w:hAnsi="Arial"/>
                <w:sz w:val="18"/>
                <w:szCs w:val="18"/>
                <w:color w:val="auto"/>
              </w:rPr>
              <w:t>Swingline Commitment</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2.5</w:t>
            </w:r>
          </w:p>
        </w:tc>
        <w:tc>
          <w:tcPr>
            <w:tcW w:w="7120" w:type="dxa"/>
            <w:vAlign w:val="bottom"/>
          </w:tcPr>
          <w:p>
            <w:pPr>
              <w:ind w:left="1200"/>
              <w:spacing w:after="0"/>
              <w:rPr>
                <w:sz w:val="20"/>
                <w:szCs w:val="20"/>
                <w:color w:val="auto"/>
              </w:rPr>
            </w:pPr>
            <w:r>
              <w:rPr>
                <w:rFonts w:ascii="Arial" w:cs="Arial" w:eastAsia="Arial" w:hAnsi="Arial"/>
                <w:sz w:val="18"/>
                <w:szCs w:val="18"/>
                <w:color w:val="auto"/>
              </w:rPr>
              <w:t>[Intentionally Omitted]</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2.6</w:t>
            </w:r>
          </w:p>
        </w:tc>
        <w:tc>
          <w:tcPr>
            <w:tcW w:w="7120" w:type="dxa"/>
            <w:vAlign w:val="bottom"/>
          </w:tcPr>
          <w:p>
            <w:pPr>
              <w:ind w:left="1200"/>
              <w:spacing w:after="0"/>
              <w:rPr>
                <w:sz w:val="20"/>
                <w:szCs w:val="20"/>
                <w:color w:val="auto"/>
              </w:rPr>
            </w:pPr>
            <w:r>
              <w:rPr>
                <w:rFonts w:ascii="Arial" w:cs="Arial" w:eastAsia="Arial" w:hAnsi="Arial"/>
                <w:sz w:val="18"/>
                <w:szCs w:val="18"/>
                <w:color w:val="auto"/>
              </w:rPr>
              <w:t>Funding of Borrowings</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2.7</w:t>
            </w:r>
          </w:p>
        </w:tc>
        <w:tc>
          <w:tcPr>
            <w:tcW w:w="7120" w:type="dxa"/>
            <w:vAlign w:val="bottom"/>
          </w:tcPr>
          <w:p>
            <w:pPr>
              <w:ind w:left="1200"/>
              <w:spacing w:after="0"/>
              <w:rPr>
                <w:sz w:val="20"/>
                <w:szCs w:val="20"/>
                <w:color w:val="auto"/>
              </w:rPr>
            </w:pPr>
            <w:r>
              <w:rPr>
                <w:rFonts w:ascii="Arial" w:cs="Arial" w:eastAsia="Arial" w:hAnsi="Arial"/>
                <w:sz w:val="18"/>
                <w:szCs w:val="18"/>
                <w:color w:val="auto"/>
              </w:rPr>
              <w:t>Interest Elections</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2.8</w:t>
            </w:r>
          </w:p>
        </w:tc>
        <w:tc>
          <w:tcPr>
            <w:tcW w:w="7120" w:type="dxa"/>
            <w:vAlign w:val="bottom"/>
          </w:tcPr>
          <w:p>
            <w:pPr>
              <w:ind w:left="1200"/>
              <w:spacing w:after="0"/>
              <w:rPr>
                <w:sz w:val="20"/>
                <w:szCs w:val="20"/>
                <w:color w:val="auto"/>
              </w:rPr>
            </w:pPr>
            <w:r>
              <w:rPr>
                <w:rFonts w:ascii="Arial" w:cs="Arial" w:eastAsia="Arial" w:hAnsi="Arial"/>
                <w:sz w:val="18"/>
                <w:szCs w:val="18"/>
                <w:color w:val="auto"/>
              </w:rPr>
              <w:t>Optional Reduction and Termination of Commitments</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2.9</w:t>
            </w:r>
          </w:p>
        </w:tc>
        <w:tc>
          <w:tcPr>
            <w:tcW w:w="7120" w:type="dxa"/>
            <w:vAlign w:val="bottom"/>
          </w:tcPr>
          <w:p>
            <w:pPr>
              <w:ind w:left="1200"/>
              <w:spacing w:after="0"/>
              <w:rPr>
                <w:sz w:val="20"/>
                <w:szCs w:val="20"/>
                <w:color w:val="auto"/>
              </w:rPr>
            </w:pPr>
            <w:r>
              <w:rPr>
                <w:rFonts w:ascii="Arial" w:cs="Arial" w:eastAsia="Arial" w:hAnsi="Arial"/>
                <w:sz w:val="18"/>
                <w:szCs w:val="18"/>
                <w:color w:val="auto"/>
              </w:rPr>
              <w:t>Repayment of Loans</w:t>
            </w: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2.10</w:t>
            </w:r>
          </w:p>
        </w:tc>
        <w:tc>
          <w:tcPr>
            <w:tcW w:w="7120" w:type="dxa"/>
            <w:vAlign w:val="bottom"/>
          </w:tcPr>
          <w:p>
            <w:pPr>
              <w:ind w:left="1200"/>
              <w:spacing w:after="0"/>
              <w:rPr>
                <w:sz w:val="20"/>
                <w:szCs w:val="20"/>
                <w:color w:val="auto"/>
              </w:rPr>
            </w:pPr>
            <w:r>
              <w:rPr>
                <w:rFonts w:ascii="Arial" w:cs="Arial" w:eastAsia="Arial" w:hAnsi="Arial"/>
                <w:sz w:val="18"/>
                <w:szCs w:val="18"/>
                <w:color w:val="auto"/>
              </w:rPr>
              <w:t>Evidence of Indebtedness</w:t>
            </w: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2.11</w:t>
            </w:r>
          </w:p>
        </w:tc>
        <w:tc>
          <w:tcPr>
            <w:tcW w:w="7120" w:type="dxa"/>
            <w:vAlign w:val="bottom"/>
          </w:tcPr>
          <w:p>
            <w:pPr>
              <w:ind w:left="1200"/>
              <w:spacing w:after="0"/>
              <w:rPr>
                <w:sz w:val="20"/>
                <w:szCs w:val="20"/>
                <w:color w:val="auto"/>
              </w:rPr>
            </w:pPr>
            <w:r>
              <w:rPr>
                <w:rFonts w:ascii="Arial" w:cs="Arial" w:eastAsia="Arial" w:hAnsi="Arial"/>
                <w:sz w:val="18"/>
                <w:szCs w:val="18"/>
                <w:color w:val="auto"/>
              </w:rPr>
              <w:t>Optional Prepayments</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2.12</w:t>
            </w:r>
          </w:p>
        </w:tc>
        <w:tc>
          <w:tcPr>
            <w:tcW w:w="7120" w:type="dxa"/>
            <w:vAlign w:val="bottom"/>
          </w:tcPr>
          <w:p>
            <w:pPr>
              <w:ind w:left="1200"/>
              <w:spacing w:after="0"/>
              <w:rPr>
                <w:sz w:val="20"/>
                <w:szCs w:val="20"/>
                <w:color w:val="auto"/>
              </w:rPr>
            </w:pPr>
            <w:r>
              <w:rPr>
                <w:rFonts w:ascii="Arial" w:cs="Arial" w:eastAsia="Arial" w:hAnsi="Arial"/>
                <w:sz w:val="18"/>
                <w:szCs w:val="18"/>
                <w:color w:val="auto"/>
              </w:rPr>
              <w:t>Mandatory Prepayments</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2.13</w:t>
            </w:r>
          </w:p>
        </w:tc>
        <w:tc>
          <w:tcPr>
            <w:tcW w:w="7120" w:type="dxa"/>
            <w:vAlign w:val="bottom"/>
          </w:tcPr>
          <w:p>
            <w:pPr>
              <w:ind w:left="1200"/>
              <w:spacing w:after="0"/>
              <w:rPr>
                <w:sz w:val="20"/>
                <w:szCs w:val="20"/>
                <w:color w:val="auto"/>
              </w:rPr>
            </w:pPr>
            <w:r>
              <w:rPr>
                <w:rFonts w:ascii="Arial" w:cs="Arial" w:eastAsia="Arial" w:hAnsi="Arial"/>
                <w:sz w:val="18"/>
                <w:szCs w:val="18"/>
                <w:color w:val="auto"/>
              </w:rPr>
              <w:t>Interest on Loans</w:t>
            </w:r>
          </w:p>
        </w:tc>
        <w:tc>
          <w:tcPr>
            <w:tcW w:w="1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2.14</w:t>
            </w:r>
          </w:p>
        </w:tc>
        <w:tc>
          <w:tcPr>
            <w:tcW w:w="7120" w:type="dxa"/>
            <w:vAlign w:val="bottom"/>
          </w:tcPr>
          <w:p>
            <w:pPr>
              <w:ind w:left="1200"/>
              <w:spacing w:after="0"/>
              <w:rPr>
                <w:sz w:val="20"/>
                <w:szCs w:val="20"/>
                <w:color w:val="auto"/>
              </w:rPr>
            </w:pPr>
            <w:r>
              <w:rPr>
                <w:rFonts w:ascii="Arial" w:cs="Arial" w:eastAsia="Arial" w:hAnsi="Arial"/>
                <w:sz w:val="18"/>
                <w:szCs w:val="18"/>
                <w:color w:val="auto"/>
              </w:rPr>
              <w:t>Fees</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2.15</w:t>
            </w:r>
          </w:p>
        </w:tc>
        <w:tc>
          <w:tcPr>
            <w:tcW w:w="7120" w:type="dxa"/>
            <w:vAlign w:val="bottom"/>
          </w:tcPr>
          <w:p>
            <w:pPr>
              <w:ind w:left="1200"/>
              <w:spacing w:after="0"/>
              <w:rPr>
                <w:sz w:val="20"/>
                <w:szCs w:val="20"/>
                <w:color w:val="auto"/>
              </w:rPr>
            </w:pPr>
            <w:r>
              <w:rPr>
                <w:rFonts w:ascii="Arial" w:cs="Arial" w:eastAsia="Arial" w:hAnsi="Arial"/>
                <w:sz w:val="18"/>
                <w:szCs w:val="18"/>
                <w:color w:val="auto"/>
              </w:rPr>
              <w:t>Computation of Interest and Fees</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2.16</w:t>
            </w:r>
          </w:p>
        </w:tc>
        <w:tc>
          <w:tcPr>
            <w:tcW w:w="7120" w:type="dxa"/>
            <w:vAlign w:val="bottom"/>
          </w:tcPr>
          <w:p>
            <w:pPr>
              <w:ind w:left="1200"/>
              <w:spacing w:after="0"/>
              <w:rPr>
                <w:sz w:val="20"/>
                <w:szCs w:val="20"/>
                <w:color w:val="auto"/>
              </w:rPr>
            </w:pPr>
            <w:r>
              <w:rPr>
                <w:rFonts w:ascii="Arial" w:cs="Arial" w:eastAsia="Arial" w:hAnsi="Arial"/>
                <w:sz w:val="18"/>
                <w:szCs w:val="18"/>
                <w:color w:val="auto"/>
              </w:rPr>
              <w:t>Inability to Determine Interest Rates</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2.17</w:t>
            </w:r>
          </w:p>
        </w:tc>
        <w:tc>
          <w:tcPr>
            <w:tcW w:w="7120" w:type="dxa"/>
            <w:vAlign w:val="bottom"/>
          </w:tcPr>
          <w:p>
            <w:pPr>
              <w:ind w:left="1200"/>
              <w:spacing w:after="0"/>
              <w:rPr>
                <w:sz w:val="20"/>
                <w:szCs w:val="20"/>
                <w:color w:val="auto"/>
              </w:rPr>
            </w:pPr>
            <w:r>
              <w:rPr>
                <w:rFonts w:ascii="Arial" w:cs="Arial" w:eastAsia="Arial" w:hAnsi="Arial"/>
                <w:sz w:val="18"/>
                <w:szCs w:val="18"/>
                <w:color w:val="auto"/>
              </w:rPr>
              <w:t>Illegality</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2.18</w:t>
            </w:r>
          </w:p>
        </w:tc>
        <w:tc>
          <w:tcPr>
            <w:tcW w:w="7120" w:type="dxa"/>
            <w:vAlign w:val="bottom"/>
          </w:tcPr>
          <w:p>
            <w:pPr>
              <w:ind w:left="1200"/>
              <w:spacing w:after="0"/>
              <w:rPr>
                <w:sz w:val="20"/>
                <w:szCs w:val="20"/>
                <w:color w:val="auto"/>
              </w:rPr>
            </w:pPr>
            <w:r>
              <w:rPr>
                <w:rFonts w:ascii="Arial" w:cs="Arial" w:eastAsia="Arial" w:hAnsi="Arial"/>
                <w:sz w:val="18"/>
                <w:szCs w:val="18"/>
                <w:color w:val="auto"/>
              </w:rPr>
              <w:t>Increased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2.19</w:t>
            </w:r>
          </w:p>
        </w:tc>
        <w:tc>
          <w:tcPr>
            <w:tcW w:w="7120" w:type="dxa"/>
            <w:vAlign w:val="bottom"/>
          </w:tcPr>
          <w:p>
            <w:pPr>
              <w:ind w:left="1200"/>
              <w:spacing w:after="0"/>
              <w:rPr>
                <w:sz w:val="20"/>
                <w:szCs w:val="20"/>
                <w:color w:val="auto"/>
              </w:rPr>
            </w:pPr>
            <w:r>
              <w:rPr>
                <w:rFonts w:ascii="Arial" w:cs="Arial" w:eastAsia="Arial" w:hAnsi="Arial"/>
                <w:sz w:val="18"/>
                <w:szCs w:val="18"/>
                <w:color w:val="auto"/>
              </w:rPr>
              <w:t>Funding Indemnity</w:t>
            </w: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2.20</w:t>
            </w:r>
          </w:p>
        </w:tc>
        <w:tc>
          <w:tcPr>
            <w:tcW w:w="7120" w:type="dxa"/>
            <w:vAlign w:val="bottom"/>
          </w:tcPr>
          <w:p>
            <w:pPr>
              <w:ind w:left="1200"/>
              <w:spacing w:after="0"/>
              <w:rPr>
                <w:sz w:val="20"/>
                <w:szCs w:val="20"/>
                <w:color w:val="auto"/>
              </w:rPr>
            </w:pPr>
            <w:r>
              <w:rPr>
                <w:rFonts w:ascii="Arial" w:cs="Arial" w:eastAsia="Arial" w:hAnsi="Arial"/>
                <w:sz w:val="18"/>
                <w:szCs w:val="18"/>
                <w:color w:val="auto"/>
              </w:rPr>
              <w:t>Taxes</w:t>
            </w: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2.21</w:t>
            </w:r>
          </w:p>
        </w:tc>
        <w:tc>
          <w:tcPr>
            <w:tcW w:w="7120" w:type="dxa"/>
            <w:vAlign w:val="bottom"/>
          </w:tcPr>
          <w:p>
            <w:pPr>
              <w:ind w:left="1200"/>
              <w:spacing w:after="0"/>
              <w:rPr>
                <w:sz w:val="20"/>
                <w:szCs w:val="20"/>
                <w:color w:val="auto"/>
              </w:rPr>
            </w:pPr>
            <w:r>
              <w:rPr>
                <w:rFonts w:ascii="Arial" w:cs="Arial" w:eastAsia="Arial" w:hAnsi="Arial"/>
                <w:sz w:val="18"/>
                <w:szCs w:val="18"/>
                <w:color w:val="auto"/>
              </w:rPr>
              <w:t>Payments Generally; Pro Rata Treatment; Sharing of Set-offs</w:t>
            </w: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2.22</w:t>
            </w:r>
          </w:p>
        </w:tc>
        <w:tc>
          <w:tcPr>
            <w:tcW w:w="7120" w:type="dxa"/>
            <w:vAlign w:val="bottom"/>
          </w:tcPr>
          <w:p>
            <w:pPr>
              <w:ind w:left="1200"/>
              <w:spacing w:after="0"/>
              <w:rPr>
                <w:sz w:val="20"/>
                <w:szCs w:val="20"/>
                <w:color w:val="auto"/>
              </w:rPr>
            </w:pPr>
            <w:r>
              <w:rPr>
                <w:rFonts w:ascii="Arial" w:cs="Arial" w:eastAsia="Arial" w:hAnsi="Arial"/>
                <w:sz w:val="18"/>
                <w:szCs w:val="18"/>
                <w:color w:val="auto"/>
              </w:rPr>
              <w:t>Letters of Credit</w:t>
            </w:r>
          </w:p>
        </w:tc>
        <w:tc>
          <w:tcPr>
            <w:tcW w:w="17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2.23</w:t>
            </w:r>
          </w:p>
        </w:tc>
        <w:tc>
          <w:tcPr>
            <w:tcW w:w="7120" w:type="dxa"/>
            <w:vAlign w:val="bottom"/>
          </w:tcPr>
          <w:p>
            <w:pPr>
              <w:ind w:left="1200"/>
              <w:spacing w:after="0"/>
              <w:rPr>
                <w:sz w:val="20"/>
                <w:szCs w:val="20"/>
                <w:color w:val="auto"/>
              </w:rPr>
            </w:pPr>
            <w:r>
              <w:rPr>
                <w:rFonts w:ascii="Arial" w:cs="Arial" w:eastAsia="Arial" w:hAnsi="Arial"/>
                <w:sz w:val="18"/>
                <w:szCs w:val="18"/>
                <w:color w:val="auto"/>
              </w:rPr>
              <w:t>Increase of Commitments; Additional Lenders</w:t>
            </w: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2.24</w:t>
            </w:r>
          </w:p>
        </w:tc>
        <w:tc>
          <w:tcPr>
            <w:tcW w:w="7120" w:type="dxa"/>
            <w:vAlign w:val="bottom"/>
          </w:tcPr>
          <w:p>
            <w:pPr>
              <w:ind w:left="1200"/>
              <w:spacing w:after="0"/>
              <w:rPr>
                <w:sz w:val="20"/>
                <w:szCs w:val="20"/>
                <w:color w:val="auto"/>
              </w:rPr>
            </w:pPr>
            <w:r>
              <w:rPr>
                <w:rFonts w:ascii="Arial" w:cs="Arial" w:eastAsia="Arial" w:hAnsi="Arial"/>
                <w:sz w:val="18"/>
                <w:szCs w:val="18"/>
                <w:color w:val="auto"/>
              </w:rPr>
              <w:t>Mitigation of Obligations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2.25</w:t>
            </w:r>
          </w:p>
        </w:tc>
        <w:tc>
          <w:tcPr>
            <w:tcW w:w="7120" w:type="dxa"/>
            <w:vAlign w:val="bottom"/>
          </w:tcPr>
          <w:p>
            <w:pPr>
              <w:ind w:left="1200"/>
              <w:spacing w:after="0"/>
              <w:rPr>
                <w:sz w:val="20"/>
                <w:szCs w:val="20"/>
                <w:color w:val="auto"/>
              </w:rPr>
            </w:pPr>
            <w:r>
              <w:rPr>
                <w:rFonts w:ascii="Arial" w:cs="Arial" w:eastAsia="Arial" w:hAnsi="Arial"/>
                <w:sz w:val="18"/>
                <w:szCs w:val="18"/>
                <w:color w:val="auto"/>
              </w:rPr>
              <w:t>Replacement of Lenders</w:t>
            </w: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2.26</w:t>
            </w:r>
          </w:p>
        </w:tc>
        <w:tc>
          <w:tcPr>
            <w:tcW w:w="7120" w:type="dxa"/>
            <w:vAlign w:val="bottom"/>
          </w:tcPr>
          <w:p>
            <w:pPr>
              <w:ind w:left="1200"/>
              <w:spacing w:after="0"/>
              <w:rPr>
                <w:sz w:val="20"/>
                <w:szCs w:val="20"/>
                <w:color w:val="auto"/>
              </w:rPr>
            </w:pPr>
            <w:r>
              <w:rPr>
                <w:rFonts w:ascii="Arial" w:cs="Arial" w:eastAsia="Arial" w:hAnsi="Arial"/>
                <w:sz w:val="18"/>
                <w:szCs w:val="18"/>
                <w:color w:val="auto"/>
              </w:rPr>
              <w:t>Defaulting Lenders</w:t>
            </w:r>
          </w:p>
        </w:tc>
        <w:tc>
          <w:tcPr>
            <w:tcW w:w="17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ARTICLE III</w:t>
            </w:r>
          </w:p>
        </w:tc>
        <w:tc>
          <w:tcPr>
            <w:tcW w:w="7120" w:type="dxa"/>
            <w:vAlign w:val="bottom"/>
            <w:vMerge w:val="restart"/>
          </w:tcPr>
          <w:p>
            <w:pPr>
              <w:ind w:left="440"/>
              <w:spacing w:after="0"/>
              <w:rPr>
                <w:sz w:val="20"/>
                <w:szCs w:val="20"/>
                <w:color w:val="auto"/>
              </w:rPr>
            </w:pPr>
            <w:r>
              <w:rPr>
                <w:rFonts w:ascii="Arial" w:cs="Arial" w:eastAsia="Arial" w:hAnsi="Arial"/>
                <w:sz w:val="18"/>
                <w:szCs w:val="18"/>
                <w:color w:val="auto"/>
              </w:rPr>
              <w:t>CONDITIONS PRECEDENT TO LOANS AND LETTERS OF CREDIT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712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3.1</w:t>
            </w:r>
          </w:p>
        </w:tc>
        <w:tc>
          <w:tcPr>
            <w:tcW w:w="7120" w:type="dxa"/>
            <w:vAlign w:val="bottom"/>
          </w:tcPr>
          <w:p>
            <w:pPr>
              <w:ind w:left="1200"/>
              <w:spacing w:after="0"/>
              <w:rPr>
                <w:sz w:val="20"/>
                <w:szCs w:val="20"/>
                <w:color w:val="auto"/>
              </w:rPr>
            </w:pPr>
            <w:r>
              <w:rPr>
                <w:rFonts w:ascii="Arial" w:cs="Arial" w:eastAsia="Arial" w:hAnsi="Arial"/>
                <w:sz w:val="18"/>
                <w:szCs w:val="18"/>
                <w:color w:val="auto"/>
              </w:rPr>
              <w:t>Conditions to Effectiveness</w:t>
            </w:r>
          </w:p>
        </w:tc>
        <w:tc>
          <w:tcPr>
            <w:tcW w:w="17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3.2</w:t>
            </w:r>
          </w:p>
        </w:tc>
        <w:tc>
          <w:tcPr>
            <w:tcW w:w="7120" w:type="dxa"/>
            <w:vAlign w:val="bottom"/>
          </w:tcPr>
          <w:p>
            <w:pPr>
              <w:ind w:left="1200"/>
              <w:spacing w:after="0"/>
              <w:rPr>
                <w:sz w:val="20"/>
                <w:szCs w:val="20"/>
                <w:color w:val="auto"/>
              </w:rPr>
            </w:pPr>
            <w:r>
              <w:rPr>
                <w:rFonts w:ascii="Arial" w:cs="Arial" w:eastAsia="Arial" w:hAnsi="Arial"/>
                <w:sz w:val="18"/>
                <w:szCs w:val="18"/>
                <w:color w:val="auto"/>
              </w:rPr>
              <w:t>Conditions to Each Credit Event</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3.3</w:t>
            </w:r>
          </w:p>
        </w:tc>
        <w:tc>
          <w:tcPr>
            <w:tcW w:w="7120" w:type="dxa"/>
            <w:vAlign w:val="bottom"/>
          </w:tcPr>
          <w:p>
            <w:pPr>
              <w:ind w:left="1200"/>
              <w:spacing w:after="0"/>
              <w:rPr>
                <w:sz w:val="20"/>
                <w:szCs w:val="20"/>
                <w:color w:val="auto"/>
              </w:rPr>
            </w:pPr>
            <w:r>
              <w:rPr>
                <w:rFonts w:ascii="Arial" w:cs="Arial" w:eastAsia="Arial" w:hAnsi="Arial"/>
                <w:sz w:val="18"/>
                <w:szCs w:val="18"/>
                <w:color w:val="auto"/>
              </w:rPr>
              <w:t>Delivery of Documents</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ARTICLE IV</w:t>
            </w:r>
          </w:p>
        </w:tc>
        <w:tc>
          <w:tcPr>
            <w:tcW w:w="7120" w:type="dxa"/>
            <w:vAlign w:val="bottom"/>
            <w:vMerge w:val="restart"/>
          </w:tcPr>
          <w:p>
            <w:pPr>
              <w:ind w:left="440"/>
              <w:spacing w:after="0"/>
              <w:rPr>
                <w:sz w:val="20"/>
                <w:szCs w:val="20"/>
                <w:color w:val="auto"/>
              </w:rPr>
            </w:pPr>
            <w:r>
              <w:rPr>
                <w:rFonts w:ascii="Arial" w:cs="Arial" w:eastAsia="Arial" w:hAnsi="Arial"/>
                <w:sz w:val="18"/>
                <w:szCs w:val="18"/>
                <w:color w:val="auto"/>
              </w:rPr>
              <w:t>REPRESENTATIONS AND WARRANTIES</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712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w:t>
            </w:r>
          </w:p>
        </w:tc>
        <w:tc>
          <w:tcPr>
            <w:tcW w:w="7120" w:type="dxa"/>
            <w:vAlign w:val="bottom"/>
          </w:tcPr>
          <w:p>
            <w:pPr>
              <w:ind w:left="1200"/>
              <w:spacing w:after="0"/>
              <w:rPr>
                <w:sz w:val="20"/>
                <w:szCs w:val="20"/>
                <w:color w:val="auto"/>
              </w:rPr>
            </w:pPr>
            <w:r>
              <w:rPr>
                <w:rFonts w:ascii="Arial" w:cs="Arial" w:eastAsia="Arial" w:hAnsi="Arial"/>
                <w:sz w:val="18"/>
                <w:szCs w:val="18"/>
                <w:color w:val="auto"/>
              </w:rPr>
              <w:t>Existence; Power</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4.2</w:t>
            </w:r>
          </w:p>
        </w:tc>
        <w:tc>
          <w:tcPr>
            <w:tcW w:w="7120" w:type="dxa"/>
            <w:vAlign w:val="bottom"/>
          </w:tcPr>
          <w:p>
            <w:pPr>
              <w:ind w:left="1200"/>
              <w:spacing w:after="0"/>
              <w:rPr>
                <w:sz w:val="20"/>
                <w:szCs w:val="20"/>
                <w:color w:val="auto"/>
              </w:rPr>
            </w:pPr>
            <w:r>
              <w:rPr>
                <w:rFonts w:ascii="Arial" w:cs="Arial" w:eastAsia="Arial" w:hAnsi="Arial"/>
                <w:sz w:val="18"/>
                <w:szCs w:val="18"/>
                <w:color w:val="auto"/>
              </w:rPr>
              <w:t>Organization Power; Authorization</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4.3</w:t>
            </w:r>
          </w:p>
        </w:tc>
        <w:tc>
          <w:tcPr>
            <w:tcW w:w="7120" w:type="dxa"/>
            <w:vAlign w:val="bottom"/>
          </w:tcPr>
          <w:p>
            <w:pPr>
              <w:ind w:left="1200"/>
              <w:spacing w:after="0"/>
              <w:rPr>
                <w:sz w:val="20"/>
                <w:szCs w:val="20"/>
                <w:color w:val="auto"/>
              </w:rPr>
            </w:pPr>
            <w:r>
              <w:rPr>
                <w:rFonts w:ascii="Arial" w:cs="Arial" w:eastAsia="Arial" w:hAnsi="Arial"/>
                <w:sz w:val="18"/>
                <w:szCs w:val="18"/>
                <w:color w:val="auto"/>
              </w:rPr>
              <w:t>Governmental Approvals; No Conflicts</w:t>
            </w:r>
          </w:p>
        </w:tc>
        <w:tc>
          <w:tcPr>
            <w:tcW w:w="17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4.4</w:t>
            </w:r>
          </w:p>
        </w:tc>
        <w:tc>
          <w:tcPr>
            <w:tcW w:w="7120" w:type="dxa"/>
            <w:vAlign w:val="bottom"/>
          </w:tcPr>
          <w:p>
            <w:pPr>
              <w:ind w:left="1200"/>
              <w:spacing w:after="0"/>
              <w:rPr>
                <w:sz w:val="20"/>
                <w:szCs w:val="20"/>
                <w:color w:val="auto"/>
              </w:rPr>
            </w:pPr>
            <w:r>
              <w:rPr>
                <w:rFonts w:ascii="Arial" w:cs="Arial" w:eastAsia="Arial" w:hAnsi="Arial"/>
                <w:sz w:val="18"/>
                <w:szCs w:val="18"/>
                <w:color w:val="auto"/>
              </w:rPr>
              <w:t>Financial Statements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4.5</w:t>
            </w:r>
          </w:p>
        </w:tc>
        <w:tc>
          <w:tcPr>
            <w:tcW w:w="7120" w:type="dxa"/>
            <w:vAlign w:val="bottom"/>
          </w:tcPr>
          <w:p>
            <w:pPr>
              <w:ind w:left="1200"/>
              <w:spacing w:after="0"/>
              <w:rPr>
                <w:sz w:val="20"/>
                <w:szCs w:val="20"/>
                <w:color w:val="auto"/>
              </w:rPr>
            </w:pPr>
            <w:r>
              <w:rPr>
                <w:rFonts w:ascii="Arial" w:cs="Arial" w:eastAsia="Arial" w:hAnsi="Arial"/>
                <w:sz w:val="18"/>
                <w:szCs w:val="18"/>
                <w:color w:val="auto"/>
              </w:rPr>
              <w:t>Litigation and Environmental Matters</w:t>
            </w:r>
          </w:p>
        </w:tc>
        <w:tc>
          <w:tcPr>
            <w:tcW w:w="17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4.6</w:t>
            </w:r>
          </w:p>
        </w:tc>
        <w:tc>
          <w:tcPr>
            <w:tcW w:w="7120" w:type="dxa"/>
            <w:vAlign w:val="bottom"/>
          </w:tcPr>
          <w:p>
            <w:pPr>
              <w:ind w:left="1200"/>
              <w:spacing w:after="0"/>
              <w:rPr>
                <w:sz w:val="20"/>
                <w:szCs w:val="20"/>
                <w:color w:val="auto"/>
              </w:rPr>
            </w:pPr>
            <w:r>
              <w:rPr>
                <w:rFonts w:ascii="Arial" w:cs="Arial" w:eastAsia="Arial" w:hAnsi="Arial"/>
                <w:sz w:val="18"/>
                <w:szCs w:val="18"/>
                <w:color w:val="auto"/>
              </w:rPr>
              <w:t>Compliance with Laws and Agreements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480" w:top="118" w:right="459" w:bottom="1440"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80" w:top="118" w:right="459" w:bottom="1440" w:gutter="0" w:footer="0" w:header="0"/>
          <w:type w:val="continuous"/>
        </w:sectPr>
      </w:pPr>
    </w:p>
    <w:bookmarkStart w:id="47" w:name="page48"/>
    <w:bookmarkEnd w:id="47"/>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94"/>
        </w:trPr>
        <w:tc>
          <w:tcPr>
            <w:tcW w:w="2120" w:type="dxa"/>
            <w:vAlign w:val="bottom"/>
          </w:tcPr>
          <w:p>
            <w:pPr>
              <w:ind w:left="780"/>
              <w:spacing w:after="0"/>
              <w:rPr>
                <w:sz w:val="20"/>
                <w:szCs w:val="20"/>
                <w:color w:val="auto"/>
              </w:rPr>
            </w:pPr>
            <w:r>
              <w:rPr>
                <w:rFonts w:ascii="Arial" w:cs="Arial" w:eastAsia="Arial" w:hAnsi="Arial"/>
                <w:sz w:val="18"/>
                <w:szCs w:val="18"/>
                <w:color w:val="auto"/>
              </w:rPr>
              <w:t>Section 4.7</w:t>
            </w:r>
          </w:p>
        </w:tc>
        <w:tc>
          <w:tcPr>
            <w:tcW w:w="6780" w:type="dxa"/>
            <w:vAlign w:val="bottom"/>
          </w:tcPr>
          <w:p>
            <w:pPr>
              <w:ind w:left="1200"/>
              <w:spacing w:after="0"/>
              <w:rPr>
                <w:sz w:val="20"/>
                <w:szCs w:val="20"/>
                <w:color w:val="auto"/>
              </w:rPr>
            </w:pPr>
            <w:r>
              <w:rPr>
                <w:rFonts w:ascii="Arial" w:cs="Arial" w:eastAsia="Arial" w:hAnsi="Arial"/>
                <w:sz w:val="18"/>
                <w:szCs w:val="18"/>
                <w:color w:val="auto"/>
              </w:rPr>
              <w:t>Investment Company Act; Other Regulatory Schemes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4.8</w:t>
            </w:r>
          </w:p>
        </w:tc>
        <w:tc>
          <w:tcPr>
            <w:tcW w:w="6780" w:type="dxa"/>
            <w:vAlign w:val="bottom"/>
          </w:tcPr>
          <w:p>
            <w:pPr>
              <w:ind w:left="1200"/>
              <w:spacing w:after="0"/>
              <w:rPr>
                <w:sz w:val="20"/>
                <w:szCs w:val="20"/>
                <w:color w:val="auto"/>
              </w:rPr>
            </w:pPr>
            <w:r>
              <w:rPr>
                <w:rFonts w:ascii="Arial" w:cs="Arial" w:eastAsia="Arial" w:hAnsi="Arial"/>
                <w:sz w:val="18"/>
                <w:szCs w:val="18"/>
                <w:color w:val="auto"/>
              </w:rPr>
              <w:t>Taxes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4.9</w:t>
            </w:r>
          </w:p>
        </w:tc>
        <w:tc>
          <w:tcPr>
            <w:tcW w:w="6780" w:type="dxa"/>
            <w:vAlign w:val="bottom"/>
          </w:tcPr>
          <w:p>
            <w:pPr>
              <w:ind w:left="1200"/>
              <w:spacing w:after="0"/>
              <w:rPr>
                <w:sz w:val="20"/>
                <w:szCs w:val="20"/>
                <w:color w:val="auto"/>
              </w:rPr>
            </w:pPr>
            <w:r>
              <w:rPr>
                <w:rFonts w:ascii="Arial" w:cs="Arial" w:eastAsia="Arial" w:hAnsi="Arial"/>
                <w:sz w:val="18"/>
                <w:szCs w:val="18"/>
                <w:color w:val="auto"/>
              </w:rPr>
              <w:t>Margin Regulations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4.10</w:t>
            </w:r>
          </w:p>
        </w:tc>
        <w:tc>
          <w:tcPr>
            <w:tcW w:w="6780" w:type="dxa"/>
            <w:vAlign w:val="bottom"/>
          </w:tcPr>
          <w:p>
            <w:pPr>
              <w:ind w:left="1200"/>
              <w:spacing w:after="0"/>
              <w:rPr>
                <w:sz w:val="20"/>
                <w:szCs w:val="20"/>
                <w:color w:val="auto"/>
              </w:rPr>
            </w:pPr>
            <w:r>
              <w:rPr>
                <w:rFonts w:ascii="Arial" w:cs="Arial" w:eastAsia="Arial" w:hAnsi="Arial"/>
                <w:sz w:val="18"/>
                <w:szCs w:val="18"/>
                <w:color w:val="auto"/>
              </w:rPr>
              <w:t>ERISA</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4.11</w:t>
            </w:r>
          </w:p>
        </w:tc>
        <w:tc>
          <w:tcPr>
            <w:tcW w:w="6780" w:type="dxa"/>
            <w:vAlign w:val="bottom"/>
          </w:tcPr>
          <w:p>
            <w:pPr>
              <w:ind w:left="1200"/>
              <w:spacing w:after="0"/>
              <w:rPr>
                <w:sz w:val="20"/>
                <w:szCs w:val="20"/>
                <w:color w:val="auto"/>
              </w:rPr>
            </w:pPr>
            <w:r>
              <w:rPr>
                <w:rFonts w:ascii="Arial" w:cs="Arial" w:eastAsia="Arial" w:hAnsi="Arial"/>
                <w:sz w:val="18"/>
                <w:szCs w:val="18"/>
                <w:color w:val="auto"/>
              </w:rPr>
              <w:t>Ownership of Property; 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4.12</w:t>
            </w:r>
          </w:p>
        </w:tc>
        <w:tc>
          <w:tcPr>
            <w:tcW w:w="6780" w:type="dxa"/>
            <w:vAlign w:val="bottom"/>
          </w:tcPr>
          <w:p>
            <w:pPr>
              <w:ind w:left="1200"/>
              <w:spacing w:after="0"/>
              <w:rPr>
                <w:sz w:val="20"/>
                <w:szCs w:val="20"/>
                <w:color w:val="auto"/>
              </w:rPr>
            </w:pPr>
            <w:r>
              <w:rPr>
                <w:rFonts w:ascii="Arial" w:cs="Arial" w:eastAsia="Arial" w:hAnsi="Arial"/>
                <w:sz w:val="18"/>
                <w:szCs w:val="18"/>
                <w:color w:val="auto"/>
              </w:rPr>
              <w:t>Disclosure</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4.13</w:t>
            </w:r>
          </w:p>
        </w:tc>
        <w:tc>
          <w:tcPr>
            <w:tcW w:w="6780" w:type="dxa"/>
            <w:vAlign w:val="bottom"/>
          </w:tcPr>
          <w:p>
            <w:pPr>
              <w:ind w:left="1200"/>
              <w:spacing w:after="0"/>
              <w:rPr>
                <w:sz w:val="20"/>
                <w:szCs w:val="20"/>
                <w:color w:val="auto"/>
              </w:rPr>
            </w:pPr>
            <w:r>
              <w:rPr>
                <w:rFonts w:ascii="Arial" w:cs="Arial" w:eastAsia="Arial" w:hAnsi="Arial"/>
                <w:sz w:val="18"/>
                <w:szCs w:val="18"/>
                <w:color w:val="auto"/>
              </w:rPr>
              <w:t>Labor Relations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4.14</w:t>
            </w:r>
          </w:p>
        </w:tc>
        <w:tc>
          <w:tcPr>
            <w:tcW w:w="6780" w:type="dxa"/>
            <w:vAlign w:val="bottom"/>
          </w:tcPr>
          <w:p>
            <w:pPr>
              <w:ind w:left="1200"/>
              <w:spacing w:after="0"/>
              <w:rPr>
                <w:sz w:val="20"/>
                <w:szCs w:val="20"/>
                <w:color w:val="auto"/>
              </w:rPr>
            </w:pPr>
            <w:r>
              <w:rPr>
                <w:rFonts w:ascii="Arial" w:cs="Arial" w:eastAsia="Arial" w:hAnsi="Arial"/>
                <w:sz w:val="18"/>
                <w:szCs w:val="18"/>
                <w:color w:val="auto"/>
              </w:rPr>
              <w:t>Subsidiaries</w:t>
            </w:r>
          </w:p>
        </w:tc>
        <w:tc>
          <w:tcPr>
            <w:tcW w:w="2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4.15</w:t>
            </w:r>
          </w:p>
        </w:tc>
        <w:tc>
          <w:tcPr>
            <w:tcW w:w="6780" w:type="dxa"/>
            <w:vAlign w:val="bottom"/>
          </w:tcPr>
          <w:p>
            <w:pPr>
              <w:ind w:left="1200"/>
              <w:spacing w:after="0"/>
              <w:rPr>
                <w:sz w:val="20"/>
                <w:szCs w:val="20"/>
                <w:color w:val="auto"/>
              </w:rPr>
            </w:pPr>
            <w:r>
              <w:rPr>
                <w:rFonts w:ascii="Arial" w:cs="Arial" w:eastAsia="Arial" w:hAnsi="Arial"/>
                <w:sz w:val="18"/>
                <w:szCs w:val="18"/>
                <w:color w:val="auto"/>
              </w:rPr>
              <w:t>Solvency</w:t>
            </w:r>
          </w:p>
        </w:tc>
        <w:tc>
          <w:tcPr>
            <w:tcW w:w="2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4.16</w:t>
            </w:r>
          </w:p>
        </w:tc>
        <w:tc>
          <w:tcPr>
            <w:tcW w:w="6780" w:type="dxa"/>
            <w:vAlign w:val="bottom"/>
          </w:tcPr>
          <w:p>
            <w:pPr>
              <w:ind w:left="1200"/>
              <w:spacing w:after="0"/>
              <w:rPr>
                <w:sz w:val="20"/>
                <w:szCs w:val="20"/>
                <w:color w:val="auto"/>
              </w:rPr>
            </w:pPr>
            <w:r>
              <w:rPr>
                <w:rFonts w:ascii="Arial" w:cs="Arial" w:eastAsia="Arial" w:hAnsi="Arial"/>
                <w:sz w:val="18"/>
                <w:szCs w:val="18"/>
                <w:color w:val="auto"/>
              </w:rPr>
              <w:t>Deposit and Disbursement Accounts</w:t>
            </w:r>
          </w:p>
        </w:tc>
        <w:tc>
          <w:tcPr>
            <w:tcW w:w="2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4.17</w:t>
            </w:r>
          </w:p>
        </w:tc>
        <w:tc>
          <w:tcPr>
            <w:tcW w:w="6780" w:type="dxa"/>
            <w:vAlign w:val="bottom"/>
          </w:tcPr>
          <w:p>
            <w:pPr>
              <w:ind w:left="1200"/>
              <w:spacing w:after="0"/>
              <w:rPr>
                <w:sz w:val="20"/>
                <w:szCs w:val="20"/>
                <w:color w:val="auto"/>
              </w:rPr>
            </w:pPr>
            <w:r>
              <w:rPr>
                <w:rFonts w:ascii="Arial" w:cs="Arial" w:eastAsia="Arial" w:hAnsi="Arial"/>
                <w:sz w:val="18"/>
                <w:szCs w:val="18"/>
                <w:color w:val="auto"/>
              </w:rPr>
              <w:t>Collateral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4.18</w:t>
            </w:r>
          </w:p>
        </w:tc>
        <w:tc>
          <w:tcPr>
            <w:tcW w:w="6780" w:type="dxa"/>
            <w:vAlign w:val="bottom"/>
          </w:tcPr>
          <w:p>
            <w:pPr>
              <w:ind w:left="1200"/>
              <w:spacing w:after="0"/>
              <w:rPr>
                <w:sz w:val="20"/>
                <w:szCs w:val="20"/>
                <w:color w:val="auto"/>
              </w:rPr>
            </w:pPr>
            <w:r>
              <w:rPr>
                <w:rFonts w:ascii="Arial" w:cs="Arial" w:eastAsia="Arial" w:hAnsi="Arial"/>
                <w:sz w:val="18"/>
                <w:szCs w:val="18"/>
                <w:color w:val="auto"/>
              </w:rPr>
              <w:t>Anti-Corruption Laws and Sanctions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ARTICLE V</w:t>
            </w:r>
          </w:p>
        </w:tc>
        <w:tc>
          <w:tcPr>
            <w:tcW w:w="6780" w:type="dxa"/>
            <w:vAlign w:val="bottom"/>
          </w:tcPr>
          <w:p>
            <w:pPr>
              <w:ind w:left="440"/>
              <w:spacing w:after="0"/>
              <w:rPr>
                <w:sz w:val="20"/>
                <w:szCs w:val="20"/>
                <w:color w:val="auto"/>
              </w:rPr>
            </w:pPr>
            <w:r>
              <w:rPr>
                <w:rFonts w:ascii="Arial" w:cs="Arial" w:eastAsia="Arial" w:hAnsi="Arial"/>
                <w:sz w:val="18"/>
                <w:szCs w:val="18"/>
                <w:color w:val="auto"/>
              </w:rPr>
              <w:t>AFFIRMATIVE COVENANTS</w:t>
            </w:r>
          </w:p>
        </w:tc>
        <w:tc>
          <w:tcPr>
            <w:tcW w:w="20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w:t>
            </w:r>
          </w:p>
        </w:tc>
        <w:tc>
          <w:tcPr>
            <w:tcW w:w="6780" w:type="dxa"/>
            <w:vAlign w:val="bottom"/>
          </w:tcPr>
          <w:p>
            <w:pPr>
              <w:ind w:left="1200"/>
              <w:spacing w:after="0"/>
              <w:rPr>
                <w:sz w:val="20"/>
                <w:szCs w:val="20"/>
                <w:color w:val="auto"/>
              </w:rPr>
            </w:pPr>
            <w:r>
              <w:rPr>
                <w:rFonts w:ascii="Arial" w:cs="Arial" w:eastAsia="Arial" w:hAnsi="Arial"/>
                <w:sz w:val="18"/>
                <w:szCs w:val="18"/>
                <w:color w:val="auto"/>
              </w:rPr>
              <w:t>Financial Statements and Other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5.2</w:t>
            </w:r>
          </w:p>
        </w:tc>
        <w:tc>
          <w:tcPr>
            <w:tcW w:w="6780" w:type="dxa"/>
            <w:vAlign w:val="bottom"/>
          </w:tcPr>
          <w:p>
            <w:pPr>
              <w:ind w:left="1200"/>
              <w:spacing w:after="0"/>
              <w:rPr>
                <w:sz w:val="20"/>
                <w:szCs w:val="20"/>
                <w:color w:val="auto"/>
              </w:rPr>
            </w:pPr>
            <w:r>
              <w:rPr>
                <w:rFonts w:ascii="Arial" w:cs="Arial" w:eastAsia="Arial" w:hAnsi="Arial"/>
                <w:sz w:val="18"/>
                <w:szCs w:val="18"/>
                <w:color w:val="auto"/>
              </w:rPr>
              <w:t>Notices of Material Events</w:t>
            </w:r>
          </w:p>
        </w:tc>
        <w:tc>
          <w:tcPr>
            <w:tcW w:w="20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5.3</w:t>
            </w:r>
          </w:p>
        </w:tc>
        <w:tc>
          <w:tcPr>
            <w:tcW w:w="6780" w:type="dxa"/>
            <w:vAlign w:val="bottom"/>
          </w:tcPr>
          <w:p>
            <w:pPr>
              <w:ind w:left="1200"/>
              <w:spacing w:after="0"/>
              <w:rPr>
                <w:sz w:val="20"/>
                <w:szCs w:val="20"/>
                <w:color w:val="auto"/>
              </w:rPr>
            </w:pPr>
            <w:r>
              <w:rPr>
                <w:rFonts w:ascii="Arial" w:cs="Arial" w:eastAsia="Arial" w:hAnsi="Arial"/>
                <w:sz w:val="18"/>
                <w:szCs w:val="18"/>
                <w:color w:val="auto"/>
              </w:rPr>
              <w:t>Existence; Conduct of Business</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5.4</w:t>
            </w:r>
          </w:p>
        </w:tc>
        <w:tc>
          <w:tcPr>
            <w:tcW w:w="6780" w:type="dxa"/>
            <w:vAlign w:val="bottom"/>
          </w:tcPr>
          <w:p>
            <w:pPr>
              <w:ind w:left="1200"/>
              <w:spacing w:after="0"/>
              <w:rPr>
                <w:sz w:val="20"/>
                <w:szCs w:val="20"/>
                <w:color w:val="auto"/>
              </w:rPr>
            </w:pPr>
            <w:r>
              <w:rPr>
                <w:rFonts w:ascii="Arial" w:cs="Arial" w:eastAsia="Arial" w:hAnsi="Arial"/>
                <w:sz w:val="18"/>
                <w:szCs w:val="18"/>
                <w:color w:val="auto"/>
              </w:rPr>
              <w:t>Compliance with Laws</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5.5</w:t>
            </w:r>
          </w:p>
        </w:tc>
        <w:tc>
          <w:tcPr>
            <w:tcW w:w="6780" w:type="dxa"/>
            <w:vAlign w:val="bottom"/>
          </w:tcPr>
          <w:p>
            <w:pPr>
              <w:ind w:left="1200"/>
              <w:spacing w:after="0"/>
              <w:rPr>
                <w:sz w:val="20"/>
                <w:szCs w:val="20"/>
                <w:color w:val="auto"/>
              </w:rPr>
            </w:pPr>
            <w:r>
              <w:rPr>
                <w:rFonts w:ascii="Arial" w:cs="Arial" w:eastAsia="Arial" w:hAnsi="Arial"/>
                <w:sz w:val="18"/>
                <w:szCs w:val="18"/>
                <w:color w:val="auto"/>
              </w:rPr>
              <w:t>Payment of Obligations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5.6</w:t>
            </w:r>
          </w:p>
        </w:tc>
        <w:tc>
          <w:tcPr>
            <w:tcW w:w="6780" w:type="dxa"/>
            <w:vAlign w:val="bottom"/>
          </w:tcPr>
          <w:p>
            <w:pPr>
              <w:ind w:left="1200"/>
              <w:spacing w:after="0"/>
              <w:rPr>
                <w:sz w:val="20"/>
                <w:szCs w:val="20"/>
                <w:color w:val="auto"/>
              </w:rPr>
            </w:pPr>
            <w:r>
              <w:rPr>
                <w:rFonts w:ascii="Arial" w:cs="Arial" w:eastAsia="Arial" w:hAnsi="Arial"/>
                <w:sz w:val="18"/>
                <w:szCs w:val="18"/>
                <w:color w:val="auto"/>
              </w:rPr>
              <w:t>Books and Records</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5.7</w:t>
            </w:r>
          </w:p>
        </w:tc>
        <w:tc>
          <w:tcPr>
            <w:tcW w:w="6780" w:type="dxa"/>
            <w:vAlign w:val="bottom"/>
          </w:tcPr>
          <w:p>
            <w:pPr>
              <w:ind w:left="1200"/>
              <w:spacing w:after="0"/>
              <w:rPr>
                <w:sz w:val="20"/>
                <w:szCs w:val="20"/>
                <w:color w:val="auto"/>
              </w:rPr>
            </w:pPr>
            <w:r>
              <w:rPr>
                <w:rFonts w:ascii="Arial" w:cs="Arial" w:eastAsia="Arial" w:hAnsi="Arial"/>
                <w:sz w:val="18"/>
                <w:szCs w:val="18"/>
                <w:color w:val="auto"/>
              </w:rPr>
              <w:t>Visitation and Inspection</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5.8</w:t>
            </w:r>
          </w:p>
        </w:tc>
        <w:tc>
          <w:tcPr>
            <w:tcW w:w="6780" w:type="dxa"/>
            <w:vAlign w:val="bottom"/>
          </w:tcPr>
          <w:p>
            <w:pPr>
              <w:ind w:left="1200"/>
              <w:spacing w:after="0"/>
              <w:rPr>
                <w:sz w:val="20"/>
                <w:szCs w:val="20"/>
                <w:color w:val="auto"/>
              </w:rPr>
            </w:pPr>
            <w:r>
              <w:rPr>
                <w:rFonts w:ascii="Arial" w:cs="Arial" w:eastAsia="Arial" w:hAnsi="Arial"/>
                <w:sz w:val="18"/>
                <w:szCs w:val="18"/>
                <w:color w:val="auto"/>
              </w:rPr>
              <w:t>Maintenance of Properties; 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5.9</w:t>
            </w:r>
          </w:p>
        </w:tc>
        <w:tc>
          <w:tcPr>
            <w:tcW w:w="6780" w:type="dxa"/>
            <w:vAlign w:val="bottom"/>
          </w:tcPr>
          <w:p>
            <w:pPr>
              <w:ind w:left="1200"/>
              <w:spacing w:after="0"/>
              <w:rPr>
                <w:sz w:val="20"/>
                <w:szCs w:val="20"/>
                <w:color w:val="auto"/>
              </w:rPr>
            </w:pPr>
            <w:r>
              <w:rPr>
                <w:rFonts w:ascii="Arial" w:cs="Arial" w:eastAsia="Arial" w:hAnsi="Arial"/>
                <w:sz w:val="18"/>
                <w:szCs w:val="18"/>
                <w:color w:val="auto"/>
              </w:rPr>
              <w:t>Use of Proceeds; Margin Regulations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5.10</w:t>
            </w:r>
          </w:p>
        </w:tc>
        <w:tc>
          <w:tcPr>
            <w:tcW w:w="6780" w:type="dxa"/>
            <w:vAlign w:val="bottom"/>
          </w:tcPr>
          <w:p>
            <w:pPr>
              <w:ind w:left="1200"/>
              <w:spacing w:after="0"/>
              <w:rPr>
                <w:sz w:val="20"/>
                <w:szCs w:val="20"/>
                <w:color w:val="auto"/>
              </w:rPr>
            </w:pPr>
            <w:r>
              <w:rPr>
                <w:rFonts w:ascii="Arial" w:cs="Arial" w:eastAsia="Arial" w:hAnsi="Arial"/>
                <w:sz w:val="18"/>
                <w:szCs w:val="18"/>
                <w:color w:val="auto"/>
              </w:rPr>
              <w:t>Casualty and Condemnation</w:t>
            </w:r>
          </w:p>
        </w:tc>
        <w:tc>
          <w:tcPr>
            <w:tcW w:w="2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5.11</w:t>
            </w:r>
          </w:p>
        </w:tc>
        <w:tc>
          <w:tcPr>
            <w:tcW w:w="6780" w:type="dxa"/>
            <w:vAlign w:val="bottom"/>
          </w:tcPr>
          <w:p>
            <w:pPr>
              <w:ind w:left="1200"/>
              <w:spacing w:after="0"/>
              <w:rPr>
                <w:sz w:val="20"/>
                <w:szCs w:val="20"/>
                <w:color w:val="auto"/>
              </w:rPr>
            </w:pPr>
            <w:r>
              <w:rPr>
                <w:rFonts w:ascii="Arial" w:cs="Arial" w:eastAsia="Arial" w:hAnsi="Arial"/>
                <w:sz w:val="18"/>
                <w:szCs w:val="18"/>
                <w:color w:val="auto"/>
              </w:rPr>
              <w:t>Cash Management</w:t>
            </w:r>
          </w:p>
        </w:tc>
        <w:tc>
          <w:tcPr>
            <w:tcW w:w="2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5.12</w:t>
            </w:r>
          </w:p>
        </w:tc>
        <w:tc>
          <w:tcPr>
            <w:tcW w:w="6780" w:type="dxa"/>
            <w:vAlign w:val="bottom"/>
          </w:tcPr>
          <w:p>
            <w:pPr>
              <w:ind w:left="1200"/>
              <w:spacing w:after="0"/>
              <w:rPr>
                <w:sz w:val="20"/>
                <w:szCs w:val="20"/>
                <w:color w:val="auto"/>
              </w:rPr>
            </w:pPr>
            <w:r>
              <w:rPr>
                <w:rFonts w:ascii="Arial" w:cs="Arial" w:eastAsia="Arial" w:hAnsi="Arial"/>
                <w:sz w:val="18"/>
                <w:szCs w:val="18"/>
                <w:color w:val="auto"/>
              </w:rPr>
              <w:t>Additional Subsidiaries and Collateral</w:t>
            </w:r>
          </w:p>
        </w:tc>
        <w:tc>
          <w:tcPr>
            <w:tcW w:w="2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5.13</w:t>
            </w:r>
          </w:p>
        </w:tc>
        <w:tc>
          <w:tcPr>
            <w:tcW w:w="6780" w:type="dxa"/>
            <w:vAlign w:val="bottom"/>
          </w:tcPr>
          <w:p>
            <w:pPr>
              <w:ind w:left="1200"/>
              <w:spacing w:after="0"/>
              <w:rPr>
                <w:sz w:val="20"/>
                <w:szCs w:val="20"/>
                <w:color w:val="auto"/>
              </w:rPr>
            </w:pPr>
            <w:r>
              <w:rPr>
                <w:rFonts w:ascii="Arial" w:cs="Arial" w:eastAsia="Arial" w:hAnsi="Arial"/>
                <w:sz w:val="18"/>
                <w:szCs w:val="18"/>
                <w:color w:val="auto"/>
              </w:rPr>
              <w:t>Leased Locations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5.14</w:t>
            </w:r>
          </w:p>
        </w:tc>
        <w:tc>
          <w:tcPr>
            <w:tcW w:w="6780" w:type="dxa"/>
            <w:vAlign w:val="bottom"/>
          </w:tcPr>
          <w:p>
            <w:pPr>
              <w:ind w:left="1200"/>
              <w:spacing w:after="0"/>
              <w:rPr>
                <w:sz w:val="20"/>
                <w:szCs w:val="20"/>
                <w:color w:val="auto"/>
              </w:rPr>
            </w:pPr>
            <w:r>
              <w:rPr>
                <w:rFonts w:ascii="Arial" w:cs="Arial" w:eastAsia="Arial" w:hAnsi="Arial"/>
                <w:sz w:val="18"/>
                <w:szCs w:val="18"/>
                <w:color w:val="auto"/>
              </w:rPr>
              <w:t>Further Assurances</w:t>
            </w:r>
          </w:p>
        </w:tc>
        <w:tc>
          <w:tcPr>
            <w:tcW w:w="20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5.15</w:t>
            </w:r>
          </w:p>
        </w:tc>
        <w:tc>
          <w:tcPr>
            <w:tcW w:w="6780" w:type="dxa"/>
            <w:vAlign w:val="bottom"/>
          </w:tcPr>
          <w:p>
            <w:pPr>
              <w:ind w:left="1200"/>
              <w:spacing w:after="0"/>
              <w:rPr>
                <w:sz w:val="20"/>
                <w:szCs w:val="20"/>
                <w:color w:val="auto"/>
              </w:rPr>
            </w:pPr>
            <w:r>
              <w:rPr>
                <w:rFonts w:ascii="Arial" w:cs="Arial" w:eastAsia="Arial" w:hAnsi="Arial"/>
                <w:sz w:val="18"/>
                <w:szCs w:val="18"/>
                <w:color w:val="auto"/>
              </w:rPr>
              <w:t>Anti-Corruption Laws; Sanctions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5.16</w:t>
            </w:r>
          </w:p>
        </w:tc>
        <w:tc>
          <w:tcPr>
            <w:tcW w:w="6780" w:type="dxa"/>
            <w:vAlign w:val="bottom"/>
          </w:tcPr>
          <w:p>
            <w:pPr>
              <w:ind w:left="1200"/>
              <w:spacing w:after="0"/>
              <w:rPr>
                <w:sz w:val="20"/>
                <w:szCs w:val="20"/>
                <w:color w:val="auto"/>
              </w:rPr>
            </w:pPr>
            <w:r>
              <w:rPr>
                <w:rFonts w:ascii="Arial" w:cs="Arial" w:eastAsia="Arial" w:hAnsi="Arial"/>
                <w:sz w:val="18"/>
                <w:szCs w:val="18"/>
                <w:color w:val="auto"/>
              </w:rPr>
              <w:t>Post-Closing Covenants</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ARTICLE VI</w:t>
            </w:r>
          </w:p>
        </w:tc>
        <w:tc>
          <w:tcPr>
            <w:tcW w:w="6780" w:type="dxa"/>
            <w:vAlign w:val="bottom"/>
            <w:vMerge w:val="restart"/>
          </w:tcPr>
          <w:p>
            <w:pPr>
              <w:ind w:left="440"/>
              <w:spacing w:after="0"/>
              <w:rPr>
                <w:sz w:val="20"/>
                <w:szCs w:val="20"/>
                <w:color w:val="auto"/>
              </w:rPr>
            </w:pPr>
            <w:r>
              <w:rPr>
                <w:rFonts w:ascii="Arial" w:cs="Arial" w:eastAsia="Arial" w:hAnsi="Arial"/>
                <w:sz w:val="18"/>
                <w:szCs w:val="18"/>
                <w:color w:val="auto"/>
              </w:rPr>
              <w:t>FINANCIAL COVENANTS</w:t>
            </w: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78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6.1</w:t>
            </w:r>
          </w:p>
        </w:tc>
        <w:tc>
          <w:tcPr>
            <w:tcW w:w="6780" w:type="dxa"/>
            <w:vAlign w:val="bottom"/>
          </w:tcPr>
          <w:p>
            <w:pPr>
              <w:ind w:left="1200"/>
              <w:spacing w:after="0"/>
              <w:rPr>
                <w:sz w:val="20"/>
                <w:szCs w:val="20"/>
                <w:color w:val="auto"/>
              </w:rPr>
            </w:pPr>
            <w:r>
              <w:rPr>
                <w:rFonts w:ascii="Arial" w:cs="Arial" w:eastAsia="Arial" w:hAnsi="Arial"/>
                <w:sz w:val="18"/>
                <w:szCs w:val="18"/>
                <w:color w:val="auto"/>
              </w:rPr>
              <w:t>Consolidated Leverage Ratio</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6.2</w:t>
            </w:r>
          </w:p>
        </w:tc>
        <w:tc>
          <w:tcPr>
            <w:tcW w:w="6780" w:type="dxa"/>
            <w:vAlign w:val="bottom"/>
          </w:tcPr>
          <w:p>
            <w:pPr>
              <w:ind w:left="1200"/>
              <w:spacing w:after="0"/>
              <w:rPr>
                <w:sz w:val="20"/>
                <w:szCs w:val="20"/>
                <w:color w:val="auto"/>
              </w:rPr>
            </w:pPr>
            <w:r>
              <w:rPr>
                <w:rFonts w:ascii="Arial" w:cs="Arial" w:eastAsia="Arial" w:hAnsi="Arial"/>
                <w:sz w:val="18"/>
                <w:szCs w:val="18"/>
                <w:color w:val="auto"/>
              </w:rPr>
              <w:t>Interest Coverage Ratio</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ARTICLE VII</w:t>
            </w:r>
          </w:p>
        </w:tc>
        <w:tc>
          <w:tcPr>
            <w:tcW w:w="6780" w:type="dxa"/>
            <w:vAlign w:val="bottom"/>
            <w:vMerge w:val="restart"/>
          </w:tcPr>
          <w:p>
            <w:pPr>
              <w:ind w:left="440"/>
              <w:spacing w:after="0"/>
              <w:rPr>
                <w:sz w:val="20"/>
                <w:szCs w:val="20"/>
                <w:color w:val="auto"/>
              </w:rPr>
            </w:pPr>
            <w:r>
              <w:rPr>
                <w:rFonts w:ascii="Arial" w:cs="Arial" w:eastAsia="Arial" w:hAnsi="Arial"/>
                <w:sz w:val="18"/>
                <w:szCs w:val="18"/>
                <w:color w:val="auto"/>
              </w:rPr>
              <w:t>NEGATIVE COVENANTS</w:t>
            </w: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78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7.1</w:t>
            </w:r>
          </w:p>
        </w:tc>
        <w:tc>
          <w:tcPr>
            <w:tcW w:w="6780" w:type="dxa"/>
            <w:vAlign w:val="bottom"/>
          </w:tcPr>
          <w:p>
            <w:pPr>
              <w:ind w:left="1200"/>
              <w:spacing w:after="0"/>
              <w:rPr>
                <w:sz w:val="20"/>
                <w:szCs w:val="20"/>
                <w:color w:val="auto"/>
              </w:rPr>
            </w:pPr>
            <w:r>
              <w:rPr>
                <w:rFonts w:ascii="Arial" w:cs="Arial" w:eastAsia="Arial" w:hAnsi="Arial"/>
                <w:sz w:val="18"/>
                <w:szCs w:val="18"/>
                <w:color w:val="auto"/>
              </w:rPr>
              <w:t>Indebtedness and Disqualified Capital Stock</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7.2</w:t>
            </w:r>
          </w:p>
        </w:tc>
        <w:tc>
          <w:tcPr>
            <w:tcW w:w="6780" w:type="dxa"/>
            <w:vAlign w:val="bottom"/>
          </w:tcPr>
          <w:p>
            <w:pPr>
              <w:ind w:left="1200"/>
              <w:spacing w:after="0"/>
              <w:rPr>
                <w:sz w:val="20"/>
                <w:szCs w:val="20"/>
                <w:color w:val="auto"/>
              </w:rPr>
            </w:pPr>
            <w:r>
              <w:rPr>
                <w:rFonts w:ascii="Arial" w:cs="Arial" w:eastAsia="Arial" w:hAnsi="Arial"/>
                <w:sz w:val="18"/>
                <w:szCs w:val="18"/>
                <w:color w:val="auto"/>
              </w:rPr>
              <w:t>Liens</w:t>
            </w:r>
          </w:p>
        </w:tc>
        <w:tc>
          <w:tcPr>
            <w:tcW w:w="20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7.3</w:t>
            </w:r>
          </w:p>
        </w:tc>
        <w:tc>
          <w:tcPr>
            <w:tcW w:w="6780" w:type="dxa"/>
            <w:vAlign w:val="bottom"/>
          </w:tcPr>
          <w:p>
            <w:pPr>
              <w:ind w:left="1200"/>
              <w:spacing w:after="0"/>
              <w:rPr>
                <w:sz w:val="20"/>
                <w:szCs w:val="20"/>
                <w:color w:val="auto"/>
              </w:rPr>
            </w:pPr>
            <w:r>
              <w:rPr>
                <w:rFonts w:ascii="Arial" w:cs="Arial" w:eastAsia="Arial" w:hAnsi="Arial"/>
                <w:sz w:val="18"/>
                <w:szCs w:val="18"/>
                <w:color w:val="auto"/>
              </w:rPr>
              <w:t>Fundamental Changes</w:t>
            </w:r>
          </w:p>
        </w:tc>
        <w:tc>
          <w:tcPr>
            <w:tcW w:w="20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7.4</w:t>
            </w:r>
          </w:p>
        </w:tc>
        <w:tc>
          <w:tcPr>
            <w:tcW w:w="6780" w:type="dxa"/>
            <w:vAlign w:val="bottom"/>
          </w:tcPr>
          <w:p>
            <w:pPr>
              <w:ind w:left="1200"/>
              <w:spacing w:after="0"/>
              <w:rPr>
                <w:sz w:val="20"/>
                <w:szCs w:val="20"/>
                <w:color w:val="auto"/>
              </w:rPr>
            </w:pPr>
            <w:r>
              <w:rPr>
                <w:rFonts w:ascii="Arial" w:cs="Arial" w:eastAsia="Arial" w:hAnsi="Arial"/>
                <w:sz w:val="18"/>
                <w:szCs w:val="18"/>
                <w:color w:val="auto"/>
              </w:rPr>
              <w:t>Investments, Loans</w:t>
            </w:r>
          </w:p>
        </w:tc>
        <w:tc>
          <w:tcPr>
            <w:tcW w:w="20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7.5</w:t>
            </w:r>
          </w:p>
        </w:tc>
        <w:tc>
          <w:tcPr>
            <w:tcW w:w="6780" w:type="dxa"/>
            <w:vAlign w:val="bottom"/>
          </w:tcPr>
          <w:p>
            <w:pPr>
              <w:ind w:left="1200"/>
              <w:spacing w:after="0"/>
              <w:rPr>
                <w:sz w:val="20"/>
                <w:szCs w:val="20"/>
                <w:color w:val="auto"/>
              </w:rPr>
            </w:pPr>
            <w:r>
              <w:rPr>
                <w:rFonts w:ascii="Arial" w:cs="Arial" w:eastAsia="Arial" w:hAnsi="Arial"/>
                <w:sz w:val="18"/>
                <w:szCs w:val="18"/>
                <w:color w:val="auto"/>
              </w:rPr>
              <w:t>Restricted Payments</w:t>
            </w:r>
          </w:p>
        </w:tc>
        <w:tc>
          <w:tcPr>
            <w:tcW w:w="20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7.6</w:t>
            </w:r>
          </w:p>
        </w:tc>
        <w:tc>
          <w:tcPr>
            <w:tcW w:w="6780" w:type="dxa"/>
            <w:vAlign w:val="bottom"/>
          </w:tcPr>
          <w:p>
            <w:pPr>
              <w:ind w:left="1200"/>
              <w:spacing w:after="0"/>
              <w:rPr>
                <w:sz w:val="20"/>
                <w:szCs w:val="20"/>
                <w:color w:val="auto"/>
              </w:rPr>
            </w:pPr>
            <w:r>
              <w:rPr>
                <w:rFonts w:ascii="Arial" w:cs="Arial" w:eastAsia="Arial" w:hAnsi="Arial"/>
                <w:sz w:val="18"/>
                <w:szCs w:val="18"/>
                <w:color w:val="auto"/>
              </w:rPr>
              <w:t>Sale of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7.7</w:t>
            </w:r>
          </w:p>
        </w:tc>
        <w:tc>
          <w:tcPr>
            <w:tcW w:w="6780" w:type="dxa"/>
            <w:vAlign w:val="bottom"/>
          </w:tcPr>
          <w:p>
            <w:pPr>
              <w:ind w:left="1200"/>
              <w:spacing w:after="0"/>
              <w:rPr>
                <w:sz w:val="20"/>
                <w:szCs w:val="20"/>
                <w:color w:val="auto"/>
              </w:rPr>
            </w:pPr>
            <w:r>
              <w:rPr>
                <w:rFonts w:ascii="Arial" w:cs="Arial" w:eastAsia="Arial" w:hAnsi="Arial"/>
                <w:sz w:val="18"/>
                <w:szCs w:val="18"/>
                <w:color w:val="auto"/>
              </w:rPr>
              <w:t>Transactions with Affiliates</w:t>
            </w:r>
          </w:p>
        </w:tc>
        <w:tc>
          <w:tcPr>
            <w:tcW w:w="20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7.8</w:t>
            </w:r>
          </w:p>
        </w:tc>
        <w:tc>
          <w:tcPr>
            <w:tcW w:w="6780" w:type="dxa"/>
            <w:vAlign w:val="bottom"/>
          </w:tcPr>
          <w:p>
            <w:pPr>
              <w:ind w:left="1200"/>
              <w:spacing w:after="0"/>
              <w:rPr>
                <w:sz w:val="20"/>
                <w:szCs w:val="20"/>
                <w:color w:val="auto"/>
              </w:rPr>
            </w:pPr>
            <w:r>
              <w:rPr>
                <w:rFonts w:ascii="Arial" w:cs="Arial" w:eastAsia="Arial" w:hAnsi="Arial"/>
                <w:sz w:val="18"/>
                <w:szCs w:val="18"/>
                <w:color w:val="auto"/>
              </w:rPr>
              <w:t>Restrictive Agreements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7.9</w:t>
            </w:r>
          </w:p>
        </w:tc>
        <w:tc>
          <w:tcPr>
            <w:tcW w:w="6780" w:type="dxa"/>
            <w:vAlign w:val="bottom"/>
          </w:tcPr>
          <w:p>
            <w:pPr>
              <w:ind w:left="1200"/>
              <w:spacing w:after="0"/>
              <w:rPr>
                <w:sz w:val="20"/>
                <w:szCs w:val="20"/>
                <w:color w:val="auto"/>
              </w:rPr>
            </w:pPr>
            <w:r>
              <w:rPr>
                <w:rFonts w:ascii="Arial" w:cs="Arial" w:eastAsia="Arial" w:hAnsi="Arial"/>
                <w:sz w:val="18"/>
                <w:szCs w:val="18"/>
                <w:color w:val="auto"/>
              </w:rPr>
              <w:t>Sale and Leaseback Transactions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7.10</w:t>
            </w:r>
          </w:p>
        </w:tc>
        <w:tc>
          <w:tcPr>
            <w:tcW w:w="6780" w:type="dxa"/>
            <w:vAlign w:val="bottom"/>
          </w:tcPr>
          <w:p>
            <w:pPr>
              <w:ind w:left="1200"/>
              <w:spacing w:after="0"/>
              <w:rPr>
                <w:sz w:val="20"/>
                <w:szCs w:val="20"/>
                <w:color w:val="auto"/>
              </w:rPr>
            </w:pPr>
            <w:r>
              <w:rPr>
                <w:rFonts w:ascii="Arial" w:cs="Arial" w:eastAsia="Arial" w:hAnsi="Arial"/>
                <w:sz w:val="18"/>
                <w:szCs w:val="18"/>
                <w:color w:val="auto"/>
              </w:rPr>
              <w:t>Hedging Transactions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7.11</w:t>
            </w:r>
          </w:p>
        </w:tc>
        <w:tc>
          <w:tcPr>
            <w:tcW w:w="6780" w:type="dxa"/>
            <w:vAlign w:val="bottom"/>
          </w:tcPr>
          <w:p>
            <w:pPr>
              <w:ind w:left="1200"/>
              <w:spacing w:after="0"/>
              <w:rPr>
                <w:sz w:val="20"/>
                <w:szCs w:val="20"/>
                <w:color w:val="auto"/>
              </w:rPr>
            </w:pPr>
            <w:r>
              <w:rPr>
                <w:rFonts w:ascii="Arial" w:cs="Arial" w:eastAsia="Arial" w:hAnsi="Arial"/>
                <w:sz w:val="18"/>
                <w:szCs w:val="18"/>
                <w:color w:val="auto"/>
              </w:rPr>
              <w:t>Amendment to Organization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480" w:top="116" w:right="459" w:bottom="1440"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80" w:top="116" w:right="459" w:bottom="1440" w:gutter="0" w:footer="0" w:header="0"/>
          <w:type w:val="continuous"/>
        </w:sectPr>
      </w:pPr>
    </w:p>
    <w:bookmarkStart w:id="48" w:name="page49"/>
    <w:bookmarkEnd w:id="48"/>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94"/>
        </w:trPr>
        <w:tc>
          <w:tcPr>
            <w:tcW w:w="2160" w:type="dxa"/>
            <w:vAlign w:val="bottom"/>
          </w:tcPr>
          <w:p>
            <w:pPr>
              <w:ind w:left="780"/>
              <w:spacing w:after="0"/>
              <w:rPr>
                <w:sz w:val="20"/>
                <w:szCs w:val="20"/>
                <w:color w:val="auto"/>
              </w:rPr>
            </w:pPr>
            <w:r>
              <w:rPr>
                <w:rFonts w:ascii="Arial" w:cs="Arial" w:eastAsia="Arial" w:hAnsi="Arial"/>
                <w:sz w:val="18"/>
                <w:szCs w:val="18"/>
                <w:color w:val="auto"/>
              </w:rPr>
              <w:t>Section 7.12</w:t>
            </w:r>
          </w:p>
        </w:tc>
        <w:tc>
          <w:tcPr>
            <w:tcW w:w="6980" w:type="dxa"/>
            <w:vAlign w:val="bottom"/>
          </w:tcPr>
          <w:p>
            <w:pPr>
              <w:ind w:left="1160"/>
              <w:spacing w:after="0"/>
              <w:rPr>
                <w:sz w:val="20"/>
                <w:szCs w:val="20"/>
                <w:color w:val="auto"/>
              </w:rPr>
            </w:pPr>
            <w:r>
              <w:rPr>
                <w:rFonts w:ascii="Arial" w:cs="Arial" w:eastAsia="Arial" w:hAnsi="Arial"/>
                <w:sz w:val="18"/>
                <w:szCs w:val="18"/>
                <w:color w:val="auto"/>
              </w:rPr>
              <w:t>Accounting Changes</w:t>
            </w:r>
          </w:p>
        </w:tc>
        <w:tc>
          <w:tcPr>
            <w:tcW w:w="18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7.13</w:t>
            </w:r>
          </w:p>
        </w:tc>
        <w:tc>
          <w:tcPr>
            <w:tcW w:w="6980" w:type="dxa"/>
            <w:vAlign w:val="bottom"/>
          </w:tcPr>
          <w:p>
            <w:pPr>
              <w:ind w:left="1160"/>
              <w:spacing w:after="0"/>
              <w:rPr>
                <w:sz w:val="20"/>
                <w:szCs w:val="20"/>
                <w:color w:val="auto"/>
              </w:rPr>
            </w:pPr>
            <w:r>
              <w:rPr>
                <w:rFonts w:ascii="Arial" w:cs="Arial" w:eastAsia="Arial" w:hAnsi="Arial"/>
                <w:sz w:val="18"/>
                <w:szCs w:val="18"/>
                <w:color w:val="auto"/>
              </w:rPr>
              <w:t>Government Regulation</w:t>
            </w:r>
          </w:p>
        </w:tc>
        <w:tc>
          <w:tcPr>
            <w:tcW w:w="18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ARTICLE VIII</w:t>
            </w:r>
          </w:p>
        </w:tc>
        <w:tc>
          <w:tcPr>
            <w:tcW w:w="6980" w:type="dxa"/>
            <w:vAlign w:val="bottom"/>
            <w:vMerge w:val="restart"/>
          </w:tcPr>
          <w:p>
            <w:pPr>
              <w:ind w:left="400"/>
              <w:spacing w:after="0"/>
              <w:rPr>
                <w:sz w:val="20"/>
                <w:szCs w:val="20"/>
                <w:color w:val="auto"/>
              </w:rPr>
            </w:pPr>
            <w:r>
              <w:rPr>
                <w:rFonts w:ascii="Arial" w:cs="Arial" w:eastAsia="Arial" w:hAnsi="Arial"/>
                <w:sz w:val="18"/>
                <w:szCs w:val="18"/>
                <w:color w:val="auto"/>
              </w:rPr>
              <w:t>EVENTS OF DEFAULT</w:t>
            </w: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69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8.1</w:t>
            </w:r>
          </w:p>
        </w:tc>
        <w:tc>
          <w:tcPr>
            <w:tcW w:w="6980" w:type="dxa"/>
            <w:vAlign w:val="bottom"/>
          </w:tcPr>
          <w:p>
            <w:pPr>
              <w:ind w:left="1160"/>
              <w:spacing w:after="0"/>
              <w:rPr>
                <w:sz w:val="20"/>
                <w:szCs w:val="20"/>
                <w:color w:val="auto"/>
              </w:rPr>
            </w:pPr>
            <w:r>
              <w:rPr>
                <w:rFonts w:ascii="Arial" w:cs="Arial" w:eastAsia="Arial" w:hAnsi="Arial"/>
                <w:sz w:val="18"/>
                <w:szCs w:val="18"/>
                <w:color w:val="auto"/>
              </w:rPr>
              <w:t>Events of Default</w:t>
            </w:r>
          </w:p>
        </w:tc>
        <w:tc>
          <w:tcPr>
            <w:tcW w:w="1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8.2</w:t>
            </w:r>
          </w:p>
        </w:tc>
        <w:tc>
          <w:tcPr>
            <w:tcW w:w="6980" w:type="dxa"/>
            <w:vAlign w:val="bottom"/>
          </w:tcPr>
          <w:p>
            <w:pPr>
              <w:ind w:left="1160"/>
              <w:spacing w:after="0"/>
              <w:rPr>
                <w:sz w:val="20"/>
                <w:szCs w:val="20"/>
                <w:color w:val="auto"/>
              </w:rPr>
            </w:pPr>
            <w:r>
              <w:rPr>
                <w:rFonts w:ascii="Arial" w:cs="Arial" w:eastAsia="Arial" w:hAnsi="Arial"/>
                <w:sz w:val="18"/>
                <w:szCs w:val="18"/>
                <w:color w:val="auto"/>
              </w:rPr>
              <w:t>Application of Proceeds from Collateral</w:t>
            </w:r>
          </w:p>
        </w:tc>
        <w:tc>
          <w:tcPr>
            <w:tcW w:w="18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ARTICLE IX</w:t>
            </w:r>
          </w:p>
        </w:tc>
        <w:tc>
          <w:tcPr>
            <w:tcW w:w="6980" w:type="dxa"/>
            <w:vAlign w:val="bottom"/>
            <w:vMerge w:val="restart"/>
          </w:tcPr>
          <w:p>
            <w:pPr>
              <w:ind w:left="400"/>
              <w:spacing w:after="0"/>
              <w:rPr>
                <w:sz w:val="20"/>
                <w:szCs w:val="20"/>
                <w:color w:val="auto"/>
              </w:rPr>
            </w:pPr>
            <w:r>
              <w:rPr>
                <w:rFonts w:ascii="Arial" w:cs="Arial" w:eastAsia="Arial" w:hAnsi="Arial"/>
                <w:sz w:val="18"/>
                <w:szCs w:val="18"/>
                <w:color w:val="auto"/>
              </w:rPr>
              <w:t>THE ADMINISTRATIVE AGENT</w:t>
            </w: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69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9.1</w:t>
            </w:r>
          </w:p>
        </w:tc>
        <w:tc>
          <w:tcPr>
            <w:tcW w:w="6980" w:type="dxa"/>
            <w:vAlign w:val="bottom"/>
          </w:tcPr>
          <w:p>
            <w:pPr>
              <w:ind w:left="1160"/>
              <w:spacing w:after="0"/>
              <w:rPr>
                <w:sz w:val="20"/>
                <w:szCs w:val="20"/>
                <w:color w:val="auto"/>
              </w:rPr>
            </w:pPr>
            <w:r>
              <w:rPr>
                <w:rFonts w:ascii="Arial" w:cs="Arial" w:eastAsia="Arial" w:hAnsi="Arial"/>
                <w:sz w:val="18"/>
                <w:szCs w:val="18"/>
                <w:color w:val="auto"/>
              </w:rPr>
              <w:t>Appointment of the Administrative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9.2</w:t>
            </w:r>
          </w:p>
        </w:tc>
        <w:tc>
          <w:tcPr>
            <w:tcW w:w="6980" w:type="dxa"/>
            <w:vAlign w:val="bottom"/>
          </w:tcPr>
          <w:p>
            <w:pPr>
              <w:ind w:left="1160"/>
              <w:spacing w:after="0"/>
              <w:rPr>
                <w:sz w:val="20"/>
                <w:szCs w:val="20"/>
                <w:color w:val="auto"/>
              </w:rPr>
            </w:pPr>
            <w:r>
              <w:rPr>
                <w:rFonts w:ascii="Arial" w:cs="Arial" w:eastAsia="Arial" w:hAnsi="Arial"/>
                <w:sz w:val="18"/>
                <w:szCs w:val="18"/>
                <w:color w:val="auto"/>
              </w:rPr>
              <w:t>Nature of Duties of the Administrative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9.3</w:t>
            </w:r>
          </w:p>
        </w:tc>
        <w:tc>
          <w:tcPr>
            <w:tcW w:w="6980" w:type="dxa"/>
            <w:vAlign w:val="bottom"/>
          </w:tcPr>
          <w:p>
            <w:pPr>
              <w:ind w:left="1160"/>
              <w:spacing w:after="0"/>
              <w:rPr>
                <w:sz w:val="20"/>
                <w:szCs w:val="20"/>
                <w:color w:val="auto"/>
              </w:rPr>
            </w:pPr>
            <w:r>
              <w:rPr>
                <w:rFonts w:ascii="Arial" w:cs="Arial" w:eastAsia="Arial" w:hAnsi="Arial"/>
                <w:sz w:val="18"/>
                <w:szCs w:val="18"/>
                <w:color w:val="auto"/>
              </w:rPr>
              <w:t>Lack of Reliance on the Administrative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9.4</w:t>
            </w:r>
          </w:p>
        </w:tc>
        <w:tc>
          <w:tcPr>
            <w:tcW w:w="6980" w:type="dxa"/>
            <w:vAlign w:val="bottom"/>
          </w:tcPr>
          <w:p>
            <w:pPr>
              <w:ind w:left="1160"/>
              <w:spacing w:after="0"/>
              <w:rPr>
                <w:sz w:val="20"/>
                <w:szCs w:val="20"/>
                <w:color w:val="auto"/>
              </w:rPr>
            </w:pPr>
            <w:r>
              <w:rPr>
                <w:rFonts w:ascii="Arial" w:cs="Arial" w:eastAsia="Arial" w:hAnsi="Arial"/>
                <w:sz w:val="18"/>
                <w:szCs w:val="18"/>
                <w:color w:val="auto"/>
              </w:rPr>
              <w:t>Certain Rights of the Administrative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9.5</w:t>
            </w:r>
          </w:p>
        </w:tc>
        <w:tc>
          <w:tcPr>
            <w:tcW w:w="6980" w:type="dxa"/>
            <w:vAlign w:val="bottom"/>
          </w:tcPr>
          <w:p>
            <w:pPr>
              <w:ind w:left="1160"/>
              <w:spacing w:after="0"/>
              <w:rPr>
                <w:sz w:val="20"/>
                <w:szCs w:val="20"/>
                <w:color w:val="auto"/>
              </w:rPr>
            </w:pPr>
            <w:r>
              <w:rPr>
                <w:rFonts w:ascii="Arial" w:cs="Arial" w:eastAsia="Arial" w:hAnsi="Arial"/>
                <w:sz w:val="18"/>
                <w:szCs w:val="18"/>
                <w:color w:val="auto"/>
              </w:rPr>
              <w:t>Reliance by the Administrative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9.6</w:t>
            </w:r>
          </w:p>
        </w:tc>
        <w:tc>
          <w:tcPr>
            <w:tcW w:w="6980" w:type="dxa"/>
            <w:vAlign w:val="bottom"/>
          </w:tcPr>
          <w:p>
            <w:pPr>
              <w:ind w:left="1160"/>
              <w:spacing w:after="0"/>
              <w:rPr>
                <w:sz w:val="20"/>
                <w:szCs w:val="20"/>
                <w:color w:val="auto"/>
              </w:rPr>
            </w:pPr>
            <w:r>
              <w:rPr>
                <w:rFonts w:ascii="Arial" w:cs="Arial" w:eastAsia="Arial" w:hAnsi="Arial"/>
                <w:sz w:val="18"/>
                <w:szCs w:val="18"/>
                <w:color w:val="auto"/>
              </w:rPr>
              <w:t>The Administrative Agent in its Individual Capacity</w:t>
            </w:r>
          </w:p>
        </w:tc>
        <w:tc>
          <w:tcPr>
            <w:tcW w:w="18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9.7</w:t>
            </w:r>
          </w:p>
        </w:tc>
        <w:tc>
          <w:tcPr>
            <w:tcW w:w="6980" w:type="dxa"/>
            <w:vAlign w:val="bottom"/>
          </w:tcPr>
          <w:p>
            <w:pPr>
              <w:ind w:left="1160"/>
              <w:spacing w:after="0"/>
              <w:rPr>
                <w:sz w:val="20"/>
                <w:szCs w:val="20"/>
                <w:color w:val="auto"/>
              </w:rPr>
            </w:pPr>
            <w:r>
              <w:rPr>
                <w:rFonts w:ascii="Arial" w:cs="Arial" w:eastAsia="Arial" w:hAnsi="Arial"/>
                <w:sz w:val="18"/>
                <w:szCs w:val="18"/>
                <w:color w:val="auto"/>
              </w:rPr>
              <w:t>Successor Administrative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9.8</w:t>
            </w:r>
          </w:p>
        </w:tc>
        <w:tc>
          <w:tcPr>
            <w:tcW w:w="6980" w:type="dxa"/>
            <w:vAlign w:val="bottom"/>
          </w:tcPr>
          <w:p>
            <w:pPr>
              <w:ind w:left="1160"/>
              <w:spacing w:after="0"/>
              <w:rPr>
                <w:sz w:val="20"/>
                <w:szCs w:val="20"/>
                <w:color w:val="auto"/>
              </w:rPr>
            </w:pPr>
            <w:r>
              <w:rPr>
                <w:rFonts w:ascii="Arial" w:cs="Arial" w:eastAsia="Arial" w:hAnsi="Arial"/>
                <w:sz w:val="18"/>
                <w:szCs w:val="18"/>
                <w:color w:val="auto"/>
              </w:rPr>
              <w:t>Withholding Tax</w:t>
            </w:r>
          </w:p>
        </w:tc>
        <w:tc>
          <w:tcPr>
            <w:tcW w:w="18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9.9</w:t>
            </w:r>
          </w:p>
        </w:tc>
        <w:tc>
          <w:tcPr>
            <w:tcW w:w="6980" w:type="dxa"/>
            <w:vAlign w:val="bottom"/>
          </w:tcPr>
          <w:p>
            <w:pPr>
              <w:ind w:left="1160"/>
              <w:spacing w:after="0"/>
              <w:rPr>
                <w:sz w:val="20"/>
                <w:szCs w:val="20"/>
                <w:color w:val="auto"/>
              </w:rPr>
            </w:pPr>
            <w:r>
              <w:rPr>
                <w:rFonts w:ascii="Arial" w:cs="Arial" w:eastAsia="Arial" w:hAnsi="Arial"/>
                <w:sz w:val="18"/>
                <w:szCs w:val="18"/>
                <w:color w:val="auto"/>
              </w:rPr>
              <w:t>The Administrative Agent May File Proofs of Claim</w:t>
            </w:r>
          </w:p>
        </w:tc>
        <w:tc>
          <w:tcPr>
            <w:tcW w:w="18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9.10</w:t>
            </w:r>
          </w:p>
        </w:tc>
        <w:tc>
          <w:tcPr>
            <w:tcW w:w="6980" w:type="dxa"/>
            <w:vAlign w:val="bottom"/>
          </w:tcPr>
          <w:p>
            <w:pPr>
              <w:ind w:left="1160"/>
              <w:spacing w:after="0"/>
              <w:rPr>
                <w:sz w:val="20"/>
                <w:szCs w:val="20"/>
                <w:color w:val="auto"/>
              </w:rPr>
            </w:pPr>
            <w:r>
              <w:rPr>
                <w:rFonts w:ascii="Arial" w:cs="Arial" w:eastAsia="Arial" w:hAnsi="Arial"/>
                <w:sz w:val="18"/>
                <w:szCs w:val="18"/>
                <w:color w:val="auto"/>
              </w:rPr>
              <w:t>Authorization to Execute Other Loan Documents</w:t>
            </w:r>
          </w:p>
        </w:tc>
        <w:tc>
          <w:tcPr>
            <w:tcW w:w="18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9.11</w:t>
            </w:r>
          </w:p>
        </w:tc>
        <w:tc>
          <w:tcPr>
            <w:tcW w:w="6980" w:type="dxa"/>
            <w:vAlign w:val="bottom"/>
          </w:tcPr>
          <w:p>
            <w:pPr>
              <w:ind w:left="1160"/>
              <w:spacing w:after="0"/>
              <w:rPr>
                <w:sz w:val="20"/>
                <w:szCs w:val="20"/>
                <w:color w:val="auto"/>
              </w:rPr>
            </w:pPr>
            <w:r>
              <w:rPr>
                <w:rFonts w:ascii="Arial" w:cs="Arial" w:eastAsia="Arial" w:hAnsi="Arial"/>
                <w:sz w:val="18"/>
                <w:szCs w:val="18"/>
                <w:color w:val="auto"/>
              </w:rPr>
              <w:t>Collateral and Guaranty Matters</w:t>
            </w:r>
          </w:p>
        </w:tc>
        <w:tc>
          <w:tcPr>
            <w:tcW w:w="18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9.12</w:t>
            </w:r>
          </w:p>
        </w:tc>
        <w:tc>
          <w:tcPr>
            <w:tcW w:w="6980" w:type="dxa"/>
            <w:vAlign w:val="bottom"/>
          </w:tcPr>
          <w:p>
            <w:pPr>
              <w:ind w:left="1160"/>
              <w:spacing w:after="0"/>
              <w:rPr>
                <w:sz w:val="20"/>
                <w:szCs w:val="20"/>
                <w:color w:val="auto"/>
              </w:rPr>
            </w:pPr>
            <w:r>
              <w:rPr>
                <w:rFonts w:ascii="Arial" w:cs="Arial" w:eastAsia="Arial" w:hAnsi="Arial"/>
                <w:sz w:val="18"/>
                <w:szCs w:val="18"/>
                <w:color w:val="auto"/>
              </w:rPr>
              <w:t>Right to Realize on Collateral and Enforce Guarantee</w:t>
            </w:r>
          </w:p>
        </w:tc>
        <w:tc>
          <w:tcPr>
            <w:tcW w:w="1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9.13</w:t>
            </w:r>
          </w:p>
        </w:tc>
        <w:tc>
          <w:tcPr>
            <w:tcW w:w="6980" w:type="dxa"/>
            <w:vAlign w:val="bottom"/>
          </w:tcPr>
          <w:p>
            <w:pPr>
              <w:ind w:left="1160"/>
              <w:spacing w:after="0"/>
              <w:rPr>
                <w:sz w:val="20"/>
                <w:szCs w:val="20"/>
                <w:color w:val="auto"/>
              </w:rPr>
            </w:pPr>
            <w:r>
              <w:rPr>
                <w:rFonts w:ascii="Arial" w:cs="Arial" w:eastAsia="Arial" w:hAnsi="Arial"/>
                <w:sz w:val="18"/>
                <w:szCs w:val="18"/>
                <w:color w:val="auto"/>
              </w:rPr>
              <w:t>Secured Bank Product Obligations and Hedging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color w:val="auto"/>
              </w:rPr>
              <w:t>ARTICLE X</w:t>
            </w:r>
          </w:p>
        </w:tc>
        <w:tc>
          <w:tcPr>
            <w:tcW w:w="6980" w:type="dxa"/>
            <w:vAlign w:val="bottom"/>
            <w:vMerge w:val="restart"/>
          </w:tcPr>
          <w:p>
            <w:pPr>
              <w:ind w:left="400"/>
              <w:spacing w:after="0"/>
              <w:rPr>
                <w:sz w:val="20"/>
                <w:szCs w:val="20"/>
                <w:color w:val="auto"/>
              </w:rPr>
            </w:pPr>
            <w:r>
              <w:rPr>
                <w:rFonts w:ascii="Arial" w:cs="Arial" w:eastAsia="Arial" w:hAnsi="Arial"/>
                <w:sz w:val="18"/>
                <w:szCs w:val="18"/>
                <w:color w:val="auto"/>
              </w:rPr>
              <w:t>MISCELLANEOUS</w:t>
            </w: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69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w:t>
            </w:r>
          </w:p>
        </w:tc>
        <w:tc>
          <w:tcPr>
            <w:tcW w:w="6980" w:type="dxa"/>
            <w:vAlign w:val="bottom"/>
          </w:tcPr>
          <w:p>
            <w:pPr>
              <w:ind w:left="1160"/>
              <w:spacing w:after="0"/>
              <w:rPr>
                <w:sz w:val="20"/>
                <w:szCs w:val="20"/>
                <w:color w:val="auto"/>
              </w:rPr>
            </w:pPr>
            <w:r>
              <w:rPr>
                <w:rFonts w:ascii="Arial" w:cs="Arial" w:eastAsia="Arial" w:hAnsi="Arial"/>
                <w:sz w:val="18"/>
                <w:szCs w:val="18"/>
                <w:color w:val="auto"/>
              </w:rPr>
              <w:t>Notices</w:t>
            </w:r>
          </w:p>
        </w:tc>
        <w:tc>
          <w:tcPr>
            <w:tcW w:w="1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10.2</w:t>
            </w:r>
          </w:p>
        </w:tc>
        <w:tc>
          <w:tcPr>
            <w:tcW w:w="6980" w:type="dxa"/>
            <w:vAlign w:val="bottom"/>
          </w:tcPr>
          <w:p>
            <w:pPr>
              <w:ind w:left="1160"/>
              <w:spacing w:after="0"/>
              <w:rPr>
                <w:sz w:val="20"/>
                <w:szCs w:val="20"/>
                <w:color w:val="auto"/>
              </w:rPr>
            </w:pPr>
            <w:r>
              <w:rPr>
                <w:rFonts w:ascii="Arial" w:cs="Arial" w:eastAsia="Arial" w:hAnsi="Arial"/>
                <w:sz w:val="18"/>
                <w:szCs w:val="18"/>
                <w:color w:val="auto"/>
              </w:rPr>
              <w:t>Waiver; Amendments</w:t>
            </w:r>
          </w:p>
        </w:tc>
        <w:tc>
          <w:tcPr>
            <w:tcW w:w="18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10.3</w:t>
            </w:r>
          </w:p>
        </w:tc>
        <w:tc>
          <w:tcPr>
            <w:tcW w:w="6980" w:type="dxa"/>
            <w:vAlign w:val="bottom"/>
          </w:tcPr>
          <w:p>
            <w:pPr>
              <w:ind w:left="1160"/>
              <w:spacing w:after="0"/>
              <w:rPr>
                <w:sz w:val="20"/>
                <w:szCs w:val="20"/>
                <w:color w:val="auto"/>
              </w:rPr>
            </w:pPr>
            <w:r>
              <w:rPr>
                <w:rFonts w:ascii="Arial" w:cs="Arial" w:eastAsia="Arial" w:hAnsi="Arial"/>
                <w:sz w:val="18"/>
                <w:szCs w:val="18"/>
                <w:color w:val="auto"/>
              </w:rPr>
              <w:t>Expenses; Indemnification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10.4</w:t>
            </w:r>
          </w:p>
        </w:tc>
        <w:tc>
          <w:tcPr>
            <w:tcW w:w="6980" w:type="dxa"/>
            <w:vAlign w:val="bottom"/>
          </w:tcPr>
          <w:p>
            <w:pPr>
              <w:ind w:left="1160"/>
              <w:spacing w:after="0"/>
              <w:rPr>
                <w:sz w:val="20"/>
                <w:szCs w:val="20"/>
                <w:color w:val="auto"/>
              </w:rPr>
            </w:pPr>
            <w:r>
              <w:rPr>
                <w:rFonts w:ascii="Arial" w:cs="Arial" w:eastAsia="Arial" w:hAnsi="Arial"/>
                <w:sz w:val="18"/>
                <w:szCs w:val="18"/>
                <w:color w:val="auto"/>
              </w:rPr>
              <w:t>Successors and Assigns</w:t>
            </w:r>
          </w:p>
        </w:tc>
        <w:tc>
          <w:tcPr>
            <w:tcW w:w="18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10.5</w:t>
            </w:r>
          </w:p>
        </w:tc>
        <w:tc>
          <w:tcPr>
            <w:tcW w:w="6980" w:type="dxa"/>
            <w:vAlign w:val="bottom"/>
          </w:tcPr>
          <w:p>
            <w:pPr>
              <w:ind w:left="1160"/>
              <w:spacing w:after="0"/>
              <w:rPr>
                <w:sz w:val="20"/>
                <w:szCs w:val="20"/>
                <w:color w:val="auto"/>
              </w:rPr>
            </w:pPr>
            <w:r>
              <w:rPr>
                <w:rFonts w:ascii="Arial" w:cs="Arial" w:eastAsia="Arial" w:hAnsi="Arial"/>
                <w:sz w:val="18"/>
                <w:szCs w:val="18"/>
                <w:color w:val="auto"/>
              </w:rPr>
              <w:t>Governing Law; Jurisdiction; Consent to Service of Process</w:t>
            </w:r>
          </w:p>
        </w:tc>
        <w:tc>
          <w:tcPr>
            <w:tcW w:w="18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10.6</w:t>
            </w:r>
          </w:p>
        </w:tc>
        <w:tc>
          <w:tcPr>
            <w:tcW w:w="6980" w:type="dxa"/>
            <w:vAlign w:val="bottom"/>
          </w:tcPr>
          <w:p>
            <w:pPr>
              <w:ind w:left="1160"/>
              <w:spacing w:after="0"/>
              <w:rPr>
                <w:sz w:val="20"/>
                <w:szCs w:val="20"/>
                <w:color w:val="auto"/>
              </w:rPr>
            </w:pPr>
            <w:r>
              <w:rPr>
                <w:rFonts w:ascii="Arial" w:cs="Arial" w:eastAsia="Arial" w:hAnsi="Arial"/>
                <w:sz w:val="18"/>
                <w:szCs w:val="18"/>
                <w:color w:val="auto"/>
              </w:rPr>
              <w:t>WAIVER OF JURY TRIAL</w:t>
            </w:r>
          </w:p>
        </w:tc>
        <w:tc>
          <w:tcPr>
            <w:tcW w:w="18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10.7</w:t>
            </w:r>
          </w:p>
        </w:tc>
        <w:tc>
          <w:tcPr>
            <w:tcW w:w="6980" w:type="dxa"/>
            <w:vAlign w:val="bottom"/>
          </w:tcPr>
          <w:p>
            <w:pPr>
              <w:ind w:left="1160"/>
              <w:spacing w:after="0"/>
              <w:rPr>
                <w:sz w:val="20"/>
                <w:szCs w:val="20"/>
                <w:color w:val="auto"/>
              </w:rPr>
            </w:pPr>
            <w:r>
              <w:rPr>
                <w:rFonts w:ascii="Arial" w:cs="Arial" w:eastAsia="Arial" w:hAnsi="Arial"/>
                <w:sz w:val="18"/>
                <w:szCs w:val="18"/>
                <w:color w:val="auto"/>
              </w:rPr>
              <w:t>Right of Set-off</w:t>
            </w:r>
          </w:p>
        </w:tc>
        <w:tc>
          <w:tcPr>
            <w:tcW w:w="18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10.8</w:t>
            </w:r>
          </w:p>
        </w:tc>
        <w:tc>
          <w:tcPr>
            <w:tcW w:w="6980" w:type="dxa"/>
            <w:vAlign w:val="bottom"/>
          </w:tcPr>
          <w:p>
            <w:pPr>
              <w:ind w:left="1160"/>
              <w:spacing w:after="0"/>
              <w:rPr>
                <w:sz w:val="20"/>
                <w:szCs w:val="20"/>
                <w:color w:val="auto"/>
              </w:rPr>
            </w:pPr>
            <w:r>
              <w:rPr>
                <w:rFonts w:ascii="Arial" w:cs="Arial" w:eastAsia="Arial" w:hAnsi="Arial"/>
                <w:sz w:val="18"/>
                <w:szCs w:val="18"/>
                <w:color w:val="auto"/>
              </w:rPr>
              <w:t>Counterparts; Integration</w:t>
            </w:r>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10.9</w:t>
            </w:r>
          </w:p>
        </w:tc>
        <w:tc>
          <w:tcPr>
            <w:tcW w:w="6980" w:type="dxa"/>
            <w:vAlign w:val="bottom"/>
          </w:tcPr>
          <w:p>
            <w:pPr>
              <w:ind w:left="1160"/>
              <w:spacing w:after="0"/>
              <w:rPr>
                <w:sz w:val="20"/>
                <w:szCs w:val="20"/>
                <w:color w:val="auto"/>
              </w:rPr>
            </w:pPr>
            <w:r>
              <w:rPr>
                <w:rFonts w:ascii="Arial" w:cs="Arial" w:eastAsia="Arial" w:hAnsi="Arial"/>
                <w:sz w:val="18"/>
                <w:szCs w:val="18"/>
                <w:color w:val="auto"/>
              </w:rPr>
              <w:t>Survival</w:t>
            </w:r>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10.10</w:t>
            </w:r>
          </w:p>
        </w:tc>
        <w:tc>
          <w:tcPr>
            <w:tcW w:w="6980" w:type="dxa"/>
            <w:vAlign w:val="bottom"/>
          </w:tcPr>
          <w:p>
            <w:pPr>
              <w:ind w:left="1160"/>
              <w:spacing w:after="0"/>
              <w:rPr>
                <w:sz w:val="20"/>
                <w:szCs w:val="20"/>
                <w:color w:val="auto"/>
              </w:rPr>
            </w:pPr>
            <w:r>
              <w:rPr>
                <w:rFonts w:ascii="Arial" w:cs="Arial" w:eastAsia="Arial" w:hAnsi="Arial"/>
                <w:sz w:val="18"/>
                <w:szCs w:val="18"/>
                <w:color w:val="auto"/>
              </w:rPr>
              <w:t>Severability</w:t>
            </w:r>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10.11</w:t>
            </w:r>
          </w:p>
        </w:tc>
        <w:tc>
          <w:tcPr>
            <w:tcW w:w="6980" w:type="dxa"/>
            <w:vAlign w:val="bottom"/>
          </w:tcPr>
          <w:p>
            <w:pPr>
              <w:ind w:left="1160"/>
              <w:spacing w:after="0"/>
              <w:rPr>
                <w:sz w:val="20"/>
                <w:szCs w:val="20"/>
                <w:color w:val="auto"/>
              </w:rPr>
            </w:pPr>
            <w:r>
              <w:rPr>
                <w:rFonts w:ascii="Arial" w:cs="Arial" w:eastAsia="Arial" w:hAnsi="Arial"/>
                <w:sz w:val="18"/>
                <w:szCs w:val="18"/>
                <w:color w:val="auto"/>
              </w:rPr>
              <w:t>Confidentiality</w:t>
            </w:r>
          </w:p>
        </w:tc>
        <w:tc>
          <w:tcPr>
            <w:tcW w:w="18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10.12</w:t>
            </w:r>
          </w:p>
        </w:tc>
        <w:tc>
          <w:tcPr>
            <w:tcW w:w="6980" w:type="dxa"/>
            <w:vAlign w:val="bottom"/>
          </w:tcPr>
          <w:p>
            <w:pPr>
              <w:ind w:left="1160"/>
              <w:spacing w:after="0"/>
              <w:rPr>
                <w:sz w:val="20"/>
                <w:szCs w:val="20"/>
                <w:color w:val="auto"/>
              </w:rPr>
            </w:pPr>
            <w:r>
              <w:rPr>
                <w:rFonts w:ascii="Arial" w:cs="Arial" w:eastAsia="Arial" w:hAnsi="Arial"/>
                <w:sz w:val="18"/>
                <w:szCs w:val="18"/>
                <w:color w:val="auto"/>
              </w:rPr>
              <w:t>Interest Rate Limitation</w:t>
            </w: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10.13</w:t>
            </w:r>
          </w:p>
        </w:tc>
        <w:tc>
          <w:tcPr>
            <w:tcW w:w="6980" w:type="dxa"/>
            <w:vAlign w:val="bottom"/>
          </w:tcPr>
          <w:p>
            <w:pPr>
              <w:ind w:left="1160"/>
              <w:spacing w:after="0"/>
              <w:rPr>
                <w:sz w:val="20"/>
                <w:szCs w:val="20"/>
                <w:color w:val="auto"/>
              </w:rPr>
            </w:pPr>
            <w:r>
              <w:rPr>
                <w:rFonts w:ascii="Arial" w:cs="Arial" w:eastAsia="Arial" w:hAnsi="Arial"/>
                <w:sz w:val="18"/>
                <w:szCs w:val="18"/>
                <w:color w:val="auto"/>
              </w:rPr>
              <w:t>Waiver of Effect of Corporate Sell</w:t>
            </w: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10.14</w:t>
            </w:r>
          </w:p>
        </w:tc>
        <w:tc>
          <w:tcPr>
            <w:tcW w:w="6980" w:type="dxa"/>
            <w:vAlign w:val="bottom"/>
          </w:tcPr>
          <w:p>
            <w:pPr>
              <w:ind w:left="1160"/>
              <w:spacing w:after="0"/>
              <w:rPr>
                <w:sz w:val="20"/>
                <w:szCs w:val="20"/>
                <w:color w:val="auto"/>
              </w:rPr>
            </w:pPr>
            <w:r>
              <w:rPr>
                <w:rFonts w:ascii="Arial" w:cs="Arial" w:eastAsia="Arial" w:hAnsi="Arial"/>
                <w:sz w:val="18"/>
                <w:szCs w:val="18"/>
                <w:color w:val="auto"/>
              </w:rPr>
              <w:t>Patriot Act</w:t>
            </w: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10.15</w:t>
            </w:r>
          </w:p>
        </w:tc>
        <w:tc>
          <w:tcPr>
            <w:tcW w:w="6980" w:type="dxa"/>
            <w:vAlign w:val="bottom"/>
          </w:tcPr>
          <w:p>
            <w:pPr>
              <w:ind w:left="1160"/>
              <w:spacing w:after="0"/>
              <w:rPr>
                <w:sz w:val="20"/>
                <w:szCs w:val="20"/>
                <w:color w:val="auto"/>
              </w:rPr>
            </w:pPr>
            <w:r>
              <w:rPr>
                <w:rFonts w:ascii="Arial" w:cs="Arial" w:eastAsia="Arial" w:hAnsi="Arial"/>
                <w:sz w:val="18"/>
                <w:szCs w:val="18"/>
                <w:color w:val="auto"/>
              </w:rPr>
              <w:t>No Advisory or Fiduciary Responsibility</w:t>
            </w:r>
          </w:p>
        </w:tc>
        <w:tc>
          <w:tcPr>
            <w:tcW w:w="18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10.16</w:t>
            </w:r>
          </w:p>
        </w:tc>
        <w:tc>
          <w:tcPr>
            <w:tcW w:w="6980" w:type="dxa"/>
            <w:vAlign w:val="bottom"/>
          </w:tcPr>
          <w:p>
            <w:pPr>
              <w:ind w:left="1160"/>
              <w:spacing w:after="0"/>
              <w:rPr>
                <w:sz w:val="20"/>
                <w:szCs w:val="20"/>
                <w:color w:val="auto"/>
              </w:rPr>
            </w:pPr>
            <w:r>
              <w:rPr>
                <w:rFonts w:ascii="Arial" w:cs="Arial" w:eastAsia="Arial" w:hAnsi="Arial"/>
                <w:sz w:val="18"/>
                <w:szCs w:val="18"/>
                <w:color w:val="auto"/>
              </w:rPr>
              <w:t>Joint and Several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80" w:top="118" w:right="459" w:bottom="1440" w:gutter="0" w:footer="0" w:header="0"/>
        </w:sectPr>
      </w:pPr>
    </w:p>
    <w:bookmarkStart w:id="49" w:name="page50"/>
    <w:bookmarkEnd w:id="49"/>
    <w:p>
      <w:pPr>
        <w:spacing w:after="0"/>
        <w:rPr>
          <w:sz w:val="20"/>
          <w:szCs w:val="20"/>
          <w:color w:val="auto"/>
        </w:rPr>
      </w:pPr>
      <w:r>
        <w:rPr>
          <w:rFonts w:ascii="Arial" w:cs="Arial" w:eastAsia="Arial" w:hAnsi="Arial"/>
          <w:sz w:val="22"/>
          <w:szCs w:val="22"/>
          <w:u w:val="single" w:color="auto"/>
          <w:color w:val="auto"/>
        </w:rPr>
        <w:t>Schedules</w:t>
      </w:r>
    </w:p>
    <w:p>
      <w:pPr>
        <w:spacing w:after="0" w:line="375"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Schedule I</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w w:val="91"/>
              </w:rPr>
              <w:t>Applicable Margin and Applicable Percentage</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II</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Commitment Amounts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1.1(a)</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Immaterial Subsidiaries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1.1(b)</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Subsidiary Loan Parties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4.5</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Environmental Matters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4.14</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Subsidiaries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4.16</w:t>
            </w:r>
          </w:p>
        </w:tc>
        <w:tc>
          <w:tcPr>
            <w:tcW w:w="980" w:type="dxa"/>
            <w:vAlign w:val="bottom"/>
          </w:tcPr>
          <w:p>
            <w:pPr>
              <w:spacing w:after="0"/>
              <w:rPr>
                <w:sz w:val="23"/>
                <w:szCs w:val="23"/>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Deposit and Disbursement Accounts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5.16</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Post-Closing Covenants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7.1</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Existing Indebtedness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7.2</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Existing Liens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7.4</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Existing Investments</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Schedule 7.5</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520" w:type="dxa"/>
            <w:vAlign w:val="bottom"/>
          </w:tcPr>
          <w:p>
            <w:pPr>
              <w:ind w:left="180"/>
              <w:spacing w:after="0"/>
              <w:rPr>
                <w:sz w:val="20"/>
                <w:szCs w:val="20"/>
                <w:color w:val="auto"/>
              </w:rPr>
            </w:pPr>
            <w:r>
              <w:rPr>
                <w:rFonts w:ascii="Arial" w:cs="Arial" w:eastAsia="Arial" w:hAnsi="Arial"/>
                <w:sz w:val="18"/>
                <w:szCs w:val="18"/>
                <w:color w:val="auto"/>
              </w:rPr>
              <w:t>Affiliate Transactions</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375"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Exhibit A</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Form of Assignment and Assumption</w:t>
            </w: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Exhibit B</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w w:val="93"/>
              </w:rPr>
              <w:t>Form of Guaranty and Security Agreement</w:t>
            </w: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Exhibit 2.3</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Form of Notice of Revolving Borrowing</w:t>
            </w: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Exhibit 2.4</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Form of Notice of Swingline Borrowing</w:t>
            </w: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Exhibit 2.7</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w w:val="92"/>
              </w:rPr>
              <w:t>Form of Notice of Continuation/Conversion</w:t>
            </w: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Exhibit 2.20</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Tax Certificates</w:t>
            </w: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Exhibit 5.1(c)</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Form of Compliance Certificate</w:t>
            </w:r>
          </w:p>
        </w:tc>
      </w:tr>
    </w:tbl>
    <w:p>
      <w:pPr>
        <w:sectPr>
          <w:pgSz w:w="11900" w:h="16838" w:orient="portrait"/>
          <w:cols w:equalWidth="0" w:num="1">
            <w:col w:w="10219"/>
          </w:cols>
          <w:pgMar w:left="240" w:top="375"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u w:val="single" w:color="auto"/>
          <w:color w:val="auto"/>
        </w:rPr>
        <w:t>CREDIT AGREEMENT</w:t>
      </w:r>
    </w:p>
    <w:p>
      <w:pPr>
        <w:spacing w:after="0" w:line="22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THIS CREDIT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October 22, 2015, by and</w:t>
      </w:r>
      <w:r>
        <w:rPr>
          <w:rFonts w:ascii="Arial" w:cs="Arial" w:eastAsia="Arial" w:hAnsi="Arial"/>
          <w:sz w:val="22"/>
          <w:szCs w:val="22"/>
          <w:b w:val="1"/>
          <w:bCs w:val="1"/>
          <w:color w:val="auto"/>
        </w:rPr>
        <w:t xml:space="preserve"> </w:t>
      </w:r>
      <w:r>
        <w:rPr>
          <w:rFonts w:ascii="Arial" w:cs="Arial" w:eastAsia="Arial" w:hAnsi="Arial"/>
          <w:sz w:val="22"/>
          <w:szCs w:val="22"/>
          <w:color w:val="auto"/>
        </w:rPr>
        <w:t>among LENDINGTREE, LLC, a Delaware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LENDINGTREE, INC., a Delaware corporation (“</w:t>
      </w:r>
      <w:r>
        <w:rPr>
          <w:rFonts w:ascii="Arial" w:cs="Arial" w:eastAsia="Arial" w:hAnsi="Arial"/>
          <w:sz w:val="22"/>
          <w:szCs w:val="22"/>
          <w:u w:val="single" w:color="auto"/>
          <w:color w:val="auto"/>
        </w:rPr>
        <w:t>Parent</w:t>
      </w:r>
      <w:r>
        <w:rPr>
          <w:rFonts w:ascii="Arial" w:cs="Arial" w:eastAsia="Arial" w:hAnsi="Arial"/>
          <w:sz w:val="22"/>
          <w:szCs w:val="22"/>
          <w:color w:val="auto"/>
        </w:rPr>
        <w:t>”), the several banks and other financial institutions and lenders from time to time party 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SUNTRUST BANK, in its capacity as administrative agent for itself and the Lenders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as issuing bank (the “</w:t>
      </w:r>
      <w:r>
        <w:rPr>
          <w:rFonts w:ascii="Arial" w:cs="Arial" w:eastAsia="Arial" w:hAnsi="Arial"/>
          <w:sz w:val="22"/>
          <w:szCs w:val="22"/>
          <w:u w:val="single" w:color="auto"/>
          <w:color w:val="auto"/>
        </w:rPr>
        <w:t>Issuing Bank</w:t>
      </w:r>
      <w:r>
        <w:rPr>
          <w:rFonts w:ascii="Arial" w:cs="Arial" w:eastAsia="Arial" w:hAnsi="Arial"/>
          <w:sz w:val="22"/>
          <w:szCs w:val="22"/>
          <w:color w:val="auto"/>
        </w:rPr>
        <w:t>”) and as swingline lender (the “</w:t>
      </w:r>
      <w:r>
        <w:rPr>
          <w:rFonts w:ascii="Arial" w:cs="Arial" w:eastAsia="Arial" w:hAnsi="Arial"/>
          <w:sz w:val="22"/>
          <w:szCs w:val="22"/>
          <w:u w:val="single" w:color="auto"/>
          <w:color w:val="auto"/>
        </w:rPr>
        <w:t>Swingline Lender</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Borrower has requested that the Lenders establish a $125,000,000 revolving credit facility in favor</w:t>
      </w:r>
      <w:r>
        <w:rPr>
          <w:rFonts w:ascii="Arial" w:cs="Arial" w:eastAsia="Arial" w:hAnsi="Arial"/>
          <w:sz w:val="22"/>
          <w:szCs w:val="22"/>
          <w:b w:val="1"/>
          <w:bCs w:val="1"/>
          <w:color w:val="auto"/>
        </w:rPr>
        <w:t xml:space="preserve"> </w:t>
      </w:r>
      <w:r>
        <w:rPr>
          <w:rFonts w:ascii="Arial" w:cs="Arial" w:eastAsia="Arial" w:hAnsi="Arial"/>
          <w:sz w:val="22"/>
          <w:szCs w:val="22"/>
          <w:color w:val="auto"/>
        </w:rPr>
        <w:t>of the Borrower;</w:t>
      </w:r>
    </w:p>
    <w:p>
      <w:pPr>
        <w:spacing w:after="0" w:line="16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subject to the terms and conditions of this Agreement, the Lenders, the Issuing Bank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Swingline Lender, to the extent of their respective Commitments as defined herein, are willing severally to establish the requested revolving credit facility, letter of credit subfacility and swingline subfacility in favor of the Borrower.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the mutual covenants herein contained, Parent,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Borrower, the Lenders, the Administrative Agent, the Issuing Bank and the Swingline Lender agree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CONSTRUCTION</w:t>
      </w:r>
    </w:p>
    <w:p>
      <w:pPr>
        <w:spacing w:after="0" w:line="260"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In addition to the other terms defined herein, the following terms used herein shall</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have the meanings herein specified (to be equally applicable to both the singular and plural forms of the terms defined):</w:t>
      </w:r>
    </w:p>
    <w:p>
      <w:pPr>
        <w:spacing w:after="0" w:line="25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Control Agreement</w:t>
      </w:r>
      <w:r>
        <w:rPr>
          <w:rFonts w:ascii="Arial" w:cs="Arial" w:eastAsia="Arial" w:hAnsi="Arial"/>
          <w:sz w:val="22"/>
          <w:szCs w:val="22"/>
          <w:color w:val="auto"/>
        </w:rPr>
        <w:t>” shall mean any tri-party agreement by and among a Loan Party, the Administrative Agent and a depositary bank or securities intermediary at which such Loan Party maintains a Controlled Account, in each case in form and substance reasonably satisfactory to the Administrative Agent.</w:t>
      </w:r>
    </w:p>
    <w:p>
      <w:pPr>
        <w:spacing w:after="0" w:line="18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xml:space="preserve">” shall mean (a) any Investment by Parent or any of its Subsidiaries in any other Person organized in the United States (with substantially all of the assets of such Person and its Subsidiaries located in the United States), pursuant to which such Person shall become a Subsidiary of Parent or any of its Subsidiaries or shall be merged with Parent or any of its Subsidiaries or (b) any acquisition by Parent or any of its Subsidiaries of the assets of any Person (other than a Subsidiary of Parent) that constitute all or substantially all of the assets of such Person or a division or business unit of such Person, whether through purchase, merger or other business combination or transaction (and substantially all of such assets, division or business unit are located in the United States). With respect to a determination of the amount of an Acquisition, such amount shall include all consideration (including any deferred payments) set forth in the applicable agreements governing such Acquisition as well as the assumption of any Indebtedness in connection therewith;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deferred payment that is subject to a contingency shall be considered in determining the amount of the Acquisition only to the extent of the reserve, if any, required under GAAP (as determined at the time of the consummation of such Permitted Acquisition) to be established in respect thereof by Parent or any of its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41" w:right="239" w:bottom="1440" w:gutter="0" w:footer="0" w:header="0"/>
        </w:sectPr>
      </w:pPr>
    </w:p>
    <w:bookmarkStart w:id="51" w:name="page52"/>
    <w:bookmarkEnd w:id="5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LIBO Rate</w:t>
      </w:r>
      <w:r>
        <w:rPr>
          <w:rFonts w:ascii="Arial" w:cs="Arial" w:eastAsia="Arial" w:hAnsi="Arial"/>
          <w:sz w:val="19"/>
          <w:szCs w:val="19"/>
          <w:color w:val="auto"/>
        </w:rPr>
        <w:t xml:space="preserve">” shall mean, with respect to each Interest Period for a Eurodollar Loan, (i)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London interbank offered rate for deposits in Dollars appearing on Reuters screen page LIBOR 01 (or on any successor or substitute page of such service or any successor to such service, or such other commercially available source providing such quotations as may be designated by the Administrative Agent from time to time) at approximately 11:00 A.M. (London time) two</w:t>
      </w:r>
    </w:p>
    <w:p>
      <w:pPr>
        <w:spacing w:after="0" w:line="3" w:lineRule="exact"/>
        <w:rPr>
          <w:sz w:val="20"/>
          <w:szCs w:val="20"/>
          <w:color w:val="auto"/>
        </w:rPr>
      </w:pPr>
    </w:p>
    <w:p>
      <w:pPr>
        <w:jc w:val="both"/>
        <w:ind w:firstLine="8"/>
        <w:spacing w:after="0" w:line="285" w:lineRule="auto"/>
        <w:tabs>
          <w:tab w:leader="none" w:pos="309"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Business Days prior to the first day of such Interest Period, with a maturity comparable to such Interest Period, divided by (ii) a percentage equal to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then stated maximum rate of all reserve requirements (including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if the rate referred to in clause (i) above is not available at any such time for any reason, then the rate referred to in clause (i) shall instead be the interest rate </w:t>
      </w:r>
      <w:r>
        <w:rPr>
          <w:rFonts w:ascii="Arial" w:cs="Arial" w:eastAsia="Arial" w:hAnsi="Arial"/>
          <w:sz w:val="19"/>
          <w:szCs w:val="19"/>
          <w:i w:val="1"/>
          <w:iCs w:val="1"/>
          <w:color w:val="auto"/>
        </w:rPr>
        <w:t>per</w:t>
      </w:r>
      <w:r>
        <w:rPr>
          <w:rFonts w:ascii="Arial" w:cs="Arial" w:eastAsia="Arial" w:hAnsi="Arial"/>
          <w:sz w:val="19"/>
          <w:szCs w:val="19"/>
          <w:color w:val="auto"/>
        </w:rPr>
        <w:t xml:space="preserve"> </w:t>
      </w:r>
      <w:r>
        <w:rPr>
          <w:rFonts w:ascii="Arial" w:cs="Arial" w:eastAsia="Arial" w:hAnsi="Arial"/>
          <w:sz w:val="19"/>
          <w:szCs w:val="19"/>
          <w:i w:val="1"/>
          <w:iCs w:val="1"/>
          <w:color w:val="auto"/>
        </w:rPr>
        <w:t>annum</w:t>
      </w:r>
      <w:r>
        <w:rPr>
          <w:rFonts w:ascii="Arial" w:cs="Arial" w:eastAsia="Arial" w:hAnsi="Arial"/>
          <w:sz w:val="19"/>
          <w:szCs w:val="19"/>
          <w:color w:val="auto"/>
        </w:rPr>
        <w:t>, as determined by the Administrative Agent, to be the arithmetic average of the rates</w:t>
      </w:r>
      <w:r>
        <w:rPr>
          <w:rFonts w:ascii="Arial" w:cs="Arial" w:eastAsia="Arial" w:hAnsi="Arial"/>
          <w:sz w:val="19"/>
          <w:szCs w:val="19"/>
          <w:i w:val="1"/>
          <w:iCs w:val="1"/>
          <w:color w:val="auto"/>
        </w:rPr>
        <w:t xml:space="preserve"> per annum </w:t>
      </w:r>
      <w:r>
        <w:rPr>
          <w:rFonts w:ascii="Arial" w:cs="Arial" w:eastAsia="Arial" w:hAnsi="Arial"/>
          <w:sz w:val="19"/>
          <w:szCs w:val="19"/>
          <w:color w:val="auto"/>
        </w:rPr>
        <w:t>at which deposits in U.S.</w:t>
      </w:r>
      <w:r>
        <w:rPr>
          <w:rFonts w:ascii="Arial" w:cs="Arial" w:eastAsia="Arial" w:hAnsi="Arial"/>
          <w:sz w:val="19"/>
          <w:szCs w:val="19"/>
          <w:i w:val="1"/>
          <w:iCs w:val="1"/>
          <w:color w:val="auto"/>
        </w:rPr>
        <w:t xml:space="preserve"> </w:t>
      </w:r>
      <w:r>
        <w:rPr>
          <w:rFonts w:ascii="Arial" w:cs="Arial" w:eastAsia="Arial" w:hAnsi="Arial"/>
          <w:sz w:val="19"/>
          <w:szCs w:val="19"/>
          <w:color w:val="auto"/>
        </w:rPr>
        <w:t>Dollars in an amount equal to the amount of such Eurodollar Loan are offered by major banks in the London interbank market to the Administrative Agent at approximately 11:00 A.M. (London time), two (2) Business Days prior to the first day of such Interest Period for contracts that would be entered into at the commencement of such Interest Period for the same duration as such Interest Period, and (y) if the interest rate for any Eurodollar Loan determined pursuant to this definition is less than zero, then the Adjusted LIBO Rate for such Eurodollar Loan shall be deemed to equal zero.</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shall have the meaning set forth in the introductory paragraph hereof.</w:t>
      </w:r>
    </w:p>
    <w:p>
      <w:pPr>
        <w:spacing w:after="0" w:line="22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Questionnaire</w:t>
      </w:r>
      <w:r>
        <w:rPr>
          <w:rFonts w:ascii="Arial" w:cs="Arial" w:eastAsia="Arial" w:hAnsi="Arial"/>
          <w:sz w:val="21"/>
          <w:szCs w:val="21"/>
          <w:color w:val="auto"/>
        </w:rPr>
        <w:t>” shall mean, with respect to each Lender, an administrative questionnaire in the form provided by the Administrative Agent and submitted to the Administrative Agent duly completed by such Lender.</w:t>
      </w:r>
    </w:p>
    <w:p>
      <w:pPr>
        <w:spacing w:after="0" w:line="15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shall mean, as to any Person, any other Person that directly, or indirectly through one or more intermediaries, Controls, is Controlled by, or is under common Control with, such Person. For the purposes of this definition, “Control” shall mean the power, directly or indirectly, either to (i) vote 25% or more of the securities having ordinary voting power for the election of directors (or persons performing similar functions) of a Person or (ii) direct or cause the direction of the management and policies of a Person, whether through the ability to exercise voting power, by control or otherwise. The terms “Controlled by” and “under common Control with” have the meanings correlative thereto.</w:t>
      </w:r>
    </w:p>
    <w:p>
      <w:pPr>
        <w:spacing w:after="0" w:line="18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Persons</w:t>
      </w:r>
      <w:r>
        <w:rPr>
          <w:rFonts w:ascii="Arial" w:cs="Arial" w:eastAsia="Arial" w:hAnsi="Arial"/>
          <w:sz w:val="22"/>
          <w:szCs w:val="22"/>
          <w:color w:val="auto"/>
        </w:rPr>
        <w:t>” mean, with respect to any specified Permitted Holder which is a natural person, (a) such specified person’s parents, spouse, siblings, descendants, step children, step grandchildren, nieces and nephews and their respective spouses, (b) the estate, legatees and devisees of such specified person and each of the persons referred to in clause (a), and (c) any company, partnership, trust, foundation or other entity or investment vehicle created for the benefit of, or controlled by, any of the persons referred to in clause (a) or (b) or created by any such person for the benefit of any charitable organization or for a charitable purpose.</w:t>
      </w:r>
    </w:p>
    <w:p>
      <w:pPr>
        <w:spacing w:after="0" w:line="194"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Commitment Amount</w:t>
      </w:r>
      <w:r>
        <w:rPr>
          <w:rFonts w:ascii="Arial" w:cs="Arial" w:eastAsia="Arial" w:hAnsi="Arial"/>
          <w:sz w:val="19"/>
          <w:szCs w:val="19"/>
          <w:color w:val="auto"/>
        </w:rPr>
        <w:t>” shall mean the aggregate principal amount of the Aggregate Revolving Commitments from time to time. On the Closing Date, the Aggregate Revolving Commitment Amount is $125,000,000.</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Revolving Commitments</w:t>
      </w:r>
      <w:r>
        <w:rPr>
          <w:rFonts w:ascii="Arial" w:cs="Arial" w:eastAsia="Arial" w:hAnsi="Arial"/>
          <w:sz w:val="22"/>
          <w:szCs w:val="22"/>
          <w:color w:val="auto"/>
        </w:rPr>
        <w:t>” shall mean, collectively, all Revolving Commitments of all Lenders at any time outstanding.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52" w:name="page53"/>
    <w:bookmarkEnd w:id="52"/>
    <w:p>
      <w:pPr>
        <w:jc w:val="both"/>
        <w:ind w:right="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shall mean all laws, rules, and regulations of any jurisdiction applicable to Parent or its Subsidiaries (or, as such term is used in the definition of the term “Liberty Successor”, to Liberty Successor) from time to time concerning or relating to bribery or corruption.</w:t>
      </w:r>
    </w:p>
    <w:p>
      <w:pPr>
        <w:spacing w:after="0" w:line="18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Lending Office</w:t>
      </w:r>
      <w:r>
        <w:rPr>
          <w:rFonts w:ascii="Arial" w:cs="Arial" w:eastAsia="Arial" w:hAnsi="Arial"/>
          <w:sz w:val="19"/>
          <w:szCs w:val="19"/>
          <w:color w:val="auto"/>
        </w:rPr>
        <w:t>” 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spacing w:after="0" w:line="143"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xml:space="preserve">” shall mean, as of any date, the percentage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determined by reference to the applicable Consolidated Leverage Ratio in effect on such date as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change in the Applicable Margin resulting from a change in the Consolidated Leverage Ratio shall be effective on the second Business Day after which Parent delivers each of the financial statements required by </w:t>
      </w:r>
      <w:r>
        <w:rPr>
          <w:rFonts w:ascii="Arial" w:cs="Arial" w:eastAsia="Arial" w:hAnsi="Arial"/>
          <w:sz w:val="19"/>
          <w:szCs w:val="19"/>
          <w:u w:val="single" w:color="auto"/>
          <w:color w:val="auto"/>
        </w:rPr>
        <w:t>Section 5.1(a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the Compliance Certificate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Parent shall have failed to deliver such financial statements and such Compliance Certificate when so required, the Applicable Margin shall be at Level I as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until such time as such financial statements and Compliance Certificate are delivered, at which time the Applicable Margin shall be determined as provided above. Notwithstanding the foregoing, the Applicable Margin from the Closing Date until the date by which the financial statements and Compliance Certificate for the Fiscal Quarter ending December 31, 2015 are required to be delivered shall be at Level III as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Margin based upon the pricing grid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Accurate Applicable Margin</w:t>
      </w:r>
      <w:r>
        <w:rPr>
          <w:rFonts w:ascii="Arial" w:cs="Arial" w:eastAsia="Arial" w:hAnsi="Arial"/>
          <w:sz w:val="19"/>
          <w:szCs w:val="19"/>
          <w:color w:val="auto"/>
        </w:rPr>
        <w:t>”) for any period that such financial statement or Compliance Certificate covered, then</w:t>
      </w:r>
    </w:p>
    <w:p>
      <w:pPr>
        <w:spacing w:after="0" w:line="5" w:lineRule="exact"/>
        <w:rPr>
          <w:sz w:val="20"/>
          <w:szCs w:val="20"/>
          <w:color w:val="auto"/>
        </w:rPr>
      </w:pPr>
    </w:p>
    <w:p>
      <w:pPr>
        <w:jc w:val="both"/>
        <w:ind w:firstLine="8"/>
        <w:spacing w:after="0" w:line="257" w:lineRule="auto"/>
        <w:tabs>
          <w:tab w:leader="none" w:pos="2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Parent shall immediately deliver to the Administrative Agent a correct financial statement or Compliance Certificate, as the case may be, for such period, (ii) the Applicable Margin shall be adjusted such that after giving effect to the corrected financial statement or Compliance Certificate, as the case may be, the Applicable Margin shall be reset to the Accurate Applicable Margin based upon the pricing grid set forth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for such period and (iii) the Borrower shall immediately pay to the Administrative Agent, for the account of the Lenders, the accrued additional interest owing as a result of such Accurate Applicable Margin for such period. The provisions of this definition shall not limit the rights of the Administrative Agent and the Lenders with respect to </w:t>
      </w:r>
      <w:r>
        <w:rPr>
          <w:rFonts w:ascii="Arial" w:cs="Arial" w:eastAsia="Arial" w:hAnsi="Arial"/>
          <w:sz w:val="21"/>
          <w:szCs w:val="21"/>
          <w:u w:val="single" w:color="auto"/>
          <w:color w:val="auto"/>
        </w:rPr>
        <w:t>Section 2.13(c)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18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shall mean, as of any date, with respect to the commitment fee as of such date, the percentage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determined by reference to the Consolidated Leverage Ratio in effect on such date as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change in the Applicable Percentage resulting from a change in the Consolidated Leverage Ratio shall be effective on the second Business Day after which Parent delivers each of the financial statements required by </w:t>
      </w:r>
      <w:r>
        <w:rPr>
          <w:rFonts w:ascii="Arial" w:cs="Arial" w:eastAsia="Arial" w:hAnsi="Arial"/>
          <w:sz w:val="19"/>
          <w:szCs w:val="19"/>
          <w:u w:val="single" w:color="auto"/>
          <w:color w:val="auto"/>
        </w:rPr>
        <w:t>Section 5.1(a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the Compliance Certificate required by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Parent shall have failed to deliver such financial statements and such Compliance Certificate when so required, the Applicable Percentage shall be at Level I as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until such time as such financial statements and Compliance Certificate are delivered, at which time the Applicable Percentage shall be determined as provided above. Notwithstanding the foregoing, the Applicable Percentage for the commitment fee from the Closing Date until the date by which the financial statements and Compliance Certificate for the Fiscal Quarter ending December 31, 2015 are required to be delivered shall be at Level III as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Percentage based upon the pricing grid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Accurate Applicable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21"/>
          <w:szCs w:val="21"/>
          <w:u w:val="single" w:color="auto"/>
          <w:color w:val="auto"/>
        </w:rPr>
        <w:t>Percentage</w:t>
      </w:r>
      <w:r>
        <w:rPr>
          <w:rFonts w:ascii="Arial" w:cs="Arial" w:eastAsia="Arial" w:hAnsi="Arial"/>
          <w:sz w:val="21"/>
          <w:szCs w:val="21"/>
          <w:color w:val="auto"/>
        </w:rPr>
        <w:t xml:space="preserve">”) for any period that such financial statement or Compliance Certificate covered, then (i) Parent shall immediately deliver to the Administrative Agent a correct financial statement or Compliance Certificate, as the case may be, for such period, (ii) the Applicable Percentage shall be adjusted such that after giving effect to the corrected financial statement or Compliance Certificate, as the case may be, the Applicable Percentage shall be reset to the Accurate Applicable Percentage based upon the pricing grid set forth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for such period and (iii) the Borrower shall immediately pay to the Administrative Agent, for the account of the Lenders, the accrued additional commitment fee owing as a result of such Accurate Applicable Percentage for such period. The provisions of this definition shall not limit the rights of the Administrative Agent and the Lenders with respect to </w:t>
      </w:r>
      <w:r>
        <w:rPr>
          <w:rFonts w:ascii="Arial" w:cs="Arial" w:eastAsia="Arial" w:hAnsi="Arial"/>
          <w:sz w:val="21"/>
          <w:szCs w:val="21"/>
          <w:u w:val="single" w:color="auto"/>
          <w:color w:val="auto"/>
        </w:rPr>
        <w:t>Section 2.13(c)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18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shall mean any Person (other than a natural Person) that is (or will be) engaged in making, purchasing, holding or otherwise investing in commercial loans and similar extensions of credit in the ordinary course of its business and that is administered or managed by (i) a Lender, (ii) an Affiliate of a Lender or (iii) an entity or an Affiliate of an entity that administers or manages a Lender.</w:t>
      </w:r>
    </w:p>
    <w:p>
      <w:pPr>
        <w:spacing w:after="0" w:line="18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shall mean an assignment and assumption entered into by a Lender and an assignee (with the consent of any party whose consent is required by </w:t>
      </w:r>
      <w:r>
        <w:rPr>
          <w:rFonts w:ascii="Arial" w:cs="Arial" w:eastAsia="Arial" w:hAnsi="Arial"/>
          <w:sz w:val="21"/>
          <w:szCs w:val="21"/>
          <w:u w:val="single" w:color="auto"/>
          <w:color w:val="auto"/>
        </w:rPr>
        <w:t>Section 10.4(b)</w:t>
      </w:r>
      <w:r>
        <w:rPr>
          <w:rFonts w:ascii="Arial" w:cs="Arial" w:eastAsia="Arial" w:hAnsi="Arial"/>
          <w:sz w:val="21"/>
          <w:szCs w:val="21"/>
          <w:color w:val="auto"/>
        </w:rPr>
        <w:t xml:space="preserve">) and accepted by the Administrative Agent,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or any other form approved by the Administrative Agent.</w:t>
      </w:r>
    </w:p>
    <w:p>
      <w:pPr>
        <w:spacing w:after="0" w:line="16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i w:val="1"/>
          <w:iCs w:val="1"/>
          <w:color w:val="auto"/>
        </w:rPr>
        <w:t>”</w:t>
      </w:r>
      <w:r>
        <w:rPr>
          <w:rFonts w:ascii="Arial" w:cs="Arial" w:eastAsia="Arial" w:hAnsi="Arial"/>
          <w:sz w:val="22"/>
          <w:szCs w:val="22"/>
          <w:color w:val="auto"/>
        </w:rPr>
        <w:t xml:space="preserve"> shall mean the period from the Closing Date to but excluding the Revolving Commitment Termination Date.</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Obligations</w:t>
      </w:r>
      <w:r>
        <w:rPr>
          <w:rFonts w:ascii="Arial" w:cs="Arial" w:eastAsia="Arial" w:hAnsi="Arial"/>
          <w:sz w:val="22"/>
          <w:szCs w:val="22"/>
          <w:color w:val="auto"/>
        </w:rPr>
        <w:t>” shall mean, collectively, all obligations and other liabilities of any Loan Party to any Bank Product Provider arising with respect to any Bank Products.</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 Product Provider</w:t>
      </w:r>
      <w:r>
        <w:rPr>
          <w:rFonts w:ascii="Arial" w:cs="Arial" w:eastAsia="Arial" w:hAnsi="Arial"/>
          <w:sz w:val="21"/>
          <w:szCs w:val="21"/>
          <w:color w:val="auto"/>
        </w:rPr>
        <w:t>” shall mean any Person that, at the time it provides any Bank Product to any Loan Party, (i) is a Lender or an Affiliate of a Lender and (ii) except when the Bank Product Provider is SunTrust Bank and its Affiliates, has provided prior written notice to the Administrative Agent of (x) the existence of such Bank Product and (y) the maximum dollar amount of obligations arising thereunder (the “</w:t>
      </w:r>
      <w:r>
        <w:rPr>
          <w:rFonts w:ascii="Arial" w:cs="Arial" w:eastAsia="Arial" w:hAnsi="Arial"/>
          <w:sz w:val="21"/>
          <w:szCs w:val="21"/>
          <w:u w:val="single" w:color="auto"/>
          <w:color w:val="auto"/>
        </w:rPr>
        <w:t>Bank Product Amount</w:t>
      </w:r>
      <w:r>
        <w:rPr>
          <w:rFonts w:ascii="Arial" w:cs="Arial" w:eastAsia="Arial" w:hAnsi="Arial"/>
          <w:sz w:val="21"/>
          <w:szCs w:val="21"/>
          <w:color w:val="auto"/>
        </w:rPr>
        <w:t xml:space="preserve">”). In no event shall any Bank Product Provider acting in such capacity be deemed a Lender for purposes hereof to the extent of and as to Bank Products except that each reference to the term “Lender” in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10.3(b)</w:t>
      </w:r>
      <w:r>
        <w:rPr>
          <w:rFonts w:ascii="Arial" w:cs="Arial" w:eastAsia="Arial" w:hAnsi="Arial"/>
          <w:sz w:val="21"/>
          <w:szCs w:val="21"/>
          <w:color w:val="auto"/>
        </w:rPr>
        <w:t xml:space="preserve"> shall be deemed to include such Bank Product Provider and in no event shall the approval of any such person in its capacity as Bank Product Provider be required in connection with the release or termination of any security interest or Lien of the Administrative Agent. The Bank Product Amount may be changed from time to time upon written notice to the Administrative Agent by the applicable Bank Product Provider. No Bank Product Amount may be established at any time that a Default or Event of Default exists.</w:t>
      </w:r>
    </w:p>
    <w:p>
      <w:pPr>
        <w:spacing w:after="0" w:line="18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Products</w:t>
      </w:r>
      <w:r>
        <w:rPr>
          <w:rFonts w:ascii="Arial" w:cs="Arial" w:eastAsia="Arial" w:hAnsi="Arial"/>
          <w:sz w:val="19"/>
          <w:szCs w:val="19"/>
          <w:color w:val="auto"/>
        </w:rPr>
        <w:t>” 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card services, including credit cards (including purchasing cards and commercial cards), prepaid cards, including payroll, stored value and gift cards, merchant services processing, and debit card services.</w:t>
      </w:r>
    </w:p>
    <w:p>
      <w:pPr>
        <w:spacing w:after="0" w:line="15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w:t>
      </w:r>
      <w:r>
        <w:rPr>
          <w:rFonts w:ascii="Arial" w:cs="Arial" w:eastAsia="Arial" w:hAnsi="Arial"/>
          <w:sz w:val="22"/>
          <w:szCs w:val="22"/>
          <w:color w:val="auto"/>
        </w:rPr>
        <w:t xml:space="preserve">” shall mean the highest of (i) the rate which the Administrative Agent announces from time to time as its prime lending rate, as in effect from time to time, (ii) the Federal Funds Rate, as in effect from time to time, plus one-half of one percent (0.50%)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and (iii) the Adjusted LIBO Rate determined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54" w:name="page55"/>
    <w:bookmarkEnd w:id="54"/>
    <w:p>
      <w:pPr>
        <w:jc w:val="both"/>
        <w:spacing w:after="0" w:line="302" w:lineRule="auto"/>
        <w:rPr>
          <w:sz w:val="20"/>
          <w:szCs w:val="20"/>
          <w:color w:val="auto"/>
        </w:rPr>
      </w:pPr>
      <w:r>
        <w:rPr>
          <w:rFonts w:ascii="Arial" w:cs="Arial" w:eastAsia="Arial" w:hAnsi="Arial"/>
          <w:sz w:val="19"/>
          <w:szCs w:val="19"/>
          <w:color w:val="auto"/>
        </w:rPr>
        <w:t xml:space="preserve">on a daily basis for an Interest Period of one (1) month, plus one percent (1.00%)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(any changes in such rates to be effective as of the date of any change in such rate). The Administrative Agent’s prime lending rate is a reference rate and does not necessarily represent the lowest or best rate actually charged to any customer. The Administrative Agent may make commercial loans or other loans at rates of interest at, above, or below the Administrative Agent’s prime lending rate.</w:t>
      </w:r>
    </w:p>
    <w:p>
      <w:pPr>
        <w:spacing w:after="0" w:line="14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shall mean, with respect to any amount paid hereunder or under any other Loan Document, the Person that is the beneficial owner, for U.S. federal income tax purposes, of such payment.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shall have the meaning set forth in the introductory paragraph hereof.</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shall mean a borrowing consisting of (i) Loans of the same Class and Type, made, converted or continued on the same date and, in the case of Eurodollar Loans, as to which a single Interest Period is in effect, or (ii) a Swingline Loan.</w:t>
      </w:r>
    </w:p>
    <w:p>
      <w:pPr>
        <w:spacing w:after="0" w:line="15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(i) a Saturday, Sunday or other day on which commercial banks in Atlanta, Georgia or New York, New York are authorized or required by law to close and (ii) if such day relates to a Borrowing of, a payment or prepayment of principal or interest on, a conversion of or into, or an Interest Period for, a Eurodollar Loan or a notice with respect to any of the foregoing, any day on which banks are not open for dealings in Dollar deposits in the London interbank market.</w:t>
      </w:r>
    </w:p>
    <w:p>
      <w:pPr>
        <w:spacing w:after="0" w:line="19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shall mean, for any period, without duplication, (i) the additions to property, plant and equipment and other capital expenditures of Parent and its Subsidiaries that are (or would be) set forth on a consolidated statement of cash flows of Parent for such period prepared in accordance with GAAP and (ii) Capital Lease Obligations incurred by Parent and its Subsidiaries during such period, excluding any expenditure to the extent such expenditure is part of the aggregate amounts payable in connection with, or other consideration for, any Permitted Acquisition consummated during or prior to such period.</w:t>
      </w:r>
    </w:p>
    <w:p>
      <w:pPr>
        <w:spacing w:after="0" w:line="14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jc w:val="both"/>
        <w:ind w:firstLine="1297"/>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w:t>
      </w:r>
      <w:r>
        <w:rPr>
          <w:rFonts w:ascii="MS PGothic" w:cs="MS PGothic" w:eastAsia="MS PGothic" w:hAnsi="MS PGothic"/>
          <w:sz w:val="22"/>
          <w:szCs w:val="22"/>
          <w:color w:val="auto"/>
        </w:rPr>
        <w:t>‑</w:t>
      </w:r>
      <w:r>
        <w:rPr>
          <w:rFonts w:ascii="Arial" w:cs="Arial" w:eastAsia="Arial" w:hAnsi="Arial"/>
          <w:sz w:val="22"/>
          <w:szCs w:val="22"/>
          <w:color w:val="auto"/>
        </w:rPr>
        <w:t>1 of the General Rules and Regulations promulgated by the Securities and Exchange Commission under the Exchange Act).</w:t>
      </w:r>
    </w:p>
    <w:p>
      <w:pPr>
        <w:spacing w:after="0" w:line="20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Capped Adjustments</w:t>
      </w:r>
      <w:r>
        <w:rPr>
          <w:rFonts w:ascii="Arial" w:cs="Arial" w:eastAsia="Arial" w:hAnsi="Arial"/>
          <w:sz w:val="22"/>
          <w:szCs w:val="22"/>
          <w:color w:val="auto"/>
        </w:rPr>
        <w:t>” shall mean (a) any additions to Consolidated EBITDA pursuant to clause (ii)(G) of the definition of such term, (b) any additions to Consolidated EBITDA pursuant to clause (ii)(H) of the definition of such term, and (c) any Pro Forma Capped Adjustments.</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Collateralize</w:t>
      </w:r>
      <w:r>
        <w:rPr>
          <w:rFonts w:ascii="Arial" w:cs="Arial" w:eastAsia="Arial" w:hAnsi="Arial"/>
          <w:sz w:val="22"/>
          <w:szCs w:val="22"/>
          <w:color w:val="auto"/>
        </w:rPr>
        <w:t>” shall mean, in respect of any obligations, to provide and pledge (as a first priority perfected security interest) cash collateral for such obligations in Dollars with the Administrative Agent pursuant to documentation in form and substance reasonably satisfactory to the Administrative Agent (and “</w:t>
      </w:r>
      <w:r>
        <w:rPr>
          <w:rFonts w:ascii="Arial" w:cs="Arial" w:eastAsia="Arial" w:hAnsi="Arial"/>
          <w:sz w:val="22"/>
          <w:szCs w:val="22"/>
          <w:u w:val="single" w:color="auto"/>
          <w:color w:val="auto"/>
        </w:rPr>
        <w:t>Cash Collateralized</w:t>
      </w:r>
      <w:r>
        <w:rPr>
          <w:rFonts w:ascii="Arial" w:cs="Arial" w:eastAsia="Arial" w:hAnsi="Arial"/>
          <w:sz w:val="22"/>
          <w:szCs w:val="22"/>
          <w:color w:val="auto"/>
        </w:rPr>
        <w:t>” and “</w:t>
      </w:r>
      <w:r>
        <w:rPr>
          <w:rFonts w:ascii="Arial" w:cs="Arial" w:eastAsia="Arial" w:hAnsi="Arial"/>
          <w:sz w:val="22"/>
          <w:szCs w:val="22"/>
          <w:u w:val="single" w:color="auto"/>
          <w:color w:val="auto"/>
        </w:rPr>
        <w:t>Cash Collateralization</w:t>
      </w:r>
      <w:r>
        <w:rPr>
          <w:rFonts w:ascii="Arial" w:cs="Arial" w:eastAsia="Arial" w:hAnsi="Arial"/>
          <w:sz w:val="22"/>
          <w:szCs w:val="22"/>
          <w:color w:val="auto"/>
        </w:rPr>
        <w:t>” have the corresponding meanings).</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 (a) the acquisition of beneficial ownership, directly or indirectly, by any Person or group (such Person or group, the “</w:t>
      </w:r>
      <w:r>
        <w:rPr>
          <w:rFonts w:ascii="Arial" w:cs="Arial" w:eastAsia="Arial" w:hAnsi="Arial"/>
          <w:sz w:val="22"/>
          <w:szCs w:val="22"/>
          <w:u w:val="single" w:color="auto"/>
          <w:color w:val="auto"/>
        </w:rPr>
        <w:t>Transferee</w:t>
      </w:r>
      <w:r>
        <w:rPr>
          <w:rFonts w:ascii="Arial" w:cs="Arial" w:eastAsia="Arial" w:hAnsi="Arial"/>
          <w:sz w:val="22"/>
          <w:szCs w:val="22"/>
          <w:color w:val="auto"/>
        </w:rPr>
        <w:t>”) (excluding any Permitted Holder or group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55" w:name="page56"/>
    <w:bookmarkEnd w:id="55"/>
    <w:p>
      <w:pPr>
        <w:jc w:val="both"/>
        <w:spacing w:after="0" w:line="258" w:lineRule="auto"/>
        <w:rPr>
          <w:sz w:val="20"/>
          <w:szCs w:val="20"/>
          <w:color w:val="auto"/>
        </w:rPr>
      </w:pPr>
      <w:r>
        <w:rPr>
          <w:rFonts w:ascii="Arial" w:cs="Arial" w:eastAsia="Arial" w:hAnsi="Arial"/>
          <w:sz w:val="21"/>
          <w:szCs w:val="21"/>
          <w:color w:val="auto"/>
        </w:rPr>
        <w:t>Controlled by any Permitted Holder) of more than 35% of the aggregate voting power (with equivalent economic interests) of all outstanding classes or series of the Parent’s voting stock (“</w:t>
      </w:r>
      <w:r>
        <w:rPr>
          <w:rFonts w:ascii="Arial" w:cs="Arial" w:eastAsia="Arial" w:hAnsi="Arial"/>
          <w:sz w:val="21"/>
          <w:szCs w:val="21"/>
          <w:u w:val="single" w:color="auto"/>
          <w:color w:val="auto"/>
        </w:rPr>
        <w:t>Total Voting Power</w:t>
      </w:r>
      <w:r>
        <w:rPr>
          <w:rFonts w:ascii="Arial" w:cs="Arial" w:eastAsia="Arial" w:hAnsi="Arial"/>
          <w:sz w:val="21"/>
          <w:szCs w:val="21"/>
          <w:color w:val="auto"/>
        </w:rPr>
        <w:t>”), unless either (i) the Permitted Holders beneficially own a majority of the Total Voting Power or (ii) if the Permitted Holders beneficially own less than a majority of the Total Voting Power, the Total Voting Power represented by the shares beneficially owned by the Permitted Holders exceeds the Total Voting Power represented by shares beneficially owned by such acquiring person or group; or (b) Parent ceases to own and control, directly or indirectly, beneficially and of record, 100% of the outstanding shares of voting stock (with equivalent economic interests) of Borrower. For the purposes of this definition, “Control” shall mean the power, directly or indirectly, to direct or cause the direction of the management and policies, or the dismissal or appointment of the management, of a Person, whether through the ability to exercise voting power, by contract or otherwise. The terms “Controlled by” and “under common Control with” have the meanings correlative thereto.</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shall mean (i) the adoption of any applicable law, rule or regulation after the date of this Agreement, (ii) any change in any applicable law, rule or regulation, or any change in the interpretation, implementation or application thereof, by any Governmental Authority after the date of this Agreement, or (iii) compliance by any Lender (or its Applicable Lending Office) or the Issuing Bank (or, for purposes of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by the Parent Company of such Lender or the Issuing Bank, if applicable) with any request, guideline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comprising such Borrowing, are Revolving Loans, Swingline Loans, or Incremental Term Loans and when used in reference to any Commitment, refers to whether such Commitment is a Revolving Commitment, a Swingline Commitment, or an Incremental Term Loan commitment.</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shall mean the date on which the conditions precedent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have been satisfied or waived in accordance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 and in effect from time to time.</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shall mean all tangible and intangible property, real and personal, of any Loan Party that is or purports to be the subject of a Lien to the Administrative Agent to secure the whole or any part of the Obligations or any Guarantee thereof, and shall include, without limitation, all casualty insurance proceeds and condemnation awards with respect to any of the foregoing. In all cases, the pledging as Collateral of Capital Stock of any Foreign Subsidiary held or owned by any Loan Party shall be limited to 66% of the issued and outstanding voting Capital Stock and 100% of the issued and outstanding non-voting Capital Stock of such Foreign Subsidiary, as applicable.</w:t>
      </w:r>
    </w:p>
    <w:p>
      <w:pPr>
        <w:spacing w:after="0" w:line="19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Access Agreement</w:t>
      </w:r>
      <w:r>
        <w:rPr>
          <w:rFonts w:ascii="Arial" w:cs="Arial" w:eastAsia="Arial" w:hAnsi="Arial"/>
          <w:sz w:val="22"/>
          <w:szCs w:val="22"/>
          <w:color w:val="auto"/>
        </w:rPr>
        <w:t>” shall mean each landlord waiver or bailee agreement granted to, and in form and substance reasonably acceptable to, the Administrative Agent.</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shall mean, collectively, the Guaranty and Security Agreement, the Account Control Agreements, the Information and Collateral Disclosure Certificate, all Copyright Security Agreements, all Patent Security Agreements, all Trademark Security Agreements, all Collateral Access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56" w:name="page57"/>
    <w:bookmarkEnd w:id="56"/>
    <w:p>
      <w:pPr>
        <w:jc w:val="both"/>
        <w:spacing w:after="0" w:line="265" w:lineRule="auto"/>
        <w:rPr>
          <w:sz w:val="20"/>
          <w:szCs w:val="20"/>
          <w:color w:val="auto"/>
        </w:rPr>
      </w:pPr>
      <w:r>
        <w:rPr>
          <w:rFonts w:ascii="Arial" w:cs="Arial" w:eastAsia="Arial" w:hAnsi="Arial"/>
          <w:sz w:val="21"/>
          <w:szCs w:val="21"/>
          <w:color w:val="auto"/>
        </w:rPr>
        <w:t>Agreements, all assignments of key man life insurance policies and all other instruments and agreements now or hereafter securing or perfecting the Liens securing the whole or any part of the Obligations or any Guarantee thereof, all UCC financing statements, fixture filings and stock powers, and all other documents, instruments, agreements and certificates executed and delivered by any Loan Party to the Administrative Agent and the Lenders in connection with the foregoing.</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shall mean a Revolving Commitment, a Swingline Commitment, or an Incremental Term Loan commitment or any combination thereof (as the context shall permit or require).</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shall mean the Commodity Exchange Act (7 U.S.C. § 1 </w:t>
      </w:r>
      <w:r>
        <w:rPr>
          <w:rFonts w:ascii="Arial" w:cs="Arial" w:eastAsia="Arial" w:hAnsi="Arial"/>
          <w:sz w:val="22"/>
          <w:szCs w:val="22"/>
          <w:u w:val="single" w:color="auto"/>
          <w:color w:val="auto"/>
        </w:rPr>
        <w:t>et seq</w:t>
      </w:r>
      <w:r>
        <w:rPr>
          <w:rFonts w:ascii="Arial" w:cs="Arial" w:eastAsia="Arial" w:hAnsi="Arial"/>
          <w:sz w:val="22"/>
          <w:szCs w:val="22"/>
          <w:color w:val="auto"/>
        </w:rPr>
        <w:t>.), as amended and in effect from time to time, and any successor statute.</w:t>
      </w:r>
    </w:p>
    <w:p>
      <w:pPr>
        <w:spacing w:after="0" w:line="17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Competitor</w:t>
      </w:r>
      <w:r>
        <w:rPr>
          <w:rFonts w:ascii="Arial" w:cs="Arial" w:eastAsia="Arial" w:hAnsi="Arial"/>
          <w:sz w:val="19"/>
          <w:szCs w:val="19"/>
          <w:color w:val="auto"/>
        </w:rPr>
        <w:t xml:space="preserve">” shall mean, as of any date, any Person for which a substantial portion of its business is the online loan marketplace business or performance marketing for financial services and who is a competitor of Parent or any of its Subsidiaries, which Person has been identified in writing to the Administrative Agent as a “Competitor” and set forth in that certain letter agreement dated as of the date hereof delivered by the Borrower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after the Closing Date, the Borrower may designate additional similar Persons as “Competitors” for purposes of this definition with the prior written consent of the Administrative Agent, which consent shall not be unreasonably withheld, conditioned or delayed.</w:t>
      </w:r>
    </w:p>
    <w:p>
      <w:pPr>
        <w:spacing w:after="0" w:line="15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shall mean a certificate from the principal executive officer or the principal financial officer of Parent in the form of, and containing the certifications set forth in, the certificate attached hereto as </w:t>
      </w:r>
      <w:r>
        <w:rPr>
          <w:rFonts w:ascii="Arial" w:cs="Arial" w:eastAsia="Arial" w:hAnsi="Arial"/>
          <w:sz w:val="19"/>
          <w:szCs w:val="19"/>
          <w:u w:val="single" w:color="auto"/>
          <w:color w:val="auto"/>
        </w:rPr>
        <w:t>Exhibit 5.1 (c)</w:t>
      </w:r>
      <w:r>
        <w:rPr>
          <w:rFonts w:ascii="Arial" w:cs="Arial" w:eastAsia="Arial" w:hAnsi="Arial"/>
          <w:sz w:val="19"/>
          <w:szCs w:val="19"/>
          <w:color w:val="auto"/>
        </w:rPr>
        <w:t>.</w:t>
      </w:r>
    </w:p>
    <w:p>
      <w:pPr>
        <w:spacing w:after="0" w:line="10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shall mean Other Connection Taxes that are imposed on or measured by net income (however denominated) or that are franchise Taxes or branch profits Taxes.</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shall mean, for Parent and its Subsidiaries for any period, an amount equal to the sum of</w:t>
      </w:r>
    </w:p>
    <w:p>
      <w:pPr>
        <w:spacing w:after="0" w:line="56" w:lineRule="exact"/>
        <w:rPr>
          <w:sz w:val="20"/>
          <w:szCs w:val="20"/>
          <w:color w:val="auto"/>
        </w:rPr>
      </w:pPr>
    </w:p>
    <w:p>
      <w:pPr>
        <w:jc w:val="both"/>
        <w:ind w:firstLine="8"/>
        <w:spacing w:after="0" w:line="281" w:lineRule="auto"/>
        <w:tabs>
          <w:tab w:leader="none" w:pos="287"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to the extent deducted in determining Consolidated Net Income for such period, and without duplication, (A) Consolidated Interest Expense, (B) income tax expense determined on a consolidated basis in accordance with GAAP, (C) depreciation and amortization determined on a consolidated basis in accordance with GAAP, including, without limitation, amortization of intangible assets acquired through Acquisitions, (D) non-cash compensation expenses including, without limitation, non-cash expenses incurred pursuant to any management equity plan, stock option plan or any other stock subscription or shareholder agreement resulting from the grant of stock options or other equity-based incentives to any director, officer or employee of Parent or any of the Subsidiaries or incurred pursuant to other stock-settled obligations, (E) non-cash asset impairment charges (excluding, for the avoidance of doubt, any write-down of accounts receivable or any additions to bad debt expense), (F) losses on sales, dispositions or abandonments of assets, in each case, outside the ordinary course of business,</w:t>
      </w:r>
    </w:p>
    <w:p>
      <w:pPr>
        <w:spacing w:after="0" w:line="7" w:lineRule="exact"/>
        <w:rPr>
          <w:rFonts w:ascii="Arial" w:cs="Arial" w:eastAsia="Arial" w:hAnsi="Arial"/>
          <w:sz w:val="19"/>
          <w:szCs w:val="19"/>
          <w:color w:val="auto"/>
        </w:rPr>
      </w:pPr>
    </w:p>
    <w:p>
      <w:pPr>
        <w:jc w:val="both"/>
        <w:spacing w:after="0" w:line="256" w:lineRule="auto"/>
        <w:rPr>
          <w:rFonts w:ascii="Arial" w:cs="Arial" w:eastAsia="Arial" w:hAnsi="Arial"/>
          <w:sz w:val="19"/>
          <w:szCs w:val="19"/>
          <w:color w:val="auto"/>
        </w:rPr>
      </w:pPr>
      <w:r>
        <w:rPr>
          <w:rFonts w:ascii="Arial" w:cs="Arial" w:eastAsia="Arial" w:hAnsi="Arial"/>
          <w:sz w:val="21"/>
          <w:szCs w:val="21"/>
          <w:color w:val="auto"/>
        </w:rPr>
        <w:t>(G) any non-recurring restructuring, severance and similar charges, costs and expenses (including, without limitation, severance, relocation or lease termination costs and acquisition integration costs) for such period, provided that the amount of charges, costs and expenses added back pursuant to this clause (G) for such period, together with the aggregate amount of all other Capped Adjustments for such period, shall not exceed 15% of Consolidated EBITDA for such period determined prior to giving effect to any addback for any Capped Adjustments, (H) litigation settlements and contingencies and legal fees for certain patent litigation, provided that the amount of charges, costs and expenses added back pursuant to this clause (H) for such period, together with the aggregate amount of all other Capped Adjustments for such period, shall not exceed 15% of Consolidated EBITDA for such period determined prior to giving effect to any addback for any Capped Adjustments, (I) out-of-pocket transaction costs, expenses, and fees (including, without limitation, legal fees and accounting fees) incurred in connection with (1) the drafting, negotiation, and closing of the Loan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57" w:name="page58"/>
    <w:bookmarkEnd w:id="57"/>
    <w:p>
      <w:pPr>
        <w:jc w:val="both"/>
        <w:spacing w:after="0" w:line="285" w:lineRule="auto"/>
        <w:rPr>
          <w:sz w:val="20"/>
          <w:szCs w:val="20"/>
          <w:color w:val="auto"/>
        </w:rPr>
      </w:pPr>
      <w:r>
        <w:rPr>
          <w:rFonts w:ascii="Arial" w:cs="Arial" w:eastAsia="Arial" w:hAnsi="Arial"/>
          <w:sz w:val="19"/>
          <w:szCs w:val="19"/>
          <w:color w:val="auto"/>
        </w:rPr>
        <w:t xml:space="preserve">Documents, including, without, limitation, any amendment or other modification thereto, (2) the drafting, negotiation, and closing of any Acquisition, or (3) the restructuring or reorganization of Parent and its Subsidiaries to the extent such restructuring or reorganization is permitted under the Loan Documents, (J) the amount of customary board, monitoring, consulting or advisory fees, indemnities and related expenses paid or accrued in such period, (K) charges for such period recognized on changes in the fair value of contingent consideration payable by, and non-cash charges for such period recognized on changes in the fair value of the noncontrolling interest in any acquiree acquired by, Parent or any Subsidiary of Parent in any business combination, and (L) other non-recurring charges, costs and expenses for such period (it being understood that items of the type referred to in clause (G) may only be added back pursuant to clause (G) and not this clause (L));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calculating compliance with the financial covenants set forth in Article VI, to the extent that during such period any Loan Party shall have consummated a Permitted Acquisition, or any sale, transfer or other disposition of any Person, business, property or assets, Consolidated EBITDA shall be calculated on a Pro Forma Basis with respect to such Person, business, property or assets so acquired or disposed 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additions to Consolidated EBITDA set forth in the foregoing clauses (A) through (L), as well as any adjustments to Consolidated EBITDA under the Pro Forma Basis definition, will be set forth in a certificate of a Responsible Officer of Parent in form and substance satisfactory to the Administrative Agent. Notwithstanding the foregoing, for the following Fiscal Quarters, Consolidated EBITDA will be deemed to be as follows: for the Fiscal Quarter ended on September 30, 2014, $5,791,000, for the Fiscal Quarter ended on December 31, 2014, $6,035,000, for the Fiscal Quarter ended on March 31, 2015, $8,936,000, and for the Fiscal Quarter ended on June 30, 2015, $8,902,000.</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xml:space="preserve">” shall mean, for Parent and its Subsidiaries for any period, determined on a consolidated basis in accordance with GAAP, the sum of (i) total interest expense, including, without limitation, the interest component of any payments in respect of Capital Lease Obligations, capitalized or expensed during such period (whether or not actually paid during such period)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the net amount payable (or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the net amount receivable) with respect to Hedging Transactions during such period (whether or not actually paid or received during such period).</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Leverage Ratio</w:t>
      </w:r>
      <w:r>
        <w:rPr>
          <w:rFonts w:ascii="Arial" w:cs="Arial" w:eastAsia="Arial" w:hAnsi="Arial"/>
          <w:sz w:val="22"/>
          <w:szCs w:val="22"/>
          <w:color w:val="auto"/>
        </w:rPr>
        <w:t>” shall mean, as of any date, the ratio of (i) Consolidated Total Funded Debt as of such date to (ii) Consolidated EBITDA for the four consecutive Fiscal Quarters ending on such date.</w:t>
      </w:r>
    </w:p>
    <w:p>
      <w:pPr>
        <w:spacing w:after="0" w:line="17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shall mean, for Parent and its Subsidiaries for any period, the net income (or loss) of Parent and its Subsidiaries for such period determined on a consolidated basis in accordance with GAAP, but excluding therefrom (to the extent otherwise included therein) (i) any extraordinary gains or losses, (ii) income or loss from discontinued operations,</w:t>
      </w:r>
    </w:p>
    <w:p>
      <w:pPr>
        <w:spacing w:after="0" w:line="1" w:lineRule="exact"/>
        <w:rPr>
          <w:sz w:val="20"/>
          <w:szCs w:val="20"/>
          <w:color w:val="auto"/>
        </w:rPr>
      </w:pPr>
    </w:p>
    <w:p>
      <w:pPr>
        <w:jc w:val="both"/>
        <w:ind w:firstLine="8"/>
        <w:spacing w:after="0" w:line="258" w:lineRule="auto"/>
        <w:tabs>
          <w:tab w:leader="none" w:pos="402" w:val="left"/>
        </w:tabs>
        <w:numPr>
          <w:ilvl w:val="0"/>
          <w:numId w:val="29"/>
        </w:numPr>
        <w:rPr>
          <w:rFonts w:ascii="Arial" w:cs="Arial" w:eastAsia="Arial" w:hAnsi="Arial"/>
          <w:sz w:val="21"/>
          <w:szCs w:val="21"/>
          <w:color w:val="auto"/>
        </w:rPr>
      </w:pPr>
      <w:r>
        <w:rPr>
          <w:rFonts w:ascii="Arial" w:cs="Arial" w:eastAsia="Arial" w:hAnsi="Arial"/>
          <w:sz w:val="21"/>
          <w:szCs w:val="21"/>
          <w:color w:val="auto"/>
        </w:rPr>
        <w:t>any gains attributable to write-ups of assets or the sale of assets (other than the sale of inventory in the ordinary course of business), (iv) any equity interest of Parent or any Subsidiary of Parent in the unremitted earnings of any Person that is not a Subsidiary, (v) any income (or loss) of any Person accrued prior to the date it becomes a Subsidiary or is merged into or consolidated with Parent or any Subsidiary or the date that such Person’s assets are acquired by Parent or any Subsidiary and (vi) any income (or loss) from the early extinguishment or modification of debt.</w:t>
      </w:r>
    </w:p>
    <w:p>
      <w:pPr>
        <w:spacing w:after="0" w:line="18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Revenues</w:t>
      </w:r>
      <w:r>
        <w:rPr>
          <w:rFonts w:ascii="Arial" w:cs="Arial" w:eastAsia="Arial" w:hAnsi="Arial"/>
          <w:sz w:val="22"/>
          <w:szCs w:val="22"/>
          <w:color w:val="auto"/>
        </w:rPr>
        <w:t>” shall mean, for any period, the aggregate revenues of Parent and the Subsidiaries, determined on a consolidated basis in accordance with GAAP.</w:t>
      </w:r>
    </w:p>
    <w:p>
      <w:pPr>
        <w:spacing w:after="0" w:line="175" w:lineRule="exact"/>
        <w:rPr>
          <w:sz w:val="20"/>
          <w:szCs w:val="20"/>
          <w:color w:val="auto"/>
        </w:rPr>
      </w:pPr>
    </w:p>
    <w:p>
      <w:pPr>
        <w:ind w:right="2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shall mean, at any time, the consolidated total assets of Parent and its Subsidiaries, as such amount would appear on a consolidated balance sheet of Parent prepared as of such date in accordance with GAAP.</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2" w:right="239" w:bottom="1440" w:gutter="0" w:footer="0" w:header="0"/>
        </w:sectPr>
      </w:pPr>
    </w:p>
    <w:bookmarkStart w:id="58" w:name="page59"/>
    <w:bookmarkEnd w:id="58"/>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Funded Debt</w:t>
      </w:r>
      <w:r>
        <w:rPr>
          <w:rFonts w:ascii="Arial" w:cs="Arial" w:eastAsia="Arial" w:hAnsi="Arial"/>
          <w:sz w:val="22"/>
          <w:szCs w:val="22"/>
          <w:color w:val="auto"/>
        </w:rPr>
        <w:t>” shall mean, as of any date, all Indebtedness of Parent and its Subsidiaries described in clauses (i), (ii), (v) and (vi) of the definition of Indebtedness herein (excluding any intercompany Indebtedness), measured on a consolidated basis as of such date.</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of any Person shall mean any provision of any security issued by such Person or of any agreement, instrument or undertaking under which such Person is obligated or by which it or any of the property in which it has an interest is bound.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Account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5.11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w:t>
      </w:r>
      <w:r>
        <w:rPr>
          <w:rFonts w:ascii="Arial" w:cs="Arial" w:eastAsia="Arial" w:hAnsi="Arial"/>
          <w:sz w:val="22"/>
          <w:szCs w:val="22"/>
          <w:color w:val="auto"/>
        </w:rPr>
        <w:t>” shall have the meaning assigned to such term in the Guaranty and Security Agreement.</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Security Agreement</w:t>
      </w:r>
      <w:r>
        <w:rPr>
          <w:rFonts w:ascii="Arial" w:cs="Arial" w:eastAsia="Arial" w:hAnsi="Arial"/>
          <w:sz w:val="22"/>
          <w:szCs w:val="22"/>
          <w:color w:val="auto"/>
        </w:rPr>
        <w:t>” shall mean any Copyright Security Agreement executed by a Loan Party owning registered Copyrights or applications for Copyrights in favor of the Administrative Agent for the benefit of the Secured Parties, both on the Closing Date and thereafter.</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Current Assets</w:t>
      </w:r>
      <w:r>
        <w:rPr>
          <w:rFonts w:ascii="Arial" w:cs="Arial" w:eastAsia="Arial" w:hAnsi="Arial"/>
          <w:sz w:val="21"/>
          <w:szCs w:val="21"/>
          <w:color w:val="auto"/>
        </w:rPr>
        <w:t>” shall mean all current assets of Parent and its Subsidiaries as of any date of determination calculated in accordance with GAAP, but excluding cash, cash equivalents and debts due from Affiliates.</w:t>
      </w:r>
    </w:p>
    <w:p>
      <w:pPr>
        <w:spacing w:after="0" w:line="152"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Liabilities</w:t>
      </w:r>
      <w:r>
        <w:rPr>
          <w:rFonts w:ascii="Arial" w:cs="Arial" w:eastAsia="Arial" w:hAnsi="Arial"/>
          <w:sz w:val="22"/>
          <w:szCs w:val="22"/>
          <w:color w:val="auto"/>
        </w:rPr>
        <w:t>” shall mean all liabilities of Parent and its Subsidiaries that should, in accordance with GAAP, be classified as current liabilities as of any date of determination, and in any event including all Indebtedness payable on demand or within one year from such date of determination without any option on the part of the obligor to extend or renew beyond such year and all accruals for federal or other taxes based on or measured by income and payable within such year, but excluding the current portion of long-term debt required to be paid within one year and the aggregate outstanding principal balance of the Revolving Loans and the Swingline Loans.</w:t>
      </w:r>
    </w:p>
    <w:p>
      <w:pPr>
        <w:spacing w:after="0" w:line="19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34"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shall mean any condition or event that, with the giving of notice or the lapse of time or both, would constitute an Event of Default.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Interest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2.13(c</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Defaulting Lender</w:t>
      </w:r>
      <w:r>
        <w:rPr>
          <w:rFonts w:ascii="Arial" w:cs="Arial" w:eastAsia="Arial" w:hAnsi="Arial"/>
          <w:sz w:val="21"/>
          <w:szCs w:val="21"/>
          <w:color w:val="auto"/>
        </w:rPr>
        <w:t xml:space="preserve">” shall mean, subject to </w:t>
      </w:r>
      <w:r>
        <w:rPr>
          <w:rFonts w:ascii="Arial" w:cs="Arial" w:eastAsia="Arial" w:hAnsi="Arial"/>
          <w:sz w:val="21"/>
          <w:szCs w:val="21"/>
          <w:u w:val="single" w:color="auto"/>
          <w:color w:val="auto"/>
        </w:rPr>
        <w:t>Section 2.26(c)</w:t>
      </w:r>
      <w:r>
        <w:rPr>
          <w:rFonts w:ascii="Arial" w:cs="Arial" w:eastAsia="Arial" w:hAnsi="Arial"/>
          <w:sz w:val="21"/>
          <w:szCs w:val="21"/>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any Swingline Lender or any other Lender any other amount required to be paid by it hereunder (including in respect of its participation in Letters of Credit or Swingline Loans) within two (2) Business Days of the date when due, (b) has notified the Borrower, the Administrative Agent or any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59" w:name="page60"/>
    <w:bookmarkEnd w:id="59"/>
    <w:p>
      <w:pPr>
        <w:jc w:val="both"/>
        <w:spacing w:after="0" w:line="285" w:lineRule="auto"/>
        <w:rPr>
          <w:sz w:val="20"/>
          <w:szCs w:val="20"/>
          <w:color w:val="auto"/>
        </w:rPr>
      </w:pPr>
      <w:r>
        <w:rPr>
          <w:rFonts w:ascii="Arial" w:cs="Arial" w:eastAsia="Arial" w:hAnsi="Arial"/>
          <w:sz w:val="19"/>
          <w:szCs w:val="19"/>
          <w:color w:val="auto"/>
        </w:rPr>
        <w:t>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2.26(b)) upon delivery of written notice of such determination to the Borrower, each Issuing Bank, each Swingline Lender and each Lender.</w:t>
      </w:r>
    </w:p>
    <w:p>
      <w:pPr>
        <w:spacing w:after="0" w:line="17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Capital Stock</w:t>
      </w:r>
      <w:r>
        <w:rPr>
          <w:rFonts w:ascii="Arial" w:cs="Arial" w:eastAsia="Arial" w:hAnsi="Arial"/>
          <w:sz w:val="19"/>
          <w:szCs w:val="19"/>
          <w:color w:val="auto"/>
        </w:rPr>
        <w:t>” shall mean, with respect to any Person, any Capital Stock that by its terms (or by the terms of any other Capital Stock into which it is convertible or exchangeable) or otherwise (i) matures (other than as a result of a voluntary redemption or repurchase by the issuer of such Capital Stock) or is subject to mandatory redemption or repurchase (other than solely for Capital Stock that is not Disqualified Capital Stock) pursuant to a sinking fund obligation or otherwise; or (ii) is convertible into or exchangeable or exercisable for Indebtedness or any Disqualified Capital Stock at the option of the holder thereof; or (iii) may be required to be redeemed or repurchased at the option of the holder thereof (other than solely for Capital Stock that is not Disqualified Capital Stock), in whole or in part, in each case specified in (i), (ii) or (iii) above on or prior to the date that is ninety one days after the Maturity Date; or (d) provides for scheduled payments of dividends to be made in cash.</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Institution</w:t>
      </w:r>
      <w:r>
        <w:rPr>
          <w:rFonts w:ascii="Arial" w:cs="Arial" w:eastAsia="Arial" w:hAnsi="Arial"/>
          <w:sz w:val="22"/>
          <w:szCs w:val="22"/>
          <w:color w:val="auto"/>
        </w:rPr>
        <w:t>” shall mean (a) any Disqualified Lender and (b) any Competitor.</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Lender</w:t>
      </w:r>
      <w:r>
        <w:rPr>
          <w:rFonts w:ascii="Arial" w:cs="Arial" w:eastAsia="Arial" w:hAnsi="Arial"/>
          <w:sz w:val="22"/>
          <w:szCs w:val="22"/>
          <w:color w:val="auto"/>
        </w:rPr>
        <w:t>” shall mean each Person previously identified in writing to the Administrative Agent and set forth in that certain letter agreement dated as of the date hereof delivered by the Borrower to the Administrative Agent, and each of such Person’s Affiliates.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the sign “</w:t>
      </w:r>
      <w:r>
        <w:rPr>
          <w:rFonts w:ascii="Arial" w:cs="Arial" w:eastAsia="Arial" w:hAnsi="Arial"/>
          <w:sz w:val="22"/>
          <w:szCs w:val="22"/>
          <w:u w:val="single" w:color="auto"/>
          <w:color w:val="auto"/>
        </w:rPr>
        <w:t>$</w:t>
      </w:r>
      <w:r>
        <w:rPr>
          <w:rFonts w:ascii="Arial" w:cs="Arial" w:eastAsia="Arial" w:hAnsi="Arial"/>
          <w:sz w:val="22"/>
          <w:szCs w:val="22"/>
          <w:color w:val="auto"/>
        </w:rPr>
        <w:t>” shall mean lawful money of the United States.</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shall mean each Subsidiary of Parent that is organized under the laws of the United States or any state or district thereof.</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shall mean all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Liability</w:t>
      </w:r>
      <w:r>
        <w:rPr>
          <w:rFonts w:ascii="Arial" w:cs="Arial" w:eastAsia="Arial" w:hAnsi="Arial"/>
          <w:sz w:val="22"/>
          <w:szCs w:val="22"/>
          <w:color w:val="auto"/>
        </w:rPr>
        <w:t>” shall mean any liability, contingent or otherwise (including any liability for damages, costs of environmental investigation and remediation, costs of administrative oversight, fines, natural resource damages, penalties or indemnities), of Parent or any of its Subsidiaries directly or indirectly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60" w:name="page61"/>
    <w:bookmarkEnd w:id="60"/>
    <w:p>
      <w:pPr>
        <w:jc w:val="both"/>
        <w:spacing w:after="0" w:line="265" w:lineRule="auto"/>
        <w:rPr>
          <w:sz w:val="20"/>
          <w:szCs w:val="20"/>
          <w:color w:val="auto"/>
        </w:rPr>
      </w:pPr>
      <w:r>
        <w:rPr>
          <w:rFonts w:ascii="Arial" w:cs="Arial" w:eastAsia="Arial" w:hAnsi="Arial"/>
          <w:sz w:val="21"/>
          <w:szCs w:val="21"/>
          <w:color w:val="auto"/>
        </w:rPr>
        <w:t>resulting from or based upon (i) any actual or alleged violation of any Environmental Law, (ii) the generation, use, handling, transportation, storage, treatment or disposal of any Hazardous Materials, (iii) any actual or alleged exposure to any Hazardous Materials, (iv) the Release or threatened Release of any Hazardous Materials or (v) any contract, agreement or other consensual arrangement pursuant to which liability is assumed or imposed with respect to any of the foregoing.</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mean the Employee Retirement Income Secu-rity Act of 1974, as amended from time to time, and any successor statute and the regulations promulgated and rulings issued thereunder.</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shall mean any person that for purposes of Title I or Title IV of ERISA or Section 412 of the Code would be deemed at any relevant time to be a “single employer” or otherwise aggregated with Parent or any of its Subsidiaries under Section 414(b), (c), (m) or (o) of the Code or Section 4001 of ERISA.</w:t>
      </w:r>
    </w:p>
    <w:p>
      <w:pPr>
        <w:spacing w:after="0" w:line="18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shall mean (i) any “reportable event” as defined in Section 4043 of ERISA with respect to a Plan (other than an event as to which the PBGC has waived under subsection .22, .23, .25, .27 or .28 of PBGC Regulation Section 4043 the requirement of Section 4043(a) of ERISA that it be notified of such event); (ii) any failure to make a required contribution to any Plan that would result in the imposition of a lien or other encumbrance or the provision of security under Section 430 of the Code or Section 303 or 4068 of ERISA, or the arising of such a lien or encumbrance, there being or arising any “unpaid minimum required contribution” or “accumulated funding deficiency” (as defined or otherwise set forth in Section 4971 of the Code or Part 3 of Subtitle B of Title 1 of ERISA), whether or not waived, or any filing of any request for or receipt of a minimum funding waiver under Section 412 of the Code or Section 303 of ERISA with respect to any Plan or Multiemployer Plan, or that such filing may be made, or any determination that any Plan is, or is expected to be, in at-risk status under Title IV of ERISA; (iii) any incurrence by Parent, any of its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Parent, any of its Subsidiaries or any of their respective ERISA Affiliates of any liability with respect to the withdrawal or partial withdrawal from any Plan or Multiemployer Plan, or the receipt by Parent, any of its Subsidiaries or any of their respective ERISA Affiliates of any notice that a Multiemployer Plan is in endangered or critical status under Section 305 of ERISA; (vi) any receipt by Parent, any of its Subsidiaries or any of their respective ERISA Affiliates of any notice, or any receipt by any Multiemployer Plan from Parent, any of its Subsidiaries or any of their respective ERISA Affiliates of any notice, concerning the imposition of Withdrawal Liability or a determination that a Multiemployer Plan is, or is expected to be, insolvent or in reorganization, within the meaning of Title IV of ERISA; (vii) engaging in a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spacing w:after="0" w:line="200" w:lineRule="exact"/>
        <w:rPr>
          <w:sz w:val="20"/>
          <w:szCs w:val="20"/>
          <w:color w:val="auto"/>
        </w:rPr>
      </w:pPr>
    </w:p>
    <w:p>
      <w:pPr>
        <w:spacing w:after="0" w:line="228"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w:t>
      </w:r>
      <w:r>
        <w:rPr>
          <w:rFonts w:ascii="Arial" w:cs="Arial" w:eastAsia="Arial" w:hAnsi="Arial"/>
          <w:sz w:val="22"/>
          <w:szCs w:val="22"/>
          <w:color w:val="auto"/>
        </w:rPr>
        <w:t>”, when used in reference to any Loan or Borrowing, refers to whether such Loan, or the Loans comprising such Borrowing, bears interest at a rate determined by reference to the Adjusted LIBO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w:t>
      </w:r>
      <w:r>
        <w:rPr>
          <w:rFonts w:ascii="Arial" w:cs="Arial" w:eastAsia="Arial" w:hAnsi="Arial"/>
          <w:sz w:val="22"/>
          <w:szCs w:val="22"/>
          <w:color w:val="auto"/>
        </w:rPr>
        <w:t xml:space="preserve">” shall mean, without duplication, with respect to any Fiscal Year of Parent and its Subsidiaries, Consolidated Net Income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 depreciation, amortization, income taxes and Consolidated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61" w:name="page62"/>
    <w:bookmarkEnd w:id="61"/>
    <w:p>
      <w:pPr>
        <w:jc w:val="both"/>
        <w:spacing w:after="0" w:line="287" w:lineRule="auto"/>
        <w:rPr>
          <w:sz w:val="20"/>
          <w:szCs w:val="20"/>
          <w:color w:val="auto"/>
        </w:rPr>
      </w:pPr>
      <w:r>
        <w:rPr>
          <w:rFonts w:ascii="Arial" w:cs="Arial" w:eastAsia="Arial" w:hAnsi="Arial"/>
          <w:sz w:val="19"/>
          <w:szCs w:val="19"/>
          <w:color w:val="auto"/>
        </w:rPr>
        <w:t xml:space="preserve">Interest Expense to the extent deducted in determining Consolidated Net Income,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decreases or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increases (as the case may be) in (b) Working Capital,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Unfinanced Cash Capital Expenditures during such Fiscal Year,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 interest expense paid in cash and scheduled principal payments paid in cash in respect of Consolidated Total Funded Debt (excluding prepayments of Revolving Loans and Swingline Loans),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(e) voluntary prepayments of any Incremental Term Loans pursuant hereto and, solely to the extent accompanied by a permanent reduction in the Aggregate Revolving Commitments in accordance with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voluntary prepayments of the Revolving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 the case of gains) or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(in the case of losses) (f) extraordinary gains or losses which are cash items not included in the calculation of Consolidated Net Income,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(g) income taxes paid in cash, except to the extent such income taxes were deducted from Excess Cash Flow for a prior fiscal period as a reserve,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(h) Acquisitions, Restricted Payments, and Investments (other than an Investment in cash or cash equivalents), in each case, that are permitted hereunder and made in cash during such Fiscal Year by Parent and its Subsidiaries except to the extent that such Acquisitions, Restricted Payments, and Investments were financed with the proceeds of Indebtedness (other than Revolving Loans) or the proceeds of equity issuances.</w:t>
      </w:r>
    </w:p>
    <w:p>
      <w:pPr>
        <w:spacing w:after="0" w:line="200" w:lineRule="exact"/>
        <w:rPr>
          <w:sz w:val="20"/>
          <w:szCs w:val="20"/>
          <w:color w:val="auto"/>
        </w:r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shall mean the Securities Exchange Act of 1934, as amended and in effect from time to time.</w:t>
      </w:r>
    </w:p>
    <w:p>
      <w:pPr>
        <w:spacing w:after="0" w:line="23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Accounts</w:t>
      </w:r>
      <w:r>
        <w:rPr>
          <w:rFonts w:ascii="Arial" w:cs="Arial" w:eastAsia="Arial" w:hAnsi="Arial"/>
          <w:sz w:val="21"/>
          <w:szCs w:val="21"/>
          <w:color w:val="auto"/>
        </w:rPr>
        <w:t xml:space="preserve">” shall mean any deposit, commodities or securities account (a) that is used for payroll, payroll taxes and other employee wage and benefit payments; (b) that is a trust, fiduciary, escrow or tax payment account; (c) that is used solely for deposits expressly permitted under </w:t>
      </w:r>
      <w:r>
        <w:rPr>
          <w:rFonts w:ascii="Arial" w:cs="Arial" w:eastAsia="Arial" w:hAnsi="Arial"/>
          <w:sz w:val="21"/>
          <w:szCs w:val="21"/>
          <w:u w:val="single" w:color="auto"/>
          <w:color w:val="auto"/>
        </w:rPr>
        <w:t>Section 7.2(m)</w:t>
      </w:r>
      <w:r>
        <w:rPr>
          <w:rFonts w:ascii="Arial" w:cs="Arial" w:eastAsia="Arial" w:hAnsi="Arial"/>
          <w:sz w:val="21"/>
          <w:szCs w:val="21"/>
          <w:color w:val="auto"/>
        </w:rPr>
        <w:t>, (d) that is a deposit account subject to a zero balance cash sweep into a deposit account subject to a control agreement; or (e) any other accounts of the Loan Parties which do not at any time have cash, investment property, or other amounts, including Cash Equivalents, on deposit therein in excess of $250,000, individually, or $2,000,000 in the aggregate for all such accounts.</w:t>
      </w:r>
    </w:p>
    <w:p>
      <w:pPr>
        <w:spacing w:after="0" w:line="18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2.25) or (ii) such Lender changes its lending office, except in each case to the extent that, pursuant to Section 2.20, amounts with respect to such Taxes were payable either to such Lender’s assignor immediately before such Lender became a party hereto or to such Lender immediately before it changed its lending office, (c) Taxes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75" w:right="239" w:bottom="1440" w:gutter="0" w:footer="0" w:header="0"/>
        </w:sectPr>
      </w:pPr>
    </w:p>
    <w:bookmarkStart w:id="62" w:name="page63"/>
    <w:bookmarkEnd w:id="62"/>
    <w:p>
      <w:pPr>
        <w:ind w:right="20"/>
        <w:spacing w:after="0" w:line="263" w:lineRule="auto"/>
        <w:rPr>
          <w:sz w:val="20"/>
          <w:szCs w:val="20"/>
          <w:color w:val="auto"/>
        </w:rPr>
      </w:pPr>
      <w:r>
        <w:rPr>
          <w:rFonts w:ascii="Arial" w:cs="Arial" w:eastAsia="Arial" w:hAnsi="Arial"/>
          <w:sz w:val="22"/>
          <w:szCs w:val="22"/>
          <w:color w:val="auto"/>
        </w:rPr>
        <w:t>attributable to such Recipient’s failure to comply with Section 2.20 and (d) any U.S. federal withholding Taxes imposed under FATCA.</w:t>
      </w:r>
    </w:p>
    <w:p>
      <w:pPr>
        <w:spacing w:after="0" w:line="17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34"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shall mean, for any day,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(rounded upwards, if necessary, to the next 1/100 of 1%) equal to the weighted average of the rates on overnight Federal funds transactions with member banks of the Federal Reserve System arranged by Federal funds brokers,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15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shall mean that certain fee letter, dated as of September 17, 2015, executed by SunTrust Robinson Humphrey, Inc. and SunTrust Bank and accepted by the Borrower.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shall mean any fiscal quarter of Parent.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shall mean any fiscal year of Parent.</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shall mean,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w:t>
      </w:r>
    </w:p>
    <w:p>
      <w:pPr>
        <w:spacing w:after="0" w:line="1" w:lineRule="exact"/>
        <w:rPr>
          <w:sz w:val="20"/>
          <w:szCs w:val="20"/>
          <w:color w:val="auto"/>
        </w:rPr>
      </w:pPr>
    </w:p>
    <w:p>
      <w:pPr>
        <w:jc w:val="both"/>
        <w:ind w:firstLine="8"/>
        <w:spacing w:after="0" w:line="245" w:lineRule="auto"/>
        <w:tabs>
          <w:tab w:leader="none" w:pos="381"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Flood Insurance Reform Act of 2004 as now or hereafter in effect of any successor statute thereto, in each case, together with all statutory and regulatory provisions consolidating, amending, replacing, supplementing, implementing or interpreting any of the foregoing, as amended or modified from time to time.</w:t>
      </w:r>
    </w:p>
    <w:p>
      <w:pPr>
        <w:spacing w:after="0" w:line="19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shall mean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Person</w:t>
      </w:r>
      <w:r>
        <w:rPr>
          <w:rFonts w:ascii="Arial" w:cs="Arial" w:eastAsia="Arial" w:hAnsi="Arial"/>
          <w:sz w:val="22"/>
          <w:szCs w:val="22"/>
          <w:color w:val="auto"/>
        </w:rPr>
        <w:t>” shall mean any Person that is not a U.S. Person.</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shall mean each Subsidiary of Parent that is organized under the laws of a jurisdiction other than one of the fifty states of the United States or the District of Columbia.</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shall mean generally accepted accounting prin-ciples in the United States applied on a consistent basis and subject to the terms of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shall mean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of or by any Person (the “</w:t>
      </w:r>
      <w:r>
        <w:rPr>
          <w:rFonts w:ascii="Arial" w:cs="Arial" w:eastAsia="Arial" w:hAnsi="Arial"/>
          <w:sz w:val="22"/>
          <w:szCs w:val="22"/>
          <w:u w:val="single" w:color="auto"/>
          <w:color w:val="auto"/>
        </w:rPr>
        <w:t>guarantor</w:t>
      </w:r>
      <w:r>
        <w:rPr>
          <w:rFonts w:ascii="Arial" w:cs="Arial" w:eastAsia="Arial" w:hAnsi="Arial"/>
          <w:sz w:val="22"/>
          <w:szCs w:val="22"/>
          <w:color w:val="auto"/>
        </w:rPr>
        <w:t>”) shall mean any obligation, contingent or otherwise, of the guarantor guaranteeing or having the economic effect of guaranteeing any Indebtedness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5" w:right="239" w:bottom="1440" w:gutter="0" w:footer="0" w:header="0"/>
        </w:sectPr>
      </w:pPr>
    </w:p>
    <w:bookmarkStart w:id="63" w:name="page64"/>
    <w:bookmarkEnd w:id="63"/>
    <w:p>
      <w:pPr>
        <w:jc w:val="both"/>
        <w:spacing w:after="0" w:line="287" w:lineRule="auto"/>
        <w:rPr>
          <w:sz w:val="20"/>
          <w:szCs w:val="20"/>
          <w:color w:val="auto"/>
        </w:rPr>
      </w:pPr>
      <w:r>
        <w:rPr>
          <w:rFonts w:ascii="Arial" w:cs="Arial" w:eastAsia="Arial" w:hAnsi="Arial"/>
          <w:sz w:val="19"/>
          <w:szCs w:val="19"/>
          <w:color w:val="auto"/>
        </w:rPr>
        <w:t>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spacing w:after="0" w:line="200" w:lineRule="exact"/>
        <w:rPr>
          <w:sz w:val="20"/>
          <w:szCs w:val="20"/>
          <w:color w:val="auto"/>
        </w:r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shall mean Parent and each of the Subsidiary Loan Parties.</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 and Security Agreement</w:t>
      </w:r>
      <w:r>
        <w:rPr>
          <w:rFonts w:ascii="Arial" w:cs="Arial" w:eastAsia="Arial" w:hAnsi="Arial"/>
          <w:sz w:val="22"/>
          <w:szCs w:val="22"/>
          <w:color w:val="auto"/>
        </w:rPr>
        <w:t xml:space="preserve">” shall mean the Guaranty and Security Agreement, dated as of the date hereof and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made by the Loan Parties in favor of the Administrative Agent for the benefit of the Secured Parties.</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spacing w:after="0" w:line="143"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Termination Value</w:t>
      </w:r>
      <w:r>
        <w:rPr>
          <w:rFonts w:ascii="Arial" w:cs="Arial" w:eastAsia="Arial" w:hAnsi="Arial"/>
          <w:sz w:val="19"/>
          <w:szCs w:val="19"/>
          <w:color w:val="auto"/>
        </w:rPr>
        <w:t>” shall mean, in respect of any one or more Hedge Transactions, after taking into account the effect of any legally enforceable netting agreement relating to such Hedge Transactions, (a) for any date on or after the date such Hedge Transactions have been closed out and termination value(s) determined in accordance therewith, such termination value(s) and (b) for any date prior to the date referenced in clause (a), the amount(s) determined as the mark-to-market value(s) for such Hedge Transactions, as determined based upon one or more mid-market or other readily available quotations provided by any recognized dealer in such Hedge Transactions (which may include a Lender or any Affiliate of a Lender).</w:t>
      </w:r>
    </w:p>
    <w:p>
      <w:pPr>
        <w:spacing w:after="0" w:line="15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Transaction</w:t>
      </w:r>
      <w:r>
        <w:rPr>
          <w:rFonts w:ascii="Arial" w:cs="Arial" w:eastAsia="Arial" w:hAnsi="Arial"/>
          <w:sz w:val="19"/>
          <w:szCs w:val="19"/>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75" w:right="23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22"/>
          <w:szCs w:val="22"/>
          <w:color w:val="auto"/>
        </w:rPr>
        <w:t>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2"/>
          <w:szCs w:val="22"/>
          <w:u w:val="single" w:color="auto"/>
          <w:color w:val="auto"/>
        </w:rPr>
        <w:t>Master Agreement</w:t>
      </w:r>
      <w:r>
        <w:rPr>
          <w:rFonts w:ascii="Arial" w:cs="Arial" w:eastAsia="Arial" w:hAnsi="Arial"/>
          <w:sz w:val="22"/>
          <w:szCs w:val="22"/>
          <w:color w:val="auto"/>
        </w:rPr>
        <w:t>”), including any such obligations or liabilities under any Master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Commitment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or services (other than trade payables incurred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w:t>
      </w:r>
      <w:r>
        <w:rPr>
          <w:rFonts w:ascii="Arial" w:cs="Arial" w:eastAsia="Arial" w:hAnsi="Arial"/>
          <w:sz w:val="19"/>
          <w:szCs w:val="19"/>
          <w:u w:val="single" w:color="auto"/>
          <w:color w:val="auto"/>
        </w:rPr>
        <w:t>Section 8.1(g)</w:t>
      </w:r>
      <w:r>
        <w:rPr>
          <w:rFonts w:ascii="Arial" w:cs="Arial" w:eastAsia="Arial" w:hAnsi="Arial"/>
          <w:sz w:val="19"/>
          <w:szCs w:val="19"/>
          <w:color w:val="auto"/>
        </w:rPr>
        <w:t>, trade payables overdue by more than 120 days shall be included in this definition except to the extent that any of such trade payables are being disputed in good faith and by appropriate measures),</w:t>
      </w:r>
    </w:p>
    <w:p>
      <w:pPr>
        <w:spacing w:after="0" w:line="4" w:lineRule="exact"/>
        <w:rPr>
          <w:sz w:val="20"/>
          <w:szCs w:val="20"/>
          <w:color w:val="auto"/>
        </w:rPr>
      </w:pPr>
    </w:p>
    <w:p>
      <w:pPr>
        <w:jc w:val="both"/>
        <w:ind w:firstLine="8"/>
        <w:spacing w:after="0" w:line="256" w:lineRule="auto"/>
        <w:tabs>
          <w:tab w:leader="none" w:pos="379" w:val="left"/>
        </w:tabs>
        <w:numPr>
          <w:ilvl w:val="0"/>
          <w:numId w:val="31"/>
        </w:numPr>
        <w:rPr>
          <w:rFonts w:ascii="Arial" w:cs="Arial" w:eastAsia="Arial" w:hAnsi="Arial"/>
          <w:sz w:val="21"/>
          <w:szCs w:val="21"/>
          <w:color w:val="auto"/>
        </w:rPr>
      </w:pPr>
      <w:r>
        <w:rPr>
          <w:rFonts w:ascii="Arial" w:cs="Arial" w:eastAsia="Arial" w:hAnsi="Arial"/>
          <w:sz w:val="21"/>
          <w:szCs w:val="21"/>
          <w:color w:val="auto"/>
        </w:rPr>
        <w:t>all obligations of such Person under any conditional sale or other title retention agreement(s) relating to property acquired by such Person, (v) all Capital Lease Obligations of such Person, (vi) all obligations, contingent or otherwise, of such Person in respect of letters of credit, acceptances or similar extensions of credit, (vii) all Guarantees of such Person of the type of Indebtedness described in clauses (i) through (vi) above, (viii) all Indebtedness of a third party secured by any Lien on property owned by such Person, whether or not such Indebtedness has been assumed by such Person, (ix) all obligations of such Person, contingent or otherwise, to purchase, redeem, retire or otherwise acquire for value any Capital Stock of such Person, (x) all Off-Balance Sheet Liabilities and (xi) all Hedging Obligations. For purposes of determining the amount of attributed Indebtedness from Hedging Obligations, the “principal amount” of any Hedging Obligations at any time shall be the Hedge Termination Value of such Hedging Obligations. The Indebtedness of any Person shall include the Indebtedness of any partnership or joint venture in which such Person is a general partner or a joint venturer, except to the extent that the terms of such Indebtedness provide that such Person is not liable therefor.</w:t>
      </w:r>
    </w:p>
    <w:p>
      <w:pPr>
        <w:spacing w:after="0" w:line="18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shall mean (a) Taxes other than Excluded Taxes, imposed on or with respect to any payment made by or on account of any obligation of any Loan Party under any Loan Document and (b) to the extent not otherwise described in (a), Other Taxes.</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 and Collateral Disclosure Certificate</w:t>
      </w:r>
      <w:r>
        <w:rPr>
          <w:rFonts w:ascii="Arial" w:cs="Arial" w:eastAsia="Arial" w:hAnsi="Arial"/>
          <w:sz w:val="22"/>
          <w:szCs w:val="22"/>
          <w:color w:val="auto"/>
        </w:rPr>
        <w:t>” shall have the meaning assigned to such term in the Guaranty and Security Agreement.</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Coverage Ratio</w:t>
      </w:r>
      <w:r>
        <w:rPr>
          <w:rFonts w:ascii="Arial" w:cs="Arial" w:eastAsia="Arial" w:hAnsi="Arial"/>
          <w:sz w:val="21"/>
          <w:szCs w:val="21"/>
          <w:color w:val="auto"/>
        </w:rPr>
        <w:t>” shall mean, as of any date, the ratio of (a) Consolidated EBITDA to (b) Consolidated Interest Expense, in each case measured for the four (4) consecutive Fiscal Quarters ending on such date.</w:t>
      </w:r>
    </w:p>
    <w:p>
      <w:pPr>
        <w:spacing w:after="0" w:line="15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shall mean with respect to any Eurodollar Borrowing, a period of one, two, three or six months, or to the extent agreed by each Lender of such Eurodollar Borrowing, nine or twelve months;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75" w:lineRule="exact"/>
        <w:rPr>
          <w:sz w:val="20"/>
          <w:szCs w:val="20"/>
          <w:color w:val="auto"/>
        </w:rPr>
      </w:pPr>
    </w:p>
    <w:p>
      <w:pPr>
        <w:jc w:val="both"/>
        <w:ind w:left="1300" w:firstLine="1301"/>
        <w:spacing w:after="0" w:line="254" w:lineRule="auto"/>
        <w:tabs>
          <w:tab w:leader="none" w:pos="3415" w:val="left"/>
        </w:tabs>
        <w:numPr>
          <w:ilvl w:val="0"/>
          <w:numId w:val="32"/>
        </w:numPr>
        <w:rPr>
          <w:rFonts w:ascii="Arial" w:cs="Arial" w:eastAsia="Arial" w:hAnsi="Arial"/>
          <w:sz w:val="18"/>
          <w:szCs w:val="18"/>
          <w:color w:val="auto"/>
        </w:rPr>
      </w:pPr>
      <w:r>
        <w:rPr>
          <w:rFonts w:ascii="Arial" w:cs="Arial" w:eastAsia="Arial" w:hAnsi="Arial"/>
          <w:sz w:val="22"/>
          <w:szCs w:val="22"/>
          <w:color w:val="auto"/>
        </w:rPr>
        <w:t>the initial Interest Period for such Borrowing shall commence on the date of such Borrowing (including the date of any conversion from a Borrowing of another Type), and each Interest Period occurring thereafter in respect of such Borrowing shall commence on the day on which the next preceding Interest Period expires;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5" w:right="239" w:bottom="1440" w:gutter="0" w:footer="0" w:header="0"/>
        </w:sectPr>
      </w:pPr>
    </w:p>
    <w:bookmarkStart w:id="65" w:name="page66"/>
    <w:bookmarkEnd w:id="65"/>
    <w:p>
      <w:pPr>
        <w:jc w:val="both"/>
        <w:ind w:left="1300" w:firstLine="1301"/>
        <w:spacing w:after="0" w:line="278" w:lineRule="auto"/>
        <w:tabs>
          <w:tab w:leader="none" w:pos="3465" w:val="left"/>
        </w:tabs>
        <w:numPr>
          <w:ilvl w:val="0"/>
          <w:numId w:val="33"/>
        </w:numPr>
        <w:rPr>
          <w:rFonts w:ascii="Arial" w:cs="Arial" w:eastAsia="Arial" w:hAnsi="Arial"/>
          <w:sz w:val="17"/>
          <w:szCs w:val="17"/>
          <w:color w:val="auto"/>
        </w:rPr>
      </w:pPr>
      <w:r>
        <w:rPr>
          <w:rFonts w:ascii="Arial" w:cs="Arial" w:eastAsia="Arial" w:hAnsi="Arial"/>
          <w:sz w:val="21"/>
          <w:szCs w:val="21"/>
          <w:color w:val="auto"/>
        </w:rPr>
        <w:t>if any Interest Period would otherwise end on a day other than a Business Day, such Interest Pe-riod shall be extended to the next succeeding Business Day, unless such Business Day falls in another calendar month, in which case such Interest Period would end on the next preceding Business Day;</w:t>
      </w:r>
    </w:p>
    <w:p>
      <w:pPr>
        <w:spacing w:after="0" w:line="200" w:lineRule="exact"/>
        <w:rPr>
          <w:rFonts w:ascii="Arial" w:cs="Arial" w:eastAsia="Arial" w:hAnsi="Arial"/>
          <w:sz w:val="17"/>
          <w:szCs w:val="17"/>
          <w:color w:val="auto"/>
        </w:rPr>
      </w:pPr>
    </w:p>
    <w:p>
      <w:pPr>
        <w:jc w:val="both"/>
        <w:ind w:left="1300" w:firstLine="1301"/>
        <w:spacing w:after="0" w:line="260" w:lineRule="auto"/>
        <w:tabs>
          <w:tab w:leader="none" w:pos="3515" w:val="left"/>
        </w:tabs>
        <w:numPr>
          <w:ilvl w:val="0"/>
          <w:numId w:val="33"/>
        </w:numPr>
        <w:rPr>
          <w:rFonts w:ascii="Arial" w:cs="Arial" w:eastAsia="Arial" w:hAnsi="Arial"/>
          <w:sz w:val="18"/>
          <w:szCs w:val="18"/>
          <w:color w:val="auto"/>
        </w:rPr>
      </w:pPr>
      <w:r>
        <w:rPr>
          <w:rFonts w:ascii="Arial" w:cs="Arial" w:eastAsia="Arial" w:hAnsi="Arial"/>
          <w:sz w:val="22"/>
          <w:szCs w:val="22"/>
          <w:color w:val="auto"/>
        </w:rPr>
        <w:t>any Interest Period which begins on the last Business Day of a calendar month or on a day for which there is no numerically corresponding day in the calendar month at the end of such Interest Period shall end on the last Business Day of such calendar month;</w:t>
      </w:r>
    </w:p>
    <w:p>
      <w:pPr>
        <w:spacing w:after="0" w:line="217" w:lineRule="exact"/>
        <w:rPr>
          <w:rFonts w:ascii="Arial" w:cs="Arial" w:eastAsia="Arial" w:hAnsi="Arial"/>
          <w:sz w:val="18"/>
          <w:szCs w:val="18"/>
          <w:color w:val="auto"/>
        </w:rPr>
      </w:pPr>
    </w:p>
    <w:p>
      <w:pPr>
        <w:ind w:left="3500" w:hanging="899"/>
        <w:spacing w:after="0"/>
        <w:tabs>
          <w:tab w:leader="none" w:pos="3500" w:val="left"/>
        </w:tabs>
        <w:numPr>
          <w:ilvl w:val="0"/>
          <w:numId w:val="33"/>
        </w:numPr>
        <w:rPr>
          <w:rFonts w:ascii="Arial" w:cs="Arial" w:eastAsia="Arial" w:hAnsi="Arial"/>
          <w:sz w:val="18"/>
          <w:szCs w:val="18"/>
          <w:color w:val="auto"/>
        </w:rPr>
      </w:pPr>
      <w:r>
        <w:rPr>
          <w:rFonts w:ascii="Arial" w:cs="Arial" w:eastAsia="Arial" w:hAnsi="Arial"/>
          <w:sz w:val="22"/>
          <w:szCs w:val="22"/>
          <w:color w:val="auto"/>
        </w:rPr>
        <w:t>no Interest Period may extend beyond the Maturity Date.</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shall mean the United States Internal Revenue Service.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xml:space="preserve">” shall mean SunTrust Bank in its capacity as the issuer of Letters of Credit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25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shall mean that portion of the Aggregate Revolving Commitments that may be used by the Borrower for the issuance of Letters of Credit in an aggregate face amount not to exceed $10,000,000.</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shall mean a payment made by the Issuing Bank pursuant to a Letter of Credit.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Documents</w:t>
      </w:r>
      <w:r>
        <w:rPr>
          <w:rFonts w:ascii="Arial" w:cs="Arial" w:eastAsia="Arial" w:hAnsi="Arial"/>
          <w:sz w:val="22"/>
          <w:szCs w:val="22"/>
          <w:color w:val="auto"/>
        </w:rPr>
        <w:t>” shall mean all applications, agreements and instruments relating to the Letters of Credit but excluding the Letters of Credit.</w:t>
      </w:r>
    </w:p>
    <w:p>
      <w:pPr>
        <w:spacing w:after="0" w:line="17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xml:space="preserve">” shall mean, at any time, the sum of (i) the aggregate undrawn amount of all outstanding Letters of Credit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aggregate amount of all LC Disbursements that have not been reimbursed by or on behalf of the Borrower at such time. The LC Exposure of any Lender shall be its Pro Rata Share of the total LC Exposure at such time.</w:t>
      </w:r>
    </w:p>
    <w:p>
      <w:pPr>
        <w:spacing w:after="0" w:line="13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Left Lead Arranger</w:t>
      </w:r>
      <w:r>
        <w:rPr>
          <w:rFonts w:ascii="Arial" w:cs="Arial" w:eastAsia="Arial" w:hAnsi="Arial"/>
          <w:sz w:val="22"/>
          <w:szCs w:val="22"/>
          <w:color w:val="auto"/>
        </w:rPr>
        <w:t>” shall mean SunTrust Robinson Humphrey, Inc., in its capacity as left lead arranger in connection with this Agreement.</w:t>
      </w:r>
    </w:p>
    <w:p>
      <w:pPr>
        <w:spacing w:after="0" w:line="17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Hedge Provider</w:t>
      </w:r>
      <w:r>
        <w:rPr>
          <w:rFonts w:ascii="Arial" w:cs="Arial" w:eastAsia="Arial" w:hAnsi="Arial"/>
          <w:sz w:val="22"/>
          <w:szCs w:val="22"/>
          <w:color w:val="auto"/>
        </w:rPr>
        <w:t xml:space="preserve">” shall mean any Person that, at the time it enters into a Hedging Transaction with any Loan Party, (i) is a Lender or an Affiliate of a Lender and (ii) except when the Lender-Related Hedge Provider is SunTrust Bank or any of its Affiliates, has provided prior written notice to the Administrative Agent of the existence of such Hedging Transaction. In no event shall any Lender-Related Hedge Provider acting in such capacity be deemed a Lender for purposes hereof to the extent of and as to Hedging Obligations except that each reference to the term “Lender”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10.3(b)</w:t>
      </w:r>
      <w:r>
        <w:rPr>
          <w:rFonts w:ascii="Arial" w:cs="Arial" w:eastAsia="Arial" w:hAnsi="Arial"/>
          <w:sz w:val="22"/>
          <w:szCs w:val="22"/>
          <w:color w:val="auto"/>
        </w:rPr>
        <w:t xml:space="preserve"> shall be deemed to include such Lender-Related Hedge Provider. In no event shall the approval of any such Person in its capacity as Lender-Related Hedge Provider be required in connection with the release or termination of any security interest or Lien of the Administrative Agent.</w:t>
      </w:r>
    </w:p>
    <w:p>
      <w:pPr>
        <w:spacing w:after="0" w:line="19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shall have the meaning set forth in the introductory paragraph hereof and shall include, where appropriate, the Swingline Lender, each Increasing Lender, and each Lender that joins this Agreement pursuant to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2.25</w:t>
      </w:r>
      <w:r>
        <w:rPr>
          <w:rFonts w:ascii="Arial" w:cs="Arial" w:eastAsia="Arial" w:hAnsi="Arial"/>
          <w:sz w:val="22"/>
          <w:szCs w:val="22"/>
          <w:color w:val="auto"/>
        </w:rPr>
        <w:t xml:space="preserve"> and each Additional Lender that joins this Agreement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75" w:right="239" w:bottom="1440" w:gutter="0" w:footer="0" w:header="0"/>
        </w:sectPr>
      </w:pPr>
    </w:p>
    <w:bookmarkStart w:id="66" w:name="page67"/>
    <w:bookmarkEnd w:id="66"/>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shall mean any stand-by letter of credit issued pursuant to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by the Issuing Bank for the account of the Borrower pursuant to the LC Commitment.</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Liberty Successor</w:t>
      </w:r>
      <w:r>
        <w:rPr>
          <w:rFonts w:ascii="Arial" w:cs="Arial" w:eastAsia="Arial" w:hAnsi="Arial"/>
          <w:sz w:val="19"/>
          <w:szCs w:val="19"/>
          <w:color w:val="auto"/>
        </w:rPr>
        <w:t>” shall mean any Person that is a successor of LIC, including any Person spun or otherwise separated out of LIC (or any similar successor of any such Liberty Successor); provided that (a) no Person or group (within the meaning of the Exchange Act and the rules of the Securities and Exchange Commission thereunder as in effect on the date hereof), other than the Permitted Holders (disregarding for this purpose clause (b) of the definition of such term), is the “beneficial owner” (as defined in Rules 13d-3 and 13d-5 under the Exchange Act and the rules of the Securities and Exchange Commission thereunder as in effect on the date hereof), directly or indirectly, of more than 50% of the total voting power (with equivalent economic interests) represented by the issued and outstanding Capital Stock of such Liberty Successor, (b) such Liberty Successor is not a Sanctioned Person, (c) the transaction or transactions pursuant to which such Liberty Successor shall have become such a successor does not violate any Anti-Corruption Laws applicable to such Liberty Successor or any Sanctions applicable to such Liberty Successor and (d) each of the Administrative Agent and each Lender shall have received all documentation and other information reasonably requested by it in writing that it reasonably determines is required by United States or foreign bank regulatory authorities under applicable “know your customer” and anti-money laundering rules and regulations, including the Patriot Act, with respect to such Liberty Successor.</w:t>
      </w: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w:t>
      </w:r>
      <w:r>
        <w:rPr>
          <w:rFonts w:ascii="Arial" w:cs="Arial" w:eastAsia="Arial" w:hAnsi="Arial"/>
          <w:sz w:val="22"/>
          <w:szCs w:val="22"/>
          <w:color w:val="auto"/>
        </w:rPr>
        <w:t>” shall mean Liberty Interactive Corporation, a Delaware corporation.</w:t>
      </w:r>
    </w:p>
    <w:p>
      <w:pPr>
        <w:spacing w:after="0" w:line="22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w:t>
      </w:r>
      <w:r>
        <w:rPr>
          <w:rFonts w:ascii="Arial" w:cs="Arial" w:eastAsia="Arial" w:hAnsi="Arial"/>
          <w:sz w:val="22"/>
          <w:szCs w:val="22"/>
          <w:color w:val="auto"/>
        </w:rPr>
        <w:t xml:space="preserve">” shall mean, on any date of determination, the sum of (a) unrestricted cash held by the Loan Parties in Controlled Accounts subject to Account Control Agreements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Revolving Commitment Amount minus the aggregate Revolving Credit Exposure of all Revolving Lenders.</w:t>
      </w:r>
    </w:p>
    <w:p>
      <w:pPr>
        <w:spacing w:after="0" w:line="18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shall mean, collectively, this Agreement, the Collateral Documents, the LC Documents, the Fee Letter, all Notices of Borrowing, all Notices of Conversion/Continuation, all Compliance Certificates, any subordination agreement or intercreditor agreement entered into with the Administrative Agent or any Lender in connection with the Obligations, any promissory notes issued hereunder and any and all other instruments, agreements, documents and writings executed in connection with any of the foregoing.</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shall mean the Borrower and each Guarantor.</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shall mean all Revolving Loans, Swingline Loans, and Incremental Term Loans (if any) in the aggregate or any of them, as the context shall require.</w:t>
      </w:r>
    </w:p>
    <w:p>
      <w:pPr>
        <w:spacing w:after="0" w:line="17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(i) the business, operations, property, condition (financial or otherwise), liabilities (contingent or otherwise) of Parent and its Subsidiaries taken as a whole, (ii) the ability of the Loan Parties to perform any of their respective obligations under the Loan Documents, or (iii) the validity or enforceability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75" w:right="239" w:bottom="1440" w:gutter="0" w:footer="0" w:header="0"/>
        </w:sectPr>
      </w:pPr>
    </w:p>
    <w:bookmarkStart w:id="67" w:name="page68"/>
    <w:bookmarkEnd w:id="67"/>
    <w:p>
      <w:pPr>
        <w:jc w:val="both"/>
        <w:ind w:right="20"/>
        <w:spacing w:after="0" w:line="263" w:lineRule="auto"/>
        <w:rPr>
          <w:sz w:val="20"/>
          <w:szCs w:val="20"/>
          <w:color w:val="auto"/>
        </w:rPr>
      </w:pPr>
      <w:r>
        <w:rPr>
          <w:rFonts w:ascii="Arial" w:cs="Arial" w:eastAsia="Arial" w:hAnsi="Arial"/>
          <w:sz w:val="22"/>
          <w:szCs w:val="22"/>
          <w:color w:val="auto"/>
        </w:rPr>
        <w:t>any of the Loan Documents or the rights and remedies of the Administrative Agent, the Issuing Bank, the Swingline Lender or the Lenders under any of the Loan Documents.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shall mean any Indebtedness (other than the Loans and the Letters of Credit) of Parent or any of its Subsidiaries individually or in an aggregate committed or outstanding principal amount exceeding the Threshold Amount.</w:t>
      </w:r>
    </w:p>
    <w:p>
      <w:pPr>
        <w:spacing w:after="0" w:line="18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Subsidiary</w:t>
      </w:r>
      <w:r>
        <w:rPr>
          <w:rFonts w:ascii="Arial" w:cs="Arial" w:eastAsia="Arial" w:hAnsi="Arial"/>
          <w:sz w:val="21"/>
          <w:szCs w:val="21"/>
          <w:color w:val="auto"/>
        </w:rPr>
        <w:t xml:space="preserve">” shall mean, at any time, each Subsidiary other than (a) the Borrower and (b) any other Subsidiary that has been designated by Parent in a written notice to the Administrative Agent as not being a Material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all Subsidiaries designated by Parent as not being Material Subsidiaries (taken together with their own subsidiaries) shall not represent more than 10% for any such Subsidiary, or more than 10% in the aggregate for all such Subsidiaries, of either (A) Consolidated Total Assets or (B) Consolidated Revenues of Parent and the Subsidiaries as of the end of or for the period of four consecutive Fiscal Quarters of Parent most recently ended prior to such time and (ii) no Subsidiary designated by Parent as not being a Material Subsidiary shall own Equity Interests or Indebtedness (other than de minimis Indebtedness) of any Material Subsidiary. For the avoidance of doubt, as of the Closing Date, none of the Subsidiaries listed on </w:t>
      </w:r>
      <w:r>
        <w:rPr>
          <w:rFonts w:ascii="Arial" w:cs="Arial" w:eastAsia="Arial" w:hAnsi="Arial"/>
          <w:sz w:val="21"/>
          <w:szCs w:val="21"/>
          <w:u w:val="single" w:color="auto"/>
          <w:color w:val="auto"/>
        </w:rPr>
        <w:t>Schedule 1.1(a)</w:t>
      </w:r>
      <w:r>
        <w:rPr>
          <w:rFonts w:ascii="Arial" w:cs="Arial" w:eastAsia="Arial" w:hAnsi="Arial"/>
          <w:sz w:val="21"/>
          <w:szCs w:val="21"/>
          <w:color w:val="auto"/>
        </w:rPr>
        <w:t xml:space="preserve"> shall be deemed to be a Material Subsidiary.</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shall mean the Revolving Commitment Termination Date.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shall mean Moody’s Investors Service, Inc.</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shall mean any “multiemployer plan” as defined in Section 4001(a)(3) of ERISA, which is contributed to by (or to which there is or may be an obligation to contribute of) Parent, any of its Subsidiaries or an ERISA Affiliate, and each such plan for the five-year period immediately following the latest date on which Parent, any of its Subsidiaries or an ERISA Affiliate contributed to or had an obligation to contribute to such plan.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shall mean, at any time, a Lender that is not a Defaulting Lender.</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Plan</w:t>
      </w:r>
      <w:r>
        <w:rPr>
          <w:rFonts w:ascii="Arial" w:cs="Arial" w:eastAsia="Arial" w:hAnsi="Arial"/>
          <w:sz w:val="22"/>
          <w:szCs w:val="22"/>
          <w:color w:val="auto"/>
        </w:rPr>
        <w:t>” shall mean any plan, fund (including, without limitation, any superannuation fund) or other similar program established, contributed to (regardless of whether through direct contributions or through employee withholding) or maintained outside the United States by Parent or one or more of its Subsidiaries primarily for the benefit of employees of Parent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Notices of Borrowing</w:t>
      </w:r>
      <w:r>
        <w:rPr>
          <w:rFonts w:ascii="Arial" w:cs="Arial" w:eastAsia="Arial" w:hAnsi="Arial"/>
          <w:sz w:val="19"/>
          <w:szCs w:val="19"/>
          <w:color w:val="auto"/>
        </w:rPr>
        <w:t>” shall mean, collectively, the Notices of Revolving Borrowing and the Notices of Swingline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Borrowing.</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Conversion/Continuation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2.7(b)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Revolving Borrowing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Swingline Borrowing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shall mean (a) all amounts owing by the Loan Parties to the Administrative Agent, the Issuing Bank, any Lender (including the Swingline Lender) or the Left Lead Arranger pursuant to or in connection with this Agreement or any other Loan Document or otherwise with respect to any Loan or Letter of Credit including, without limitation, all principal, interest (including any interest accruing after the filing 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75" w:right="239" w:bottom="1440" w:gutter="0" w:footer="0" w:header="0"/>
        </w:sectPr>
      </w:pPr>
    </w:p>
    <w:bookmarkStart w:id="68" w:name="page69"/>
    <w:bookmarkEnd w:id="68"/>
    <w:p>
      <w:pPr>
        <w:jc w:val="both"/>
        <w:spacing w:after="0" w:line="285" w:lineRule="auto"/>
        <w:rPr>
          <w:sz w:val="20"/>
          <w:szCs w:val="20"/>
          <w:color w:val="auto"/>
        </w:rPr>
      </w:pPr>
      <w:r>
        <w:rPr>
          <w:rFonts w:ascii="Arial" w:cs="Arial" w:eastAsia="Arial" w:hAnsi="Arial"/>
          <w:sz w:val="19"/>
          <w:szCs w:val="19"/>
          <w:color w:val="auto"/>
        </w:rPr>
        <w:t>any petition in bankruptcy or the commencement of any insolvency, reorganization or like proceeding relating to Parent or the Borrower, whether or not a claim for post-filing or post-petition interest is allowed in such proceeding), reimbursement obligations, fees, expenses, indemnification and reimbursement payments, costs and expenses (including all fees and expenses of counsel to the Administrative Agent, the Issuing Bank and any Lender (including the Swingline Lender) incurred pursuant to this Agreement or any other Loan Document), whether direct or indirect, absolute or contingent, liquidated or unliquidated, now existing or hereafter arising hereunder or thereunder, (b) all Hedging Obligations owed by any Loan Party to any Lender-Related Hedge Provider, and</w:t>
      </w:r>
    </w:p>
    <w:p>
      <w:pPr>
        <w:spacing w:after="0" w:line="1" w:lineRule="exact"/>
        <w:rPr>
          <w:sz w:val="20"/>
          <w:szCs w:val="20"/>
          <w:color w:val="auto"/>
        </w:rPr>
      </w:pPr>
    </w:p>
    <w:p>
      <w:pPr>
        <w:ind w:firstLine="8"/>
        <w:spacing w:after="0" w:line="323" w:lineRule="auto"/>
        <w:tabs>
          <w:tab w:leader="none" w:pos="322"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all Bank Product Obligations, together with all renewals, extensions, modifications or refinancings of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Guarantor, the Obligations shall not include any Excluded Swap Obligations.</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shall mean the U.S. Department of the Treasury’s Office of Foreign Assets Control.</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Off-Balance Sheet Liabilities</w:t>
      </w:r>
      <w:r>
        <w:rPr>
          <w:rFonts w:ascii="Arial" w:cs="Arial" w:eastAsia="Arial" w:hAnsi="Arial"/>
          <w:sz w:val="22"/>
          <w:szCs w:val="22"/>
          <w:color w:val="auto"/>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92"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OSHA</w:t>
      </w:r>
      <w:r>
        <w:rPr>
          <w:rFonts w:ascii="Arial" w:cs="Arial" w:eastAsia="Arial" w:hAnsi="Arial"/>
          <w:sz w:val="22"/>
          <w:szCs w:val="22"/>
          <w:color w:val="auto"/>
        </w:rPr>
        <w:t>” shall mean the Occupational Safety and Health Act of 1970, as amended from time to time, and any successor statute.</w:t>
      </w:r>
    </w:p>
    <w:p>
      <w:pPr>
        <w:spacing w:after="0" w:line="17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2.25</w:t>
      </w:r>
      <w:r>
        <w:rPr>
          <w:rFonts w:ascii="Arial" w:cs="Arial" w:eastAsia="Arial" w:hAnsi="Arial"/>
          <w:sz w:val="19"/>
          <w:szCs w:val="19"/>
          <w:color w:val="auto"/>
        </w:rPr>
        <w:t>).</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shall have the meaning set forth in the introductory paragraph hereof.</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Company</w:t>
      </w:r>
      <w:r>
        <w:rPr>
          <w:rFonts w:ascii="Arial" w:cs="Arial" w:eastAsia="Arial" w:hAnsi="Arial"/>
          <w:sz w:val="22"/>
          <w:szCs w:val="22"/>
          <w:color w:val="auto"/>
        </w:rPr>
        <w:t>” shall mean, with respect to a Lender, the “bank holding company” as defined in Regulation Y, if any, of such Lender, and/or any Person owning, beneficially or of record, directly or indirectly, a majority of the shares of such Lender.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10.4(d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10.4(d)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w:t>
      </w:r>
      <w:r>
        <w:rPr>
          <w:rFonts w:ascii="Arial" w:cs="Arial" w:eastAsia="Arial" w:hAnsi="Arial"/>
          <w:sz w:val="22"/>
          <w:szCs w:val="22"/>
          <w:color w:val="auto"/>
        </w:rPr>
        <w:t>” shall have the meaning assigned to such term in the Guaranty and Security Agreement.</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w:t>
      </w:r>
      <w:r>
        <w:rPr>
          <w:rFonts w:ascii="Arial" w:cs="Arial" w:eastAsia="Arial" w:hAnsi="Arial"/>
          <w:sz w:val="22"/>
          <w:szCs w:val="22"/>
          <w:color w:val="auto"/>
        </w:rPr>
        <w:t>” shall mean any Patent Security Agreement executed by a Loan Party owning Patents or licenses of Patents in favor of the Administrative Agent for the benefit of the Secured Parties, both on the Closing Date and thereafter.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75" w:right="239" w:bottom="1440" w:gutter="0" w:footer="0" w:header="0"/>
        </w:sectPr>
      </w:pPr>
    </w:p>
    <w:bookmarkStart w:id="69" w:name="page70"/>
    <w:bookmarkEnd w:id="69"/>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shall mean the USA PATRIOT Improvement and Reauthorization Act of 2005 (Pub. L. 109-177 (signed into law March 9, 2006)), as amended and in effect from time to time.</w:t>
      </w:r>
    </w:p>
    <w:p>
      <w:pPr>
        <w:spacing w:after="0" w:line="164" w:lineRule="exact"/>
        <w:rPr>
          <w:sz w:val="20"/>
          <w:szCs w:val="20"/>
          <w:color w:val="auto"/>
        </w:rPr>
      </w:pPr>
    </w:p>
    <w:p>
      <w:pPr>
        <w:jc w:val="both"/>
        <w:ind w:firstLine="1297"/>
        <w:spacing w:after="0" w:line="23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Office</w:t>
      </w:r>
      <w:r>
        <w:rPr>
          <w:rFonts w:ascii="Arial" w:cs="Arial" w:eastAsia="Arial" w:hAnsi="Arial"/>
          <w:sz w:val="22"/>
          <w:szCs w:val="22"/>
          <w:color w:val="auto"/>
        </w:rPr>
        <w:t>” shall mean the office of the Administrative Agent located at 3333 Peachtree Road, NE,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Mail Code GA-ATL-2020, Atlanta, Georgia 30326, or such other location as to which the Administrative Agent shall have given written notice to the Borrower and the other Lenders.</w:t>
      </w:r>
    </w:p>
    <w:p>
      <w:pPr>
        <w:spacing w:after="0" w:line="20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shall mean the U.S. Pension Benefit Guaranty Corpora-tion referred to and defined in ERISA, and any successor entity performing similar functions.</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shall mean shall mean (a) any Acquisition by a Loan Party with the prior written consent of the Required Lenders and (b) any Acquisition by a Loan Party that occurs when the following conditions have been satisfied:</w:t>
      </w:r>
    </w:p>
    <w:p>
      <w:pPr>
        <w:spacing w:after="0" w:line="78" w:lineRule="exact"/>
        <w:rPr>
          <w:sz w:val="20"/>
          <w:szCs w:val="20"/>
          <w:color w:val="auto"/>
        </w:rPr>
      </w:pPr>
    </w:p>
    <w:p>
      <w:pPr>
        <w:jc w:val="both"/>
        <w:ind w:left="1300" w:firstLine="1301"/>
        <w:spacing w:after="0" w:line="278" w:lineRule="auto"/>
        <w:tabs>
          <w:tab w:leader="none" w:pos="3415" w:val="left"/>
        </w:tabs>
        <w:numPr>
          <w:ilvl w:val="0"/>
          <w:numId w:val="35"/>
        </w:numPr>
        <w:rPr>
          <w:rFonts w:ascii="Arial" w:cs="Arial" w:eastAsia="Arial" w:hAnsi="Arial"/>
          <w:sz w:val="17"/>
          <w:szCs w:val="17"/>
          <w:color w:val="auto"/>
        </w:rPr>
      </w:pPr>
      <w:r>
        <w:rPr>
          <w:rFonts w:ascii="Arial" w:cs="Arial" w:eastAsia="Arial" w:hAnsi="Arial"/>
          <w:sz w:val="21"/>
          <w:szCs w:val="21"/>
          <w:color w:val="auto"/>
        </w:rPr>
        <w:t>before and after giving effect to such Acquisition, no Default or Event of Default has occurred and is continuing or would result therefrom, and all representations and warranties of each Loan Party set forth in the Loan Documents shall be and remain true and correct in all material respects;</w:t>
      </w:r>
    </w:p>
    <w:p>
      <w:pPr>
        <w:spacing w:after="0" w:line="200" w:lineRule="exact"/>
        <w:rPr>
          <w:rFonts w:ascii="Arial" w:cs="Arial" w:eastAsia="Arial" w:hAnsi="Arial"/>
          <w:sz w:val="17"/>
          <w:szCs w:val="17"/>
          <w:color w:val="auto"/>
        </w:rPr>
      </w:pPr>
    </w:p>
    <w:p>
      <w:pPr>
        <w:jc w:val="both"/>
        <w:ind w:left="1300" w:firstLine="1301"/>
        <w:spacing w:after="0" w:line="251" w:lineRule="auto"/>
        <w:tabs>
          <w:tab w:leader="none" w:pos="3465" w:val="left"/>
        </w:tabs>
        <w:numPr>
          <w:ilvl w:val="0"/>
          <w:numId w:val="35"/>
        </w:numPr>
        <w:rPr>
          <w:rFonts w:ascii="Arial" w:cs="Arial" w:eastAsia="Arial" w:hAnsi="Arial"/>
          <w:sz w:val="18"/>
          <w:szCs w:val="18"/>
          <w:color w:val="auto"/>
        </w:rPr>
      </w:pPr>
      <w:r>
        <w:rPr>
          <w:rFonts w:ascii="Arial" w:cs="Arial" w:eastAsia="Arial" w:hAnsi="Arial"/>
          <w:sz w:val="22"/>
          <w:szCs w:val="22"/>
          <w:color w:val="auto"/>
        </w:rPr>
        <w:t xml:space="preserve">before and after giving effect to such Acquisition, the Consolidated Leverage Ratio is less than the applicable Consolidated Leverage Ratio covenant level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calculated on a Pro Forma Basis as of the last day of the most recently ended Fiscal Quarter for which financial statements are required to have been delivered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(measuring Consolidated Total Funded Debt as of the date of such Acquisition)</w:t>
      </w:r>
      <w:r>
        <w:rPr>
          <w:rFonts w:ascii="Arial" w:cs="Arial" w:eastAsia="Arial" w:hAnsi="Arial"/>
          <w:sz w:val="22"/>
          <w:szCs w:val="22"/>
          <w:b w:val="1"/>
          <w:bCs w:val="1"/>
          <w:color w:val="auto"/>
        </w:rPr>
        <w:t>;</w:t>
      </w:r>
    </w:p>
    <w:p>
      <w:pPr>
        <w:spacing w:after="0" w:line="230" w:lineRule="exact"/>
        <w:rPr>
          <w:rFonts w:ascii="Arial" w:cs="Arial" w:eastAsia="Arial" w:hAnsi="Arial"/>
          <w:sz w:val="18"/>
          <w:szCs w:val="18"/>
          <w:color w:val="auto"/>
        </w:rPr>
      </w:pPr>
    </w:p>
    <w:p>
      <w:pPr>
        <w:jc w:val="both"/>
        <w:ind w:left="1300" w:firstLine="1301"/>
        <w:spacing w:after="0" w:line="260" w:lineRule="auto"/>
        <w:tabs>
          <w:tab w:leader="none" w:pos="3515" w:val="left"/>
        </w:tabs>
        <w:numPr>
          <w:ilvl w:val="0"/>
          <w:numId w:val="35"/>
        </w:numPr>
        <w:rPr>
          <w:rFonts w:ascii="Arial" w:cs="Arial" w:eastAsia="Arial" w:hAnsi="Arial"/>
          <w:sz w:val="18"/>
          <w:szCs w:val="18"/>
          <w:color w:val="auto"/>
        </w:rPr>
      </w:pPr>
      <w:r>
        <w:rPr>
          <w:rFonts w:ascii="Arial" w:cs="Arial" w:eastAsia="Arial" w:hAnsi="Arial"/>
          <w:sz w:val="22"/>
          <w:szCs w:val="22"/>
          <w:color w:val="auto"/>
        </w:rPr>
        <w:t>at least 5 days prior to the date of the consummation of such Acquisition, Parent shall have delivered to the Administrative Agent notice of such Acquisition, together with any information reasonably requested by the Administrative Agent;</w:t>
      </w:r>
    </w:p>
    <w:p>
      <w:pPr>
        <w:spacing w:after="0" w:line="217" w:lineRule="exact"/>
        <w:rPr>
          <w:rFonts w:ascii="Arial" w:cs="Arial" w:eastAsia="Arial" w:hAnsi="Arial"/>
          <w:sz w:val="18"/>
          <w:szCs w:val="18"/>
          <w:color w:val="auto"/>
        </w:rPr>
      </w:pPr>
    </w:p>
    <w:p>
      <w:pPr>
        <w:ind w:left="1300" w:firstLine="1301"/>
        <w:spacing w:after="0" w:line="276" w:lineRule="auto"/>
        <w:tabs>
          <w:tab w:leader="none" w:pos="3504" w:val="left"/>
        </w:tabs>
        <w:numPr>
          <w:ilvl w:val="0"/>
          <w:numId w:val="35"/>
        </w:numPr>
        <w:rPr>
          <w:rFonts w:ascii="Arial" w:cs="Arial" w:eastAsia="Arial" w:hAnsi="Arial"/>
          <w:sz w:val="18"/>
          <w:szCs w:val="18"/>
          <w:color w:val="auto"/>
        </w:rPr>
      </w:pPr>
      <w:r>
        <w:rPr>
          <w:rFonts w:ascii="Arial" w:cs="Arial" w:eastAsia="Arial" w:hAnsi="Arial"/>
          <w:sz w:val="22"/>
          <w:szCs w:val="22"/>
          <w:color w:val="auto"/>
        </w:rPr>
        <w:t>such Acquisition is consensual and approved by the board of directors (or the equivalent thereof) of the Person whose stock or assets are being acquired;</w:t>
      </w:r>
    </w:p>
    <w:p>
      <w:pPr>
        <w:spacing w:after="0" w:line="201" w:lineRule="exact"/>
        <w:rPr>
          <w:rFonts w:ascii="Arial" w:cs="Arial" w:eastAsia="Arial" w:hAnsi="Arial"/>
          <w:sz w:val="18"/>
          <w:szCs w:val="18"/>
          <w:color w:val="auto"/>
        </w:rPr>
      </w:pPr>
    </w:p>
    <w:p>
      <w:pPr>
        <w:ind w:left="1300" w:firstLine="1301"/>
        <w:spacing w:after="0" w:line="276" w:lineRule="auto"/>
        <w:tabs>
          <w:tab w:leader="none" w:pos="3454" w:val="left"/>
        </w:tabs>
        <w:numPr>
          <w:ilvl w:val="0"/>
          <w:numId w:val="35"/>
        </w:numPr>
        <w:rPr>
          <w:rFonts w:ascii="Arial" w:cs="Arial" w:eastAsia="Arial" w:hAnsi="Arial"/>
          <w:sz w:val="18"/>
          <w:szCs w:val="18"/>
          <w:color w:val="auto"/>
        </w:rPr>
      </w:pPr>
      <w:r>
        <w:rPr>
          <w:rFonts w:ascii="Arial" w:cs="Arial" w:eastAsia="Arial" w:hAnsi="Arial"/>
          <w:sz w:val="22"/>
          <w:szCs w:val="22"/>
          <w:color w:val="auto"/>
        </w:rPr>
        <w:t>the Person or assets being acquired is in the same type of business conducted by Parent and its Subsidiaries on the date hereof or any business reasonably related thereto;</w:t>
      </w:r>
    </w:p>
    <w:p>
      <w:pPr>
        <w:spacing w:after="0" w:line="201" w:lineRule="exact"/>
        <w:rPr>
          <w:rFonts w:ascii="Arial" w:cs="Arial" w:eastAsia="Arial" w:hAnsi="Arial"/>
          <w:sz w:val="18"/>
          <w:szCs w:val="18"/>
          <w:color w:val="auto"/>
        </w:rPr>
      </w:pPr>
    </w:p>
    <w:p>
      <w:pPr>
        <w:jc w:val="both"/>
        <w:ind w:left="1300" w:firstLine="1301"/>
        <w:spacing w:after="0" w:line="260" w:lineRule="auto"/>
        <w:tabs>
          <w:tab w:leader="none" w:pos="3504" w:val="left"/>
        </w:tabs>
        <w:numPr>
          <w:ilvl w:val="0"/>
          <w:numId w:val="35"/>
        </w:numPr>
        <w:rPr>
          <w:rFonts w:ascii="Arial" w:cs="Arial" w:eastAsia="Arial" w:hAnsi="Arial"/>
          <w:sz w:val="18"/>
          <w:szCs w:val="18"/>
          <w:color w:val="auto"/>
        </w:rPr>
      </w:pPr>
      <w:r>
        <w:rPr>
          <w:rFonts w:ascii="Arial" w:cs="Arial" w:eastAsia="Arial" w:hAnsi="Arial"/>
          <w:sz w:val="22"/>
          <w:szCs w:val="22"/>
          <w:color w:val="auto"/>
        </w:rPr>
        <w:t>such Acquisition is consummated in compliance with all Requirements of Law, and all consents and approvals from any Governmental Authority or other Person required in connection with such Acquisition have been obtained; and</w:t>
      </w:r>
    </w:p>
    <w:p>
      <w:pPr>
        <w:spacing w:after="0" w:line="217" w:lineRule="exact"/>
        <w:rPr>
          <w:rFonts w:ascii="Arial" w:cs="Arial" w:eastAsia="Arial" w:hAnsi="Arial"/>
          <w:sz w:val="18"/>
          <w:szCs w:val="18"/>
          <w:color w:val="auto"/>
        </w:rPr>
      </w:pPr>
    </w:p>
    <w:p>
      <w:pPr>
        <w:jc w:val="both"/>
        <w:ind w:left="1300" w:firstLine="1301"/>
        <w:spacing w:after="0" w:line="260" w:lineRule="auto"/>
        <w:tabs>
          <w:tab w:leader="none" w:pos="3554" w:val="left"/>
        </w:tabs>
        <w:numPr>
          <w:ilvl w:val="0"/>
          <w:numId w:val="35"/>
        </w:numPr>
        <w:rPr>
          <w:rFonts w:ascii="Arial" w:cs="Arial" w:eastAsia="Arial" w:hAnsi="Arial"/>
          <w:sz w:val="18"/>
          <w:szCs w:val="18"/>
          <w:color w:val="auto"/>
        </w:rPr>
      </w:pPr>
      <w:r>
        <w:rPr>
          <w:rFonts w:ascii="Arial" w:cs="Arial" w:eastAsia="Arial" w:hAnsi="Arial"/>
          <w:sz w:val="22"/>
          <w:szCs w:val="22"/>
          <w:color w:val="auto"/>
        </w:rPr>
        <w:t>Parent has delivered to the Administrative Agent a certificate executed by a Responsible Officer certifying that each of the conditions set forth above has been satisfied, including, without limitation, calculations evidencing the condition in subclause (ii) above.</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shall mean:</w:t>
      </w:r>
    </w:p>
    <w:p>
      <w:pPr>
        <w:spacing w:after="0" w:line="220" w:lineRule="exact"/>
        <w:rPr>
          <w:sz w:val="20"/>
          <w:szCs w:val="20"/>
          <w:color w:val="auto"/>
        </w:rPr>
      </w:pPr>
    </w:p>
    <w:p>
      <w:pPr>
        <w:jc w:val="both"/>
        <w:ind w:left="1300" w:firstLine="1301"/>
        <w:spacing w:after="0" w:line="260" w:lineRule="auto"/>
        <w:tabs>
          <w:tab w:leader="none" w:pos="3415" w:val="left"/>
        </w:tabs>
        <w:numPr>
          <w:ilvl w:val="0"/>
          <w:numId w:val="36"/>
        </w:numPr>
        <w:rPr>
          <w:rFonts w:ascii="Arial" w:cs="Arial" w:eastAsia="Arial" w:hAnsi="Arial"/>
          <w:sz w:val="18"/>
          <w:szCs w:val="18"/>
          <w:color w:val="auto"/>
        </w:rPr>
      </w:pPr>
      <w:r>
        <w:rPr>
          <w:rFonts w:ascii="Arial" w:cs="Arial" w:eastAsia="Arial" w:hAnsi="Arial"/>
          <w:sz w:val="22"/>
          <w:szCs w:val="22"/>
          <w:color w:val="auto"/>
        </w:rPr>
        <w:t>Liens imposed by law for taxes not yet due or which are being contested in good faith by appropriate proceedings diligently conducted and with respect to which adequate reserves are being maintained in accordance with GAAP;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75" w:right="239" w:bottom="1440" w:gutter="0" w:footer="0" w:header="0"/>
        </w:sectPr>
      </w:pPr>
    </w:p>
    <w:bookmarkStart w:id="70" w:name="page71"/>
    <w:bookmarkEnd w:id="70"/>
    <w:p>
      <w:pPr>
        <w:jc w:val="both"/>
        <w:ind w:left="1300" w:firstLine="1301"/>
        <w:spacing w:after="0" w:line="254" w:lineRule="auto"/>
        <w:tabs>
          <w:tab w:leader="none" w:pos="3465" w:val="left"/>
        </w:tabs>
        <w:numPr>
          <w:ilvl w:val="0"/>
          <w:numId w:val="37"/>
        </w:numPr>
        <w:rPr>
          <w:rFonts w:ascii="Arial" w:cs="Arial" w:eastAsia="Arial" w:hAnsi="Arial"/>
          <w:sz w:val="18"/>
          <w:szCs w:val="18"/>
          <w:color w:val="auto"/>
        </w:rPr>
      </w:pPr>
      <w:r>
        <w:rPr>
          <w:rFonts w:ascii="Arial" w:cs="Arial" w:eastAsia="Arial" w:hAnsi="Arial"/>
          <w:sz w:val="22"/>
          <w:szCs w:val="22"/>
          <w:color w:val="auto"/>
        </w:rPr>
        <w:t>statutory Liens of landlords, carriers, warehousemen, mechanics, materialmen and other Liens imposed by law in the ordinary course of business for amounts not yet due or which are being contested in good faith by appropriate proceedings diligently conducted and with respect to which adequate reserves are being maintained in accordance with GAAP;</w:t>
      </w:r>
    </w:p>
    <w:p>
      <w:pPr>
        <w:spacing w:after="0" w:line="225" w:lineRule="exact"/>
        <w:rPr>
          <w:rFonts w:ascii="Arial" w:cs="Arial" w:eastAsia="Arial" w:hAnsi="Arial"/>
          <w:sz w:val="18"/>
          <w:szCs w:val="18"/>
          <w:color w:val="auto"/>
        </w:rPr>
      </w:pPr>
    </w:p>
    <w:p>
      <w:pPr>
        <w:ind w:left="1300" w:right="20" w:firstLine="1301"/>
        <w:spacing w:after="0" w:line="276" w:lineRule="auto"/>
        <w:tabs>
          <w:tab w:leader="none" w:pos="3515" w:val="left"/>
        </w:tabs>
        <w:numPr>
          <w:ilvl w:val="0"/>
          <w:numId w:val="37"/>
        </w:numPr>
        <w:rPr>
          <w:rFonts w:ascii="Arial" w:cs="Arial" w:eastAsia="Arial" w:hAnsi="Arial"/>
          <w:sz w:val="18"/>
          <w:szCs w:val="18"/>
          <w:color w:val="auto"/>
        </w:rPr>
      </w:pPr>
      <w:r>
        <w:rPr>
          <w:rFonts w:ascii="Arial" w:cs="Arial" w:eastAsia="Arial" w:hAnsi="Arial"/>
          <w:sz w:val="22"/>
          <w:szCs w:val="22"/>
          <w:color w:val="auto"/>
        </w:rPr>
        <w:t>pledges and deposits made in the ordinary course of business in compliance with workers’ compensation, unemployment insurance and other social security laws or regulations;</w:t>
      </w:r>
    </w:p>
    <w:p>
      <w:pPr>
        <w:spacing w:after="0" w:line="201" w:lineRule="exact"/>
        <w:rPr>
          <w:rFonts w:ascii="Arial" w:cs="Arial" w:eastAsia="Arial" w:hAnsi="Arial"/>
          <w:sz w:val="18"/>
          <w:szCs w:val="18"/>
          <w:color w:val="auto"/>
        </w:rPr>
      </w:pPr>
    </w:p>
    <w:p>
      <w:pPr>
        <w:jc w:val="both"/>
        <w:ind w:left="1300" w:firstLine="1301"/>
        <w:spacing w:after="0" w:line="260" w:lineRule="auto"/>
        <w:tabs>
          <w:tab w:leader="none" w:pos="3504" w:val="left"/>
        </w:tabs>
        <w:numPr>
          <w:ilvl w:val="0"/>
          <w:numId w:val="37"/>
        </w:numPr>
        <w:rPr>
          <w:rFonts w:ascii="Arial" w:cs="Arial" w:eastAsia="Arial" w:hAnsi="Arial"/>
          <w:sz w:val="18"/>
          <w:szCs w:val="18"/>
          <w:color w:val="auto"/>
        </w:rPr>
      </w:pPr>
      <w:r>
        <w:rPr>
          <w:rFonts w:ascii="Arial" w:cs="Arial" w:eastAsia="Arial" w:hAnsi="Arial"/>
          <w:sz w:val="22"/>
          <w:szCs w:val="22"/>
          <w:color w:val="auto"/>
        </w:rPr>
        <w:t>deposits to secure the performance of bids, trade contracts, leases, statutory obligations, surety and appeal bonds, performance bonds and other obli-gations of a like nature, in each case in the ordinary course of business;</w:t>
      </w:r>
    </w:p>
    <w:p>
      <w:pPr>
        <w:spacing w:after="0" w:line="217" w:lineRule="exact"/>
        <w:rPr>
          <w:rFonts w:ascii="Arial" w:cs="Arial" w:eastAsia="Arial" w:hAnsi="Arial"/>
          <w:sz w:val="18"/>
          <w:szCs w:val="18"/>
          <w:color w:val="auto"/>
        </w:rPr>
      </w:pPr>
    </w:p>
    <w:p>
      <w:pPr>
        <w:jc w:val="both"/>
        <w:ind w:left="1300" w:firstLine="1301"/>
        <w:spacing w:after="0" w:line="254" w:lineRule="auto"/>
        <w:tabs>
          <w:tab w:leader="none" w:pos="3454" w:val="left"/>
        </w:tabs>
        <w:numPr>
          <w:ilvl w:val="0"/>
          <w:numId w:val="37"/>
        </w:numPr>
        <w:rPr>
          <w:rFonts w:ascii="Arial" w:cs="Arial" w:eastAsia="Arial" w:hAnsi="Arial"/>
          <w:sz w:val="18"/>
          <w:szCs w:val="18"/>
          <w:color w:val="auto"/>
        </w:rPr>
      </w:pPr>
      <w:r>
        <w:rPr>
          <w:rFonts w:ascii="Arial" w:cs="Arial" w:eastAsia="Arial" w:hAnsi="Arial"/>
          <w:sz w:val="22"/>
          <w:szCs w:val="22"/>
          <w:color w:val="auto"/>
        </w:rPr>
        <w:t>judgment and attachment liens not giving rise to an Event of Default or Liens created by or existing from any litigation or legal proceeding that are currently being contested in good faith by appropriate proceedings diligently conducted and with respect to which adequate reserves are being maintained in accordance with GAAP;</w:t>
      </w:r>
    </w:p>
    <w:p>
      <w:pPr>
        <w:spacing w:after="0" w:line="225" w:lineRule="exact"/>
        <w:rPr>
          <w:rFonts w:ascii="Arial" w:cs="Arial" w:eastAsia="Arial" w:hAnsi="Arial"/>
          <w:sz w:val="18"/>
          <w:szCs w:val="18"/>
          <w:color w:val="auto"/>
        </w:rPr>
      </w:pPr>
    </w:p>
    <w:p>
      <w:pPr>
        <w:jc w:val="both"/>
        <w:ind w:left="1300" w:right="20" w:firstLine="1301"/>
        <w:spacing w:after="0" w:line="254" w:lineRule="auto"/>
        <w:tabs>
          <w:tab w:leader="none" w:pos="3504" w:val="left"/>
        </w:tabs>
        <w:numPr>
          <w:ilvl w:val="0"/>
          <w:numId w:val="37"/>
        </w:numPr>
        <w:rPr>
          <w:rFonts w:ascii="Arial" w:cs="Arial" w:eastAsia="Arial" w:hAnsi="Arial"/>
          <w:sz w:val="18"/>
          <w:szCs w:val="18"/>
          <w:color w:val="auto"/>
        </w:rPr>
      </w:pPr>
      <w:r>
        <w:rPr>
          <w:rFonts w:ascii="Arial" w:cs="Arial" w:eastAsia="Arial" w:hAnsi="Arial"/>
          <w:sz w:val="22"/>
          <w:szCs w:val="22"/>
          <w:color w:val="auto"/>
        </w:rPr>
        <w:t>customary rights of set-off, revocation, refund or chargeback under deposit agreements or under the Uniform Commercial Code or common law of banks or other financial institutions where Parent or any of its Subsidiaries maintains deposits (other than deposits intended as cash collateral) in the ordinary course of business;</w:t>
      </w:r>
    </w:p>
    <w:p>
      <w:pPr>
        <w:spacing w:after="0" w:line="225" w:lineRule="exact"/>
        <w:rPr>
          <w:rFonts w:ascii="Arial" w:cs="Arial" w:eastAsia="Arial" w:hAnsi="Arial"/>
          <w:sz w:val="18"/>
          <w:szCs w:val="18"/>
          <w:color w:val="auto"/>
        </w:rPr>
      </w:pPr>
    </w:p>
    <w:p>
      <w:pPr>
        <w:jc w:val="both"/>
        <w:ind w:left="1300" w:firstLine="1301"/>
        <w:spacing w:after="0" w:line="254" w:lineRule="auto"/>
        <w:tabs>
          <w:tab w:leader="none" w:pos="3554" w:val="left"/>
        </w:tabs>
        <w:numPr>
          <w:ilvl w:val="0"/>
          <w:numId w:val="37"/>
        </w:numPr>
        <w:rPr>
          <w:rFonts w:ascii="Arial" w:cs="Arial" w:eastAsia="Arial" w:hAnsi="Arial"/>
          <w:sz w:val="18"/>
          <w:szCs w:val="18"/>
          <w:color w:val="auto"/>
        </w:rPr>
      </w:pPr>
      <w:r>
        <w:rPr>
          <w:rFonts w:ascii="Arial" w:cs="Arial" w:eastAsia="Arial" w:hAnsi="Arial"/>
          <w:sz w:val="22"/>
          <w:szCs w:val="22"/>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Parent and its Subsidiaries taken as a whole; and</w:t>
      </w:r>
    </w:p>
    <w:p>
      <w:pPr>
        <w:spacing w:after="0" w:line="225" w:lineRule="exact"/>
        <w:rPr>
          <w:rFonts w:ascii="Arial" w:cs="Arial" w:eastAsia="Arial" w:hAnsi="Arial"/>
          <w:sz w:val="18"/>
          <w:szCs w:val="18"/>
          <w:color w:val="auto"/>
        </w:rPr>
      </w:pPr>
    </w:p>
    <w:p>
      <w:pPr>
        <w:ind w:left="1300" w:firstLine="1301"/>
        <w:spacing w:after="0" w:line="358" w:lineRule="auto"/>
        <w:tabs>
          <w:tab w:leader="none" w:pos="3604" w:val="left"/>
        </w:tabs>
        <w:numPr>
          <w:ilvl w:val="0"/>
          <w:numId w:val="37"/>
        </w:numPr>
        <w:rPr>
          <w:rFonts w:ascii="Arial" w:cs="Arial" w:eastAsia="Arial" w:hAnsi="Arial"/>
          <w:sz w:val="16"/>
          <w:szCs w:val="16"/>
          <w:color w:val="auto"/>
        </w:rPr>
      </w:pPr>
      <w:r>
        <w:rPr>
          <w:rFonts w:ascii="Arial" w:cs="Arial" w:eastAsia="Arial" w:hAnsi="Arial"/>
          <w:sz w:val="19"/>
          <w:szCs w:val="19"/>
          <w:color w:val="auto"/>
        </w:rPr>
        <w:t>Liens arising out of conditional sale, title retention, consignment or similar arrangements for the sale of goods entered into by Parent or any Subsidiary in the ordinary course of business of such Person.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“Permitted Encumbrances” shall not include any Lien securing Indebtedness.</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w:t>
      </w:r>
      <w:r>
        <w:rPr>
          <w:rFonts w:ascii="Arial" w:cs="Arial" w:eastAsia="Arial" w:hAnsi="Arial"/>
          <w:sz w:val="19"/>
          <w:szCs w:val="19"/>
          <w:color w:val="auto"/>
        </w:rPr>
        <w:t>” shall mean any one or more of (a) LIC, (b) a Liberty Successor, (c) Douglas Lebda, (d) John C. Malone or Gregory B. Maffei, (e) each of the respective Affiliated Persons of the Persons referred to in clause (b) or (c), and (f) any Person a majority of the aggregate voting power of all the outstanding classes or series of the equity securities of which are beneficially owned by any one or more of the Persons referred to in clauses (a), (b), (c) or (d). For purposes of this definition, “Person” has the meaning given to it for purposes of Section 13(d) of the Exchange Act or any successor provision.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shall mean:</w:t>
      </w:r>
    </w:p>
    <w:p>
      <w:pPr>
        <w:spacing w:after="0" w:line="220" w:lineRule="exact"/>
        <w:rPr>
          <w:sz w:val="20"/>
          <w:szCs w:val="20"/>
          <w:color w:val="auto"/>
        </w:rPr>
      </w:pPr>
    </w:p>
    <w:p>
      <w:pPr>
        <w:jc w:val="both"/>
        <w:ind w:left="1300" w:firstLine="1301"/>
        <w:spacing w:after="0" w:line="254" w:lineRule="auto"/>
        <w:tabs>
          <w:tab w:leader="none" w:pos="3415" w:val="left"/>
        </w:tabs>
        <w:numPr>
          <w:ilvl w:val="0"/>
          <w:numId w:val="38"/>
        </w:numPr>
        <w:rPr>
          <w:rFonts w:ascii="Arial" w:cs="Arial" w:eastAsia="Arial" w:hAnsi="Arial"/>
          <w:sz w:val="18"/>
          <w:szCs w:val="18"/>
          <w:color w:val="auto"/>
        </w:rPr>
      </w:pPr>
      <w:r>
        <w:rPr>
          <w:rFonts w:ascii="Arial" w:cs="Arial" w:eastAsia="Arial" w:hAnsi="Arial"/>
          <w:sz w:val="22"/>
          <w:szCs w:val="22"/>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1" w:right="239" w:bottom="1440" w:gutter="0" w:footer="0" w:header="0"/>
        </w:sectPr>
      </w:pPr>
    </w:p>
    <w:bookmarkStart w:id="71" w:name="page72"/>
    <w:bookmarkEnd w:id="71"/>
    <w:p>
      <w:pPr>
        <w:jc w:val="both"/>
        <w:ind w:left="1300" w:firstLine="1301"/>
        <w:spacing w:after="0" w:line="254" w:lineRule="auto"/>
        <w:tabs>
          <w:tab w:leader="none" w:pos="3465" w:val="left"/>
        </w:tabs>
        <w:numPr>
          <w:ilvl w:val="0"/>
          <w:numId w:val="39"/>
        </w:numPr>
        <w:rPr>
          <w:rFonts w:ascii="Arial" w:cs="Arial" w:eastAsia="Arial" w:hAnsi="Arial"/>
          <w:sz w:val="18"/>
          <w:szCs w:val="18"/>
          <w:color w:val="auto"/>
        </w:rPr>
      </w:pPr>
      <w:r>
        <w:rPr>
          <w:rFonts w:ascii="Arial" w:cs="Arial" w:eastAsia="Arial" w:hAnsi="Arial"/>
          <w:sz w:val="22"/>
          <w:szCs w:val="22"/>
          <w:color w:val="auto"/>
        </w:rPr>
        <w:t>commercial paper having a rating of at least A-1 or the equivalent thereof by Standard &amp; Poor’s Rating Service or at least P-1 or the equivalent thereof by Moody’s Investors Service Inc., at the time of acquisition thereof, of S&amp;P or Moody’s and in either case maturing within one year from the date of acquisition thereof;</w:t>
      </w:r>
    </w:p>
    <w:p>
      <w:pPr>
        <w:spacing w:after="0" w:line="225" w:lineRule="exact"/>
        <w:rPr>
          <w:rFonts w:ascii="Arial" w:cs="Arial" w:eastAsia="Arial" w:hAnsi="Arial"/>
          <w:sz w:val="18"/>
          <w:szCs w:val="18"/>
          <w:color w:val="auto"/>
        </w:rPr>
      </w:pPr>
    </w:p>
    <w:p>
      <w:pPr>
        <w:jc w:val="both"/>
        <w:ind w:left="1300" w:firstLine="1301"/>
        <w:spacing w:after="0" w:line="307" w:lineRule="auto"/>
        <w:tabs>
          <w:tab w:leader="none" w:pos="3515" w:val="left"/>
        </w:tabs>
        <w:numPr>
          <w:ilvl w:val="0"/>
          <w:numId w:val="39"/>
        </w:numPr>
        <w:rPr>
          <w:rFonts w:ascii="Arial" w:cs="Arial" w:eastAsia="Arial" w:hAnsi="Arial"/>
          <w:sz w:val="16"/>
          <w:szCs w:val="16"/>
          <w:color w:val="auto"/>
        </w:rPr>
      </w:pPr>
      <w:r>
        <w:rPr>
          <w:rFonts w:ascii="Arial" w:cs="Arial" w:eastAsia="Arial" w:hAnsi="Arial"/>
          <w:sz w:val="19"/>
          <w:szCs w:val="19"/>
          <w:color w:val="auto"/>
        </w:rPr>
        <w:t>certificates of deposit, bankers’ acceptances and time deposits maturing within 365 days of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$500,000,000;</w:t>
      </w:r>
    </w:p>
    <w:p>
      <w:pPr>
        <w:spacing w:after="0" w:line="178" w:lineRule="exact"/>
        <w:rPr>
          <w:rFonts w:ascii="Arial" w:cs="Arial" w:eastAsia="Arial" w:hAnsi="Arial"/>
          <w:sz w:val="16"/>
          <w:szCs w:val="16"/>
          <w:color w:val="auto"/>
        </w:rPr>
      </w:pPr>
    </w:p>
    <w:p>
      <w:pPr>
        <w:jc w:val="both"/>
        <w:ind w:left="1300" w:firstLine="1301"/>
        <w:spacing w:after="0" w:line="260" w:lineRule="auto"/>
        <w:tabs>
          <w:tab w:leader="none" w:pos="3504" w:val="left"/>
        </w:tabs>
        <w:numPr>
          <w:ilvl w:val="0"/>
          <w:numId w:val="39"/>
        </w:numPr>
        <w:rPr>
          <w:rFonts w:ascii="Arial" w:cs="Arial" w:eastAsia="Arial" w:hAnsi="Arial"/>
          <w:sz w:val="18"/>
          <w:szCs w:val="18"/>
          <w:color w:val="auto"/>
        </w:rPr>
      </w:pPr>
      <w:r>
        <w:rPr>
          <w:rFonts w:ascii="Arial" w:cs="Arial" w:eastAsia="Arial" w:hAnsi="Arial"/>
          <w:sz w:val="22"/>
          <w:szCs w:val="22"/>
          <w:color w:val="auto"/>
        </w:rPr>
        <w:t>fully collateralized repurchase agreements with a term of not more than 30 days for securities described in clause (i) above and entered into with a financial institution satisfying the criteria described in clause (iii) above; and</w:t>
      </w:r>
    </w:p>
    <w:p>
      <w:pPr>
        <w:spacing w:after="0" w:line="217" w:lineRule="exact"/>
        <w:rPr>
          <w:rFonts w:ascii="Arial" w:cs="Arial" w:eastAsia="Arial" w:hAnsi="Arial"/>
          <w:sz w:val="18"/>
          <w:szCs w:val="18"/>
          <w:color w:val="auto"/>
        </w:rPr>
      </w:pPr>
    </w:p>
    <w:p>
      <w:pPr>
        <w:ind w:left="1300" w:firstLine="1301"/>
        <w:spacing w:after="0" w:line="276" w:lineRule="auto"/>
        <w:tabs>
          <w:tab w:leader="none" w:pos="3454" w:val="left"/>
        </w:tabs>
        <w:numPr>
          <w:ilvl w:val="0"/>
          <w:numId w:val="39"/>
        </w:numPr>
        <w:rPr>
          <w:rFonts w:ascii="Arial" w:cs="Arial" w:eastAsia="Arial" w:hAnsi="Arial"/>
          <w:sz w:val="18"/>
          <w:szCs w:val="18"/>
          <w:color w:val="auto"/>
        </w:rPr>
      </w:pPr>
      <w:r>
        <w:rPr>
          <w:rFonts w:ascii="Arial" w:cs="Arial" w:eastAsia="Arial" w:hAnsi="Arial"/>
          <w:sz w:val="22"/>
          <w:szCs w:val="22"/>
          <w:color w:val="auto"/>
        </w:rPr>
        <w:t>mutual funds investing solely in any one or more of the Permitted Investments described in clauses (i) through (iv) above.</w:t>
      </w:r>
    </w:p>
    <w:p>
      <w:pPr>
        <w:spacing w:after="0" w:line="20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Tax Distributions</w:t>
      </w:r>
      <w:r>
        <w:rPr>
          <w:rFonts w:ascii="Arial" w:cs="Arial" w:eastAsia="Arial" w:hAnsi="Arial"/>
          <w:sz w:val="19"/>
          <w:szCs w:val="19"/>
          <w:color w:val="auto"/>
        </w:rPr>
        <w:t>” shall mean tax distributions by a Loan Party (so long as such Loan Party is treated as a pass-through or disregarded entity) to its members (“</w:t>
      </w:r>
      <w:r>
        <w:rPr>
          <w:rFonts w:ascii="Arial" w:cs="Arial" w:eastAsia="Arial" w:hAnsi="Arial"/>
          <w:sz w:val="19"/>
          <w:szCs w:val="19"/>
          <w:u w:val="single" w:color="auto"/>
          <w:color w:val="auto"/>
        </w:rPr>
        <w:t>Tax Distributions</w:t>
      </w:r>
      <w:r>
        <w:rPr>
          <w:rFonts w:ascii="Arial" w:cs="Arial" w:eastAsia="Arial" w:hAnsi="Arial"/>
          <w:sz w:val="19"/>
          <w:szCs w:val="19"/>
          <w:color w:val="auto"/>
        </w:rPr>
        <w:t xml:space="preserve">”) (i) on a quarterly basis,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proportion to their respective percentage interests in such Loan Party (except as otherwise required below), so long as the aggregate amount of such Tax Distributions does not exceed, quarterly, an amount equal to such Loan Party’s good faith estimate of the Applicable Tax (as hereinafter defined) with respect to such taxable year, less the amount paid, if any, with respect to prior quarters of such taxable year; and (ii) on an annual basis after the end of such Loan Party’s taxable year, to the extent necessary so that the sum of the amounts so distributed under this clause (ii) and the amounts distributed under clause (i) above equals the minimum aggregate amount (the “</w:t>
      </w:r>
      <w:r>
        <w:rPr>
          <w:rFonts w:ascii="Arial" w:cs="Arial" w:eastAsia="Arial" w:hAnsi="Arial"/>
          <w:sz w:val="19"/>
          <w:szCs w:val="19"/>
          <w:u w:val="single" w:color="auto"/>
          <w:color w:val="auto"/>
        </w:rPr>
        <w:t>Applicable Tax</w:t>
      </w:r>
      <w:r>
        <w:rPr>
          <w:rFonts w:ascii="Arial" w:cs="Arial" w:eastAsia="Arial" w:hAnsi="Arial"/>
          <w:sz w:val="19"/>
          <w:szCs w:val="19"/>
          <w:color w:val="auto"/>
        </w:rPr>
        <w:t xml:space="preserve">”) that must be distributed to provide each member with an amount that equals the product of (1) the sum of all items of taxable income or gain allocated to such member for such taxable year less all items of deduction, loss and the loss equivalent of tax credits allocated to such member (or, to the extent applicable, its predecessors in interest) for such taxable year and all prior taxable years to the extent not previously offset by taxable income or gain allocated to such member (or, to the extent applicable, its predecessors in interest) and (2) a percentage equal to [(100%-B) x A] + B, where “A” is the highest marginal federal income tax rate applicable to a corporation or individual (as appropriate) for such preceding taxable year and “B”, with respect to each member, is the highest marginal state income tax rate applicable to such member for such preceding taxable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amount distributed to the members of such Loan Party pursuant to clause (i) for the taxable year exceeds the Applicable Tax for such taxable year (including where the amounts included in taxable income of such Loan Party for such taxable year are decreased as a result of an audit, amended return or otherwise), then such excess shall be credited against the next Tax Distributions permitted to be made with respect to subsequent taxable years.</w:t>
      </w:r>
    </w:p>
    <w:p>
      <w:pPr>
        <w:spacing w:after="0" w:line="16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Third Party Bank</w:t>
      </w:r>
      <w:r>
        <w:rPr>
          <w:rFonts w:ascii="Arial" w:cs="Arial" w:eastAsia="Arial" w:hAnsi="Arial"/>
          <w:sz w:val="22"/>
          <w:szCs w:val="22"/>
          <w:color w:val="auto"/>
        </w:rPr>
        <w:t>” shall mean any bank or other financial institution with whom any Loan Party maintains a Controlled Account and with whom an Account Control Agreement has been executed.</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partnership, firm, corporation, association, joint venture, limited liability company, trust or other entity, or any Governmental Authority.</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shall mean any “employee benefit plan” as defined in Section 3 of ERISA (other than a Multiemployer Plan) maintained or contributed to by Parent, the Borrower or any ERISA Affiliate or to which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31" w:right="239" w:bottom="1440" w:gutter="0" w:footer="0" w:header="0"/>
        </w:sectPr>
      </w:pPr>
    </w:p>
    <w:bookmarkStart w:id="72" w:name="page73"/>
    <w:bookmarkEnd w:id="72"/>
    <w:p>
      <w:pPr>
        <w:jc w:val="both"/>
        <w:spacing w:after="0" w:line="302" w:lineRule="auto"/>
        <w:rPr>
          <w:sz w:val="20"/>
          <w:szCs w:val="20"/>
          <w:color w:val="auto"/>
        </w:rPr>
      </w:pPr>
      <w:r>
        <w:rPr>
          <w:rFonts w:ascii="Arial" w:cs="Arial" w:eastAsia="Arial" w:hAnsi="Arial"/>
          <w:sz w:val="19"/>
          <w:szCs w:val="19"/>
          <w:color w:val="auto"/>
        </w:rPr>
        <w:t>Parent, the Borrower or any ERISA Affiliate has or may have an obligation to contribute, and each such plan that is subject to Title IV of ERISA for the five-year period immediately following the latest date on which Parent, the Borrower or any ERISA Affiliate maintained, contributed to or had an obligation to contribute to (or is deemed under Section 4069 of ERISA to have maintained or contributed to or to have had an obligation to contribute to, or otherwise to have liability with respect to) such plan.</w:t>
      </w:r>
    </w:p>
    <w:p>
      <w:pPr>
        <w:spacing w:after="0" w:line="143"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xml:space="preserve">” shall mean, (i) with respect to any Person, business, property or asset acquired in a Permitted Acquisition, the inclusion as “Consolidated EBITDA” of the EBITDA (i.e. net income before interest, taxes, depreciation and amortization) for such Person, business, property or asset as if such Acquisition had been consummated on the first day of the applicable period, based on historical results accounted for in accordance with GAAP, and may also reflect (a) any projected synergies or similar benefits (net of continuing associated expenses) expected to be realized as a result of such Acquisition to the extent such synergies or similar benefits would be permitted to be reflected in financial statements prepared in compliance with Article 11 of Regulation S-X under the Securities Act and (b) any other demonstrable cost-savings and other adjustments (net of continuing associated expenses) not included in the foregoing clause (a) (including, without limitation, pro forma “run rate” cost savings, operating expense reductions and restructurings) that are reasonably identifiable and projected by Parent in good faith to result from actions that have been taken or with respect to which substantial steps have been taken or are expected to be taken (in the good faith determination of Parent) within 12 months after such Acquisition is consummated and which are so set forth in a certificate of a Responsible Officer of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projected (and not yet realized) cost-savings and other adjustments may no longer be added pursuant to this paragraph after 18 months after the consummation of the applicable Acquisition, (2) all adjustments pursuant to this definition will be without duplication of any amounts that are otherwise included or added back in computing Consolidated EBITDA in accordance with the definition of such term, (3) the aggregate additions to Consolidated EBITDA, for any period being tested, pursuant to clause (b) above (the “</w:t>
      </w:r>
      <w:r>
        <w:rPr>
          <w:rFonts w:ascii="Arial" w:cs="Arial" w:eastAsia="Arial" w:hAnsi="Arial"/>
          <w:sz w:val="19"/>
          <w:szCs w:val="19"/>
          <w:u w:val="single" w:color="auto"/>
          <w:color w:val="auto"/>
        </w:rPr>
        <w:t>Pro Forma Capped Adjustments</w:t>
      </w:r>
      <w:r>
        <w:rPr>
          <w:rFonts w:ascii="Arial" w:cs="Arial" w:eastAsia="Arial" w:hAnsi="Arial"/>
          <w:sz w:val="19"/>
          <w:szCs w:val="19"/>
          <w:color w:val="auto"/>
        </w:rPr>
        <w:t>”), together with the aggregate amount of all other Capped Adjustments for such period, shall not exceed 15% of Consolidated EBITDA for such period determined prior to giving effect to any addback for any Capped Adjustments and (4) if any cost savings or other adjustments included in any pro forma calculations based on the anticipation that such cost savings or other adjustments will be achieved within such 18-month period shall at any time cease to be reasonably anticipated by Parent to be so achieved, then, on and after such time, pro forma calculations required to be made hereunder shall not reflect such cost savings or other adjustments, (ii) with respect to any Person, business, property or asset sold, transferred or otherwise disposed of, the exclusion from “Consolidated EBITDA” of the EBITDA (i.e. net income before interest, taxes, depreciation and amortization) for such Person, business, property or asset so disposed of during such period as if such disposition had been consummated on the first day of the applicable period, in accordance with GAAP, and (iii) with respect to any Indebtedness incurred or Restricted Payment or Investment made, that such Indebtedness had been incurred or such Restricted Payment or Investment had been made (and all Indebtedness in connection with such Restricted Payment or Investment had been incurred), as applicable, on the first day of the applicable period.</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Capped Adjustments</w:t>
      </w:r>
      <w:r>
        <w:rPr>
          <w:rFonts w:ascii="Arial" w:cs="Arial" w:eastAsia="Arial" w:hAnsi="Arial"/>
          <w:sz w:val="19"/>
          <w:szCs w:val="19"/>
          <w:color w:val="auto"/>
        </w:rPr>
        <w:t>” has the meaning assigned to such term in the definition of “Pro Forma Basis”.</w:t>
      </w:r>
    </w:p>
    <w:p>
      <w:pPr>
        <w:spacing w:after="0" w:line="25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Share</w:t>
      </w:r>
      <w:r>
        <w:rPr>
          <w:rFonts w:ascii="Arial" w:cs="Arial" w:eastAsia="Arial" w:hAnsi="Arial"/>
          <w:sz w:val="22"/>
          <w:szCs w:val="22"/>
          <w:color w:val="auto"/>
        </w:rPr>
        <w:t>” shall mean (i) with respect to any Class of Commitment or Loan of any Lender at any time, a percentage, the numerator of which shall be such Lender’s Commitment of such Class (or if such Commitment has been terminated or expired or the Loans have been declared to be due and payable, such Lender’s Revolving Credit Exposure or Incremental Term Loan, as applicable), and the denominator of which shall be the sum of all Commitments of such Class of all Lenders (or if such Commitments have been terminated or expired or the Loans have been declared to be due and payable, all Revolving Credit Exposure or Incremental Term Loans, as applicable, of all Lenders) and (ii) with respect to all Classes of Commitments and Loans 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75" w:right="239" w:bottom="1440" w:gutter="0" w:footer="0" w:header="0"/>
        </w:sectPr>
      </w:pPr>
    </w:p>
    <w:bookmarkStart w:id="73" w:name="page74"/>
    <w:bookmarkEnd w:id="73"/>
    <w:p>
      <w:pPr>
        <w:jc w:val="both"/>
        <w:spacing w:after="0" w:line="297" w:lineRule="auto"/>
        <w:rPr>
          <w:sz w:val="20"/>
          <w:szCs w:val="20"/>
          <w:color w:val="auto"/>
        </w:rPr>
      </w:pPr>
      <w:r>
        <w:rPr>
          <w:rFonts w:ascii="Arial" w:cs="Arial" w:eastAsia="Arial" w:hAnsi="Arial"/>
          <w:sz w:val="19"/>
          <w:szCs w:val="19"/>
          <w:color w:val="auto"/>
        </w:rPr>
        <w:t>any Lender at any time, the numerator of which shall be the sum of such Lender’s Revolving Commitment (or if such Revolving Commitment has been terminated or expired or the Loans have been declared to be due and payable, such Lender’s Revolving Credit Exposure) and Incremental Term Loans and the denominator of which shall be the sum of all Lenders’ Revolving Commitments (or if such Revolving Commitments have been terminated or expired or the Loans have been declared to be due and payable, all Revolving Credit Exposure of all Lenders funded under such Commitments) and Incremental Term Loans.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w:t>
      </w:r>
      <w:r>
        <w:rPr>
          <w:rFonts w:ascii="Arial" w:cs="Arial" w:eastAsia="Arial" w:hAnsi="Arial"/>
          <w:sz w:val="22"/>
          <w:szCs w:val="22"/>
          <w:color w:val="auto"/>
        </w:rPr>
        <w:t>” shall mean all real property owned or leased by Parent or any of its Subsidiaries.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shall mean, as applicable, (a) the Administrative Agent, (b) any Lender and (c) the Issuing Bank.</w:t>
      </w:r>
    </w:p>
    <w:p>
      <w:pPr>
        <w:spacing w:after="0" w:line="23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shall mean Regulation D of the Board of Governors of the Federal Reserve System, as the same may be in effect from time to time, and any successor regulations.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shall mean Regulation T of the Board of Governors of the Federal Reserve System, as the same may be in effect from time to time, and any successor regulations.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shall mean Regulation U of the Board of Governors of the Federal Reserve System, as the same may be in effect from time to time, and any successor regulations.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shall mean Regulation X of the Board of Governors of the Federal Reserve System, as the same may be in effect from time to time, and any successor regulations.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Y</w:t>
      </w:r>
      <w:r>
        <w:rPr>
          <w:rFonts w:ascii="Arial" w:cs="Arial" w:eastAsia="Arial" w:hAnsi="Arial"/>
          <w:sz w:val="22"/>
          <w:szCs w:val="22"/>
          <w:color w:val="auto"/>
        </w:rPr>
        <w:t>” shall mean Regulation Y of the Board of Governors of the Federal Reserve System, as the same may be in effect from time to time, and any successor regulations.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shall mean, with respect to any specified Person, such Person’s Affiliates and the respective managers, administrators, trustees, partners, directors, officers, employees, agents, advisors, counsel, consultants or other representatives of such Person and such Person’s Affiliates.</w:t>
      </w:r>
    </w:p>
    <w:p>
      <w:pPr>
        <w:spacing w:after="0" w:line="186"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spacing w:after="0" w:line="18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shall mean, at any time, Lenders holding more than 50% of the aggregate outstanding Revolving Commitments and Incremental Term Loans at such time or, if the Lenders have no Commitments outstanding, then Lenders holding more than 50% of the aggregate outstanding Revolving Credit Exposure and Incremental Term Loans of the Lenders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that to the extent that any Lender is a Defaulting Lender, such Defaulting Lender and all of its Revolving Commitments, Revolving Credit Exposure and Incremental Term Loans shall be excluded for purposes of determining Required Lenders.</w:t>
      </w:r>
    </w:p>
    <w:p>
      <w:pPr>
        <w:spacing w:after="0" w:line="19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Revolving Lenders</w:t>
      </w:r>
      <w:r>
        <w:rPr>
          <w:rFonts w:ascii="Arial" w:cs="Arial" w:eastAsia="Arial" w:hAnsi="Arial"/>
          <w:sz w:val="22"/>
          <w:szCs w:val="22"/>
          <w:color w:val="auto"/>
        </w:rPr>
        <w:t xml:space="preserve">” shall mean, at any time, Lenders holding more than 50% of the aggregate outstanding Revolving Commitments at such time or, if the Lenders have no Revolving Commitments outstanding, then Lenders holding more than 50% of the aggregate Revolving Credit Exposure;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that any Lender is a Defaulting Lender, such Defaulting Lender and all of its Revolving Commitments and Revolving Credit Exposure shall be excluded for purposes of determining Required Revolving Lenders.</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for any Person shall mean the articles or certificate of incorporation, bylaws, partnership certificate and agreement, or limited liability company certificate of organization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75" w:right="2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22"/>
          <w:szCs w:val="22"/>
          <w:color w:val="auto"/>
        </w:rPr>
        <w:t>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w:t>
      </w:r>
    </w:p>
    <w:p>
      <w:pPr>
        <w:spacing w:after="0" w:line="18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shall mean (x) with respect to certifying compliance with the financial covenants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the chief financial officer or the treasurer of Parent and (y) with respect to all other provisions, any of the president, the chief executive officer, the chief operating officer, the chief financial officer, the treasurer or a vice president of Parent or such other representative of Parent as may be designated in writing by any one of the foregoing with the consent of the Administrative Agent.</w:t>
      </w:r>
    </w:p>
    <w:p>
      <w:pPr>
        <w:spacing w:after="0" w:line="14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shall mean, for any Person, any dividend or distribution on any class of its Capital Stock, or any payment on account of, or set apart assets for a sinking or other analogous fund for, the purchase, redemption, retirement, defeasance or other acquisition of any shares of its Capital Stock, any Indebtedness subordinated to the Obligations or any Guarantee thereof or any options, warrants or other rights to purchase such Capital Stock or such Indebtedness, whether now or hereafter outstanding, or any management or similar fees.</w:t>
      </w:r>
    </w:p>
    <w:p>
      <w:pPr>
        <w:spacing w:after="0" w:line="19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xml:space="preserve">” shall mean, with respect to each Lender, the commitment of such Lender to make Revolving Loans to the Borrower and to acquire participations in Letters of Credit and Swingline Loans in an aggregate principal amount not exceeding the amount set forth with respect to such Lender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as such schedule may be amended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or, in the case of a Person becoming a Lender after the Closing Date, the amount of the assigned “Revolving Commitment” as provided in the Assignment and Assumption executed by such Person as an assignee, or the joinder executed by such Person, in each case as such commitment may subsequently be increased or decreased pursuant to the terms hereof.</w:t>
      </w:r>
    </w:p>
    <w:p>
      <w:pPr>
        <w:spacing w:after="0" w:line="15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 Termination Date</w:t>
      </w:r>
      <w:r>
        <w:rPr>
          <w:rFonts w:ascii="Arial" w:cs="Arial" w:eastAsia="Arial" w:hAnsi="Arial"/>
          <w:sz w:val="19"/>
          <w:szCs w:val="19"/>
          <w:color w:val="auto"/>
        </w:rPr>
        <w:t xml:space="preserve">” shall mean the earliest of (i) October 22, 2020, (ii) the date on which the Revolving Commitments are terminated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(iii) the date on which all amounts outstanding under this Agreement have been declared or have automatically become due and payable (whether by acceleration or otherwise).</w:t>
      </w:r>
    </w:p>
    <w:p>
      <w:pPr>
        <w:spacing w:after="0" w:line="13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shall mean, with respect to any Lender at any time, the sum of the outstanding principal amount of such Lender’s Revolving Loans, LC Exposure and Swingline Exposure.</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shall mean a loan made by a Lender (other than the Swingline Lender) to the Borrower under its Revolving Commitment, which may either be a Base Rate Loan or a Eurodollar Loan.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shall mean Standard &amp; Poor’s, a division of The McGraw-Hill Companies, Inc.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Sale/Leaseback Transaction</w:t>
      </w:r>
      <w:r>
        <w:rPr>
          <w:rFonts w:ascii="Arial" w:cs="Arial" w:eastAsia="Arial" w:hAnsi="Arial"/>
          <w:sz w:val="22"/>
          <w:szCs w:val="22"/>
          <w:color w:val="auto"/>
        </w:rPr>
        <w:t>” shall have the meaning set forth in Section 7.9.</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shall mean, at any time, a country or territory that is, or whose government is, the subject or target of any Sanctions.</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shall mean, at any time, (a) any Person listed in any Sanctions-related list of designated Persons maintained by OFAC, the U.S. Department of State, the United Nations Security Council, the European Union or any EU member state, (b) any Person located, organized or resident in a Sanctioned Country or (c) any Person controlled by any such Person.</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shall mean economic or financial sanctions or trade embargoes administered or enforced from time to time by (a) the U.S. government, including those administered by OFAC or the 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75" w:right="2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22"/>
          <w:szCs w:val="22"/>
          <w:color w:val="auto"/>
        </w:rPr>
        <w:t>Department of State or (b) the United Nations Security Council, the European Union or Her Majesty’s Treasury of the United Kingdom.</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shall mean the Administrative Agent, the Lenders, the Issuing Bank, the Lender-Related Hedge Providers and the Bank Product Providers.</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spacing w:after="0" w:line="18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shall mean,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or held, or (ii) that is, as of such date, otherwise controlled, by the parent or one or more subsidiaries of the parent or by the parent and one or more subsidiaries of the parent. Unless otherwise indicated, all references to “Subsidiary” hereunder shall mean a Subsidiary of Parent.</w:t>
      </w:r>
    </w:p>
    <w:p>
      <w:pPr>
        <w:spacing w:after="0" w:line="157"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Loan Party</w:t>
      </w:r>
      <w:r>
        <w:rPr>
          <w:rFonts w:ascii="Arial" w:cs="Arial" w:eastAsia="Arial" w:hAnsi="Arial"/>
          <w:sz w:val="19"/>
          <w:szCs w:val="19"/>
          <w:color w:val="auto"/>
        </w:rPr>
        <w:t xml:space="preserve">” shall mean any Domestic Subsidiary of Parent that executes or becomes a party to the Guaranty and Security Agreement. As of the Closing Date, the Subsidiary Loan Parties are set forth on </w:t>
      </w:r>
      <w:r>
        <w:rPr>
          <w:rFonts w:ascii="Arial" w:cs="Arial" w:eastAsia="Arial" w:hAnsi="Arial"/>
          <w:sz w:val="19"/>
          <w:szCs w:val="19"/>
          <w:u w:val="single" w:color="auto"/>
          <w:color w:val="auto"/>
        </w:rPr>
        <w:t>Schedule 1.1(b)</w:t>
      </w:r>
      <w:r>
        <w:rPr>
          <w:rFonts w:ascii="Arial" w:cs="Arial" w:eastAsia="Arial" w:hAnsi="Arial"/>
          <w:sz w:val="19"/>
          <w:szCs w:val="19"/>
          <w:color w:val="auto"/>
        </w:rPr>
        <w:t>.</w:t>
      </w:r>
    </w:p>
    <w:p>
      <w:pPr>
        <w:spacing w:after="0" w:line="10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shall mean, with respect to any Guarantor, any obligation to pay or perform under any agreement, contract or transaction that constitutes a “swap” within the meaning of section 1a(47) of the Commodity Exchange Act.</w:t>
      </w:r>
    </w:p>
    <w:p>
      <w:pPr>
        <w:spacing w:after="0" w:line="10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Commitment</w:t>
      </w:r>
      <w:r>
        <w:rPr>
          <w:rFonts w:ascii="Arial" w:cs="Arial" w:eastAsia="Arial" w:hAnsi="Arial"/>
          <w:sz w:val="22"/>
          <w:szCs w:val="22"/>
          <w:color w:val="auto"/>
        </w:rPr>
        <w:t>” shall mean the commitment of the Swingline Lender to make Swingline Loans in an aggregate principal amount at any time outstanding not to exceed $10,000,000.</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Exposure</w:t>
      </w:r>
      <w:r>
        <w:rPr>
          <w:rFonts w:ascii="Arial" w:cs="Arial" w:eastAsia="Arial" w:hAnsi="Arial"/>
          <w:sz w:val="22"/>
          <w:szCs w:val="22"/>
          <w:color w:val="auto"/>
        </w:rPr>
        <w:t xml:space="preserve">” shall mean, with respect to each Lender, the principal amount of the Swingline Loans in which such Lender is legally obligated either to make a Base Rate Loan or to purchase a participation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2.4</w:t>
      </w:r>
      <w:r>
        <w:rPr>
          <w:rFonts w:ascii="Arial" w:cs="Arial" w:eastAsia="Arial" w:hAnsi="Arial"/>
          <w:sz w:val="22"/>
          <w:szCs w:val="22"/>
          <w:color w:val="auto"/>
        </w:rPr>
        <w:t>, which shall equal such Lender’s Pro Rata Share of all outstanding Swingline Loans.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shall mean SunTrust Bank.</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shall mean a loan made to the Borrower by the Swingline Lender under the Swingline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Commitment.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5" w:right="239" w:bottom="1440" w:gutter="0" w:footer="0" w:header="0"/>
        </w:sectPr>
      </w:pPr>
    </w:p>
    <w:bookmarkStart w:id="76" w:name="page77"/>
    <w:bookmarkEnd w:id="76"/>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w:t>
      </w:r>
      <w:r>
        <w:rPr>
          <w:rFonts w:ascii="Arial" w:cs="Arial" w:eastAsia="Arial" w:hAnsi="Arial"/>
          <w:sz w:val="19"/>
          <w:szCs w:val="19"/>
          <w:color w:val="auto"/>
        </w:rPr>
        <w:t>” 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spacing w:after="0" w:line="13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 Obligations</w:t>
      </w:r>
      <w:r>
        <w:rPr>
          <w:rFonts w:ascii="Arial" w:cs="Arial" w:eastAsia="Arial" w:hAnsi="Arial"/>
          <w:sz w:val="22"/>
          <w:szCs w:val="22"/>
          <w:color w:val="auto"/>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18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shall mean any and all present or future taxes, levies, imposts, duties, deductions, withholdings (including backup withholding), assessments, fees, charges imposed by any Governmental Authority, including any interest, additions to tax or penalties applicable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Amount</w:t>
      </w:r>
      <w:r>
        <w:rPr>
          <w:rFonts w:ascii="Arial" w:cs="Arial" w:eastAsia="Arial" w:hAnsi="Arial"/>
          <w:sz w:val="22"/>
          <w:szCs w:val="22"/>
          <w:color w:val="auto"/>
        </w:rPr>
        <w:t>” shall mean $7,000,000.</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w:t>
      </w:r>
      <w:r>
        <w:rPr>
          <w:rFonts w:ascii="Arial" w:cs="Arial" w:eastAsia="Arial" w:hAnsi="Arial"/>
          <w:sz w:val="22"/>
          <w:szCs w:val="22"/>
          <w:color w:val="auto"/>
        </w:rPr>
        <w:t>” shall have the meaning assigned to such term in the Guaranty and Security Agreement.</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shall mean any Trademark Security Agreement executed by a Loan Party owning registered Trademarks or applications for Trademarks in favor of the Administrative Agent for the benefit of the Secured Parties, both on the Closing Date and</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with the Enemy Act</w:t>
      </w:r>
      <w:r>
        <w:rPr>
          <w:rFonts w:ascii="Arial" w:cs="Arial" w:eastAsia="Arial" w:hAnsi="Arial"/>
          <w:sz w:val="22"/>
          <w:szCs w:val="22"/>
          <w:color w:val="auto"/>
        </w:rPr>
        <w:t>” shall mean the Trading with the Enemy Act of the United States of America (50 U.S.C. App. §§ 1 et seq.), as amended and in effect from time to time.</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when used in reference to a Loan or a Borrowing, refers to whether the rate of interest on such Loan, or on the Loans comprising such Borrowing, is determined by reference to the Adjusted LIBO Rate or the Base Rate.</w:t>
      </w:r>
    </w:p>
    <w:p>
      <w:pPr>
        <w:spacing w:after="0" w:line="15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Unfinanced Cash Capital Expenditures</w:t>
      </w:r>
      <w:r>
        <w:rPr>
          <w:rFonts w:ascii="Arial" w:cs="Arial" w:eastAsia="Arial" w:hAnsi="Arial"/>
          <w:sz w:val="22"/>
          <w:szCs w:val="22"/>
          <w:color w:val="auto"/>
        </w:rPr>
        <w:t xml:space="preserve">” shall mean, for any period, the amount of Capital Expenditures made by Parent and its Subsidiaries during such period in cash, but excluding any such Capital Expenditures financed with Indebtedness permitted under </w:t>
      </w: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18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Unfunded Pension Liability</w:t>
      </w:r>
      <w:r>
        <w:rPr>
          <w:rFonts w:ascii="Arial" w:cs="Arial" w:eastAsia="Arial" w:hAnsi="Arial"/>
          <w:sz w:val="19"/>
          <w:szCs w:val="19"/>
          <w:color w:val="auto"/>
        </w:rPr>
        <w:t>” 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14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or “</w:t>
      </w:r>
      <w:r>
        <w:rPr>
          <w:rFonts w:ascii="Arial" w:cs="Arial" w:eastAsia="Arial" w:hAnsi="Arial"/>
          <w:sz w:val="22"/>
          <w:szCs w:val="22"/>
          <w:u w:val="single" w:color="auto"/>
          <w:color w:val="auto"/>
        </w:rPr>
        <w:t>UCC</w:t>
      </w:r>
      <w:r>
        <w:rPr>
          <w:rFonts w:ascii="Arial" w:cs="Arial" w:eastAsia="Arial" w:hAnsi="Arial"/>
          <w:sz w:val="22"/>
          <w:szCs w:val="22"/>
          <w:color w:val="auto"/>
        </w:rPr>
        <w:t>” shall mean the Uniform Commercial Code as in effect from time to time in the State of New York.</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Borrower</w:t>
      </w:r>
      <w:r>
        <w:rPr>
          <w:rFonts w:ascii="Arial" w:cs="Arial" w:eastAsia="Arial" w:hAnsi="Arial"/>
          <w:sz w:val="22"/>
          <w:szCs w:val="22"/>
          <w:color w:val="auto"/>
        </w:rPr>
        <w:t>” shall mean any Borrower that is a U.S. Person.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shall mean any Person that is a “United States person” as defined in Section 7701(a)(30) of the Code.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2.20(e)(ii)</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74" w:right="239" w:bottom="1440" w:gutter="0" w:footer="0" w:header="0"/>
        </w:sectPr>
      </w:pPr>
    </w:p>
    <w:bookmarkStart w:id="77" w:name="page78"/>
    <w:bookmarkEnd w:id="77"/>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shall mean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Withholding Agent</w:t>
      </w:r>
      <w:r>
        <w:rPr>
          <w:rFonts w:ascii="Arial" w:cs="Arial" w:eastAsia="Arial" w:hAnsi="Arial"/>
          <w:sz w:val="21"/>
          <w:szCs w:val="21"/>
          <w:color w:val="auto"/>
        </w:rPr>
        <w:t>” shall mean Parent, the Borrower, any other Loan Party or the Administrative Agent, as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applicable.</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w:t>
      </w:r>
      <w:r>
        <w:rPr>
          <w:rFonts w:ascii="Arial" w:cs="Arial" w:eastAsia="Arial" w:hAnsi="Arial"/>
          <w:sz w:val="22"/>
          <w:szCs w:val="22"/>
          <w:color w:val="auto"/>
        </w:rPr>
        <w:t>” shall mean: for each Fiscal Year, the Current Assets less the Current Liabilities on December 31 of such Fiscal Year compared to the Current Assets less the Current Liabilities on December 31 of the immediately prior Fiscal Year.</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b w:val="1"/>
          <w:bCs w:val="1"/>
          <w:u w:val="single" w:color="auto"/>
          <w:color w:val="auto"/>
        </w:rPr>
        <w:t>Classifications of Loans and Borrowings</w:t>
      </w:r>
      <w:r>
        <w:rPr>
          <w:rFonts w:ascii="Arial" w:cs="Arial" w:eastAsia="Arial" w:hAnsi="Arial"/>
          <w:sz w:val="22"/>
          <w:szCs w:val="22"/>
          <w:color w:val="auto"/>
        </w:rPr>
        <w:t>. For purposes of this Agreement, Loans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classified and referred to by Class (e.g. “Revolving Loan” or “Incremental Term Loan”) or by Type (e.g. “Eurodollar Loan” or “Base Rate Loan”) or by Class and Type (e.g. “Revolving Eurodollar Loan”). Borrowings also may be classified and referred to by Class (e.g. “Revolving Borrowing”) or by Type (e.g. “Eurodollar Borrowing”) or by Class and Type (e.g. “Revolving Eurodollar Borrowing”).</w:t>
      </w: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1.3 </w:t>
      </w:r>
      <w:r>
        <w:rPr>
          <w:rFonts w:ascii="Arial" w:cs="Arial" w:eastAsia="Arial" w:hAnsi="Arial"/>
          <w:sz w:val="19"/>
          <w:szCs w:val="19"/>
          <w:b w:val="1"/>
          <w:bCs w:val="1"/>
          <w:u w:val="single" w:color="auto"/>
          <w:color w:val="auto"/>
        </w:rPr>
        <w:t>Accounting Terms and Determination</w:t>
      </w:r>
      <w:r>
        <w:rPr>
          <w:rFonts w:ascii="Arial" w:cs="Arial" w:eastAsia="Arial" w:hAnsi="Arial"/>
          <w:sz w:val="19"/>
          <w:szCs w:val="19"/>
          <w:color w:val="auto"/>
        </w:rPr>
        <w:t>. Unless otherwise defined or specified herein,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accounting terms used herein shall be interpreted, all accounting determinations hereunder shall be made, and all financial statements required to be delivered hereunder shall be prepared, in accordance with GAAP as in effect from time to time, applied on a basis consistent with the most recent audited consolidated financial statement of Parent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notifies the Administrative Agent that the Borrower wishes to amend any covenant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to eliminate the effect of any change in GAAP on the operation of such covenant (or if the Administrative Agent notifies the Borrower that the Required Lenders wish to amend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for such purpose), then the Borrower’s compliance with such covenant shall be determined on the basis of GAAP in effect immediately before the relevant change in GAAP became effective, until either such notice is withdrawn or such covenant is amended in a manner reasonably satisfactory to the Borrower and the Required Lenders and the Administrative Agent, the Lenders and the Borrower shall negotiate in good faith to amend such covenant to preserve the original intent thereof in light of such change in GAAP.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any Loan Party or any Subsidiary of any Loan Party at “fair value”, as defined therein.</w:t>
      </w: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1.4 </w:t>
      </w:r>
      <w:r>
        <w:rPr>
          <w:rFonts w:ascii="Arial" w:cs="Arial" w:eastAsia="Arial" w:hAnsi="Arial"/>
          <w:sz w:val="21"/>
          <w:szCs w:val="21"/>
          <w:b w:val="1"/>
          <w:bCs w:val="1"/>
          <w:u w:val="single" w:color="auto"/>
          <w:color w:val="auto"/>
        </w:rPr>
        <w:t>Terms Generally</w:t>
      </w:r>
      <w:r>
        <w:rPr>
          <w:rFonts w:ascii="Arial" w:cs="Arial" w:eastAsia="Arial" w:hAnsi="Arial"/>
          <w:sz w:val="21"/>
          <w:szCs w:val="21"/>
          <w:color w:val="auto"/>
        </w:rPr>
        <w:t>. The definitions of terms herein shall apply equally to the singular and plural</w:t>
      </w:r>
      <w:r>
        <w:rPr>
          <w:rFonts w:ascii="Arial" w:cs="Arial" w:eastAsia="Arial" w:hAnsi="Arial"/>
          <w:sz w:val="21"/>
          <w:szCs w:val="21"/>
          <w:b w:val="1"/>
          <w:bCs w:val="1"/>
          <w:color w:val="auto"/>
        </w:rPr>
        <w:t xml:space="preserve"> </w:t>
      </w:r>
      <w:r>
        <w:rPr>
          <w:rFonts w:ascii="Arial" w:cs="Arial" w:eastAsia="Arial" w:hAnsi="Arial"/>
          <w:sz w:val="21"/>
          <w:szCs w:val="21"/>
          <w:color w:val="auto"/>
        </w:rPr>
        <w:t>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and (v) all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75" w:right="239" w:bottom="1440" w:gutter="0" w:footer="0" w:header="0"/>
        </w:sectPr>
      </w:pPr>
    </w:p>
    <w:bookmarkStart w:id="78" w:name="page79"/>
    <w:bookmarkEnd w:id="78"/>
    <w:p>
      <w:pPr>
        <w:spacing w:after="0" w:line="263" w:lineRule="auto"/>
        <w:rPr>
          <w:sz w:val="20"/>
          <w:szCs w:val="20"/>
          <w:color w:val="auto"/>
        </w:rPr>
      </w:pPr>
      <w:r>
        <w:rPr>
          <w:rFonts w:ascii="Arial" w:cs="Arial" w:eastAsia="Arial" w:hAnsi="Arial"/>
          <w:sz w:val="22"/>
          <w:szCs w:val="22"/>
          <w:color w:val="auto"/>
        </w:rPr>
        <w:t>references to a specific time shall be construed to refer to the time in the city and state of the Administrative Agent’s principal office, unless otherwise indicated.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AMOUNT AND TERMS OF THE COMMITMENTS</w:t>
      </w:r>
    </w:p>
    <w:p>
      <w:pPr>
        <w:spacing w:after="0" w:line="26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u w:val="single" w:color="auto"/>
          <w:color w:val="auto"/>
        </w:rPr>
        <w:t>General Description of Facilities</w:t>
      </w:r>
      <w:r>
        <w:rPr>
          <w:rFonts w:ascii="Arial" w:cs="Arial" w:eastAsia="Arial" w:hAnsi="Arial"/>
          <w:sz w:val="19"/>
          <w:szCs w:val="19"/>
          <w:color w:val="auto"/>
        </w:rPr>
        <w:t>. Subject to and upon the terms and conditions herein set forth,</w:t>
      </w:r>
    </w:p>
    <w:p>
      <w:pPr>
        <w:spacing w:after="0" w:line="28" w:lineRule="exact"/>
        <w:rPr>
          <w:sz w:val="20"/>
          <w:szCs w:val="20"/>
          <w:color w:val="auto"/>
        </w:rPr>
      </w:pPr>
    </w:p>
    <w:p>
      <w:pPr>
        <w:jc w:val="both"/>
        <w:ind w:firstLine="8"/>
        <w:spacing w:after="0" w:line="281" w:lineRule="auto"/>
        <w:tabs>
          <w:tab w:leader="none" w:pos="263"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the Lenders hereby establish in favor of the Borrower a revolving credit facility pursuant to which each Lender severally agrees (to the extent of such Lender’s Revolving Commitment) to make Revolving Loans to the Borrower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90" w:lineRule="auto"/>
        <w:tabs>
          <w:tab w:leader="none" w:pos="327"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the Issuing Bank may issue Letters of Credit in accordance with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(iii) the Swingline Lender may make Swingline Loans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(iv) each Lender agrees to purchase a participation interest in the Letters of Credit and the Swingline Loans pursuant to the terms and conditions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aggregate principal amount of all outstanding Revolving Loans, Swingline Loans and outstanding LC Exposure exceed the Aggregate Revolving Commitment Amount in effect from time to time, and (v) Incremental Term Loan commitments may be established as provided in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and the Incremental Term Loans thereunder shall be made in accordance with such Section.</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Section 2.2 </w:t>
      </w:r>
      <w:r>
        <w:rPr>
          <w:rFonts w:ascii="Arial" w:cs="Arial" w:eastAsia="Arial" w:hAnsi="Arial"/>
          <w:sz w:val="22"/>
          <w:szCs w:val="22"/>
          <w:b w:val="1"/>
          <w:bCs w:val="1"/>
          <w:u w:val="single" w:color="auto"/>
          <w:color w:val="auto"/>
        </w:rPr>
        <w:t>Revolving Loans</w:t>
      </w:r>
      <w:r>
        <w:rPr>
          <w:rFonts w:ascii="Arial" w:cs="Arial" w:eastAsia="Arial" w:hAnsi="Arial"/>
          <w:sz w:val="22"/>
          <w:szCs w:val="22"/>
          <w:color w:val="auto"/>
        </w:rPr>
        <w:t>. Subject to the terms and conditions set forth herein, each Lender severally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agrees to make Revolving Loans, ratably in proportion to its Pro Rata Share of the Aggregate Revolving Commitments, to the Borrower, from time to time during the Availability Period, in an aggregate principal amount outstanding at any time that will not result in (a) such Lender’s Revolving Credit Exposure exceeding such Lender’s Revolving Commitment or (b) the aggregate Revolving Credit Exposures of all Lenders exceeding the Aggregate Revolving Commitment Amount. During the Availability Period, the Borrower shall be entitled to borrow, prepay and reborrow Revolving Loans in accordance with the terms and conditions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may not borrow or reborrow should there exist a Default or Event of Default.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b w:val="1"/>
          <w:bCs w:val="1"/>
          <w:color w:val="auto"/>
        </w:rPr>
        <w:t xml:space="preserve">Section 2.3 </w:t>
      </w:r>
      <w:r>
        <w:rPr>
          <w:rFonts w:ascii="Arial" w:cs="Arial" w:eastAsia="Arial" w:hAnsi="Arial"/>
          <w:sz w:val="21"/>
          <w:szCs w:val="21"/>
          <w:b w:val="1"/>
          <w:bCs w:val="1"/>
          <w:u w:val="single" w:color="auto"/>
          <w:color w:val="auto"/>
        </w:rPr>
        <w:t>Procedure for Revolving Borrowings</w:t>
      </w:r>
      <w:r>
        <w:rPr>
          <w:rFonts w:ascii="Arial" w:cs="Arial" w:eastAsia="Arial" w:hAnsi="Arial"/>
          <w:sz w:val="21"/>
          <w:szCs w:val="21"/>
          <w:color w:val="auto"/>
        </w:rPr>
        <w:t>. The Borrower shall give the Administrative Agent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written notice (or telephonic notice promptly confirmed in writing) of each Revolving Borrowing, substantially in the form of </w:t>
      </w:r>
      <w:r>
        <w:rPr>
          <w:rFonts w:ascii="Arial" w:cs="Arial" w:eastAsia="Arial" w:hAnsi="Arial"/>
          <w:sz w:val="21"/>
          <w:szCs w:val="21"/>
          <w:u w:val="single" w:color="auto"/>
          <w:color w:val="auto"/>
        </w:rPr>
        <w:t>Exhibit 2.3</w:t>
      </w:r>
      <w:r>
        <w:rPr>
          <w:rFonts w:ascii="Arial" w:cs="Arial" w:eastAsia="Arial" w:hAnsi="Arial"/>
          <w:sz w:val="21"/>
          <w:szCs w:val="21"/>
          <w:color w:val="auto"/>
        </w:rPr>
        <w:t xml:space="preserve"> attached hereto (a “</w:t>
      </w:r>
      <w:r>
        <w:rPr>
          <w:rFonts w:ascii="Arial" w:cs="Arial" w:eastAsia="Arial" w:hAnsi="Arial"/>
          <w:sz w:val="21"/>
          <w:szCs w:val="21"/>
          <w:u w:val="single" w:color="auto"/>
          <w:color w:val="auto"/>
        </w:rPr>
        <w:t>Notice of Revolving Borrowing</w:t>
      </w:r>
      <w:r>
        <w:rPr>
          <w:rFonts w:ascii="Arial" w:cs="Arial" w:eastAsia="Arial" w:hAnsi="Arial"/>
          <w:sz w:val="21"/>
          <w:szCs w:val="21"/>
          <w:color w:val="auto"/>
        </w:rPr>
        <w:t xml:space="preserve">”), (x) prior to 11:00 a.m. one (1) Business Day prior to the requested date of each Base Rate Borrowing and (y) prior to 11:00 a.m. three (3) Business Days prior to the requested date of each Eurodollar Borrowing. Each Notice of Revolving Borrowing shall be irrevocable and shall specify (i) the aggregate principal amount of such Borrowing, (ii) the date of such Borrowing (which shall be a Business Day), (iii) the Type of such Revolving Loan comprising such Borrowing and (iv) in the case of a Eurodollar Borrowing, the duration of the initial Interest Period applicable thereto (subject to the provisions of the definition of Interest Period). Each Revolving Borrowing shall consist entirely of Base Rate Loans or Eurodollar Loans, as the Borrower may request. The aggregate principal amount of each Eurodollar Borrowing shall not be less than $250,000 or a larger multiple of $250,000, and the aggregate principal amount of each Base Rate Borrowing shall not be less than $250,000 or a larger multiple of $250,000;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Base Rate Loans made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2.22(d</w:t>
      </w:r>
      <w:r>
        <w:rPr>
          <w:rFonts w:ascii="Arial" w:cs="Arial" w:eastAsia="Arial" w:hAnsi="Arial"/>
          <w:sz w:val="21"/>
          <w:szCs w:val="21"/>
          <w:color w:val="auto"/>
        </w:rPr>
        <w:t>) may be made in lesser amounts as provided therein. At no time shall the total number of Eurodollar Borrowings outstanding at any time exceed four (4). Promptly following the receipt of a Notice of Revolving Borrowing in accordance herewith, the Administrative Agent shall advise each Lender of the details thereof and the amount of such Lender’s Revolving Loan to be made as part of the requested Revolving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75" w:right="239" w:bottom="1440" w:gutter="0" w:footer="0" w:header="0"/>
        </w:sectPr>
      </w:pPr>
    </w:p>
    <w:bookmarkStart w:id="79" w:name="page80"/>
    <w:bookmarkEnd w:id="79"/>
    <w:p>
      <w:pPr>
        <w:spacing w:after="0"/>
        <w:tabs>
          <w:tab w:leader="none" w:pos="226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u w:val="single" w:color="auto"/>
          <w:color w:val="auto"/>
        </w:rPr>
        <w:t>Swingline Commitment</w:t>
      </w:r>
      <w:r>
        <w:rPr>
          <w:rFonts w:ascii="Arial" w:cs="Arial" w:eastAsia="Arial" w:hAnsi="Arial"/>
          <w:sz w:val="19"/>
          <w:szCs w:val="19"/>
          <w:color w:val="auto"/>
        </w:rPr>
        <w:t>.</w:t>
      </w:r>
    </w:p>
    <w:p>
      <w:pPr>
        <w:spacing w:after="0" w:line="266" w:lineRule="exact"/>
        <w:rPr>
          <w:sz w:val="20"/>
          <w:szCs w:val="20"/>
          <w:color w:val="auto"/>
        </w:rPr>
      </w:pPr>
    </w:p>
    <w:p>
      <w:pPr>
        <w:jc w:val="both"/>
        <w:ind w:firstLine="1293"/>
        <w:spacing w:after="0" w:line="248" w:lineRule="auto"/>
        <w:tabs>
          <w:tab w:leader="none" w:pos="2144" w:val="left"/>
        </w:tabs>
        <w:numPr>
          <w:ilvl w:val="0"/>
          <w:numId w:val="41"/>
        </w:numPr>
        <w:rPr>
          <w:rFonts w:ascii="Arial" w:cs="Arial" w:eastAsia="Arial" w:hAnsi="Arial"/>
          <w:sz w:val="18"/>
          <w:szCs w:val="18"/>
          <w:color w:val="auto"/>
        </w:rPr>
      </w:pPr>
      <w:r>
        <w:rPr>
          <w:rFonts w:ascii="Arial" w:cs="Arial" w:eastAsia="Arial" w:hAnsi="Arial"/>
          <w:sz w:val="22"/>
          <w:szCs w:val="22"/>
          <w:color w:val="auto"/>
        </w:rPr>
        <w:t xml:space="preserve">Subject to the terms and conditions set forth herein, the Swingline Lender shall make Swingline Loans to the Borrower, from time to time during the Availability Period, in an aggregate principal amount outstanding at any time not to exceed the lesser of (i) the Swingline Commitment then in effect and (ii) the difference between the Aggregate Revolving Commitment Amount and the aggregate Revolving Credit Exposures of all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Swingline Lender shall not be required to make a Swingline Loan to refinance an outstanding Swingline Loan. The Borrower shall be entitled to borrow, repay and reborrow Swingline Loans in accordance with the terms and conditions of this Agreement.</w:t>
      </w:r>
    </w:p>
    <w:p>
      <w:pPr>
        <w:spacing w:after="0" w:line="236" w:lineRule="exact"/>
        <w:rPr>
          <w:rFonts w:ascii="Arial" w:cs="Arial" w:eastAsia="Arial" w:hAnsi="Arial"/>
          <w:sz w:val="18"/>
          <w:szCs w:val="18"/>
          <w:color w:val="auto"/>
        </w:rPr>
      </w:pPr>
    </w:p>
    <w:p>
      <w:pPr>
        <w:jc w:val="both"/>
        <w:ind w:firstLine="1293"/>
        <w:spacing w:after="0" w:line="289" w:lineRule="auto"/>
        <w:tabs>
          <w:tab w:leader="none" w:pos="2155" w:val="left"/>
        </w:tabs>
        <w:numPr>
          <w:ilvl w:val="0"/>
          <w:numId w:val="41"/>
        </w:numPr>
        <w:rPr>
          <w:rFonts w:ascii="Arial" w:cs="Arial" w:eastAsia="Arial" w:hAnsi="Arial"/>
          <w:sz w:val="16"/>
          <w:szCs w:val="16"/>
          <w:color w:val="auto"/>
        </w:rPr>
      </w:pPr>
      <w:r>
        <w:rPr>
          <w:rFonts w:ascii="Arial" w:cs="Arial" w:eastAsia="Arial" w:hAnsi="Arial"/>
          <w:sz w:val="19"/>
          <w:szCs w:val="19"/>
          <w:color w:val="auto"/>
        </w:rPr>
        <w:t xml:space="preserve">The Borrower shall give the Administrative Agent written notice (or telephonic notice promptly confirmed in writing) of each Swingline Borrowing, substantially in the form of </w:t>
      </w:r>
      <w:r>
        <w:rPr>
          <w:rFonts w:ascii="Arial" w:cs="Arial" w:eastAsia="Arial" w:hAnsi="Arial"/>
          <w:sz w:val="19"/>
          <w:szCs w:val="19"/>
          <w:u w:val="single" w:color="auto"/>
          <w:color w:val="auto"/>
        </w:rPr>
        <w:t>Exhibit 2.4</w:t>
      </w:r>
      <w:r>
        <w:rPr>
          <w:rFonts w:ascii="Arial" w:cs="Arial" w:eastAsia="Arial" w:hAnsi="Arial"/>
          <w:sz w:val="19"/>
          <w:szCs w:val="19"/>
          <w:color w:val="auto"/>
        </w:rPr>
        <w:t xml:space="preserve"> attached hereto (a “</w:t>
      </w:r>
      <w:r>
        <w:rPr>
          <w:rFonts w:ascii="Arial" w:cs="Arial" w:eastAsia="Arial" w:hAnsi="Arial"/>
          <w:sz w:val="19"/>
          <w:szCs w:val="19"/>
          <w:u w:val="single" w:color="auto"/>
          <w:color w:val="auto"/>
        </w:rPr>
        <w:t>Notice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Swingline Borrowing</w:t>
      </w:r>
      <w:r>
        <w:rPr>
          <w:rFonts w:ascii="Arial" w:cs="Arial" w:eastAsia="Arial" w:hAnsi="Arial"/>
          <w:sz w:val="19"/>
          <w:szCs w:val="19"/>
          <w:color w:val="auto"/>
        </w:rPr>
        <w:t>”), prior to 10:00 a.m. on the requested date of each Swingline Borrowing. Each Notice of Swingline Borrowing shall be irrevocable and shall specify (i) the principal amount of such Swingline Borrowing, (ii) the date of such Swingline Borrowing (which shall be a Business Day) and (iii) the account of the Borrower to which the proceeds of such Swingline Borrowing should be credited. The Administrative Agent will promptly advise the Swingline Lender of each Notice of Swingline Borrowing. The aggregate principal amount of each Swingline Loan shall not be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1:00 p.m. on the requested date of such Swingline Borrowing.</w:t>
      </w:r>
    </w:p>
    <w:p>
      <w:pPr>
        <w:spacing w:after="0" w:line="198" w:lineRule="exact"/>
        <w:rPr>
          <w:rFonts w:ascii="Arial" w:cs="Arial" w:eastAsia="Arial" w:hAnsi="Arial"/>
          <w:sz w:val="16"/>
          <w:szCs w:val="16"/>
          <w:color w:val="auto"/>
        </w:rPr>
      </w:pPr>
    </w:p>
    <w:p>
      <w:pPr>
        <w:jc w:val="both"/>
        <w:ind w:firstLine="1293"/>
        <w:spacing w:after="0" w:line="262" w:lineRule="auto"/>
        <w:tabs>
          <w:tab w:leader="none" w:pos="2144" w:val="left"/>
        </w:tabs>
        <w:numPr>
          <w:ilvl w:val="0"/>
          <w:numId w:val="41"/>
        </w:numPr>
        <w:rPr>
          <w:rFonts w:ascii="Arial" w:cs="Arial" w:eastAsia="Arial" w:hAnsi="Arial"/>
          <w:sz w:val="17"/>
          <w:szCs w:val="17"/>
          <w:color w:val="auto"/>
        </w:rPr>
      </w:pPr>
      <w:r>
        <w:rPr>
          <w:rFonts w:ascii="Arial" w:cs="Arial" w:eastAsia="Arial" w:hAnsi="Arial"/>
          <w:sz w:val="21"/>
          <w:szCs w:val="21"/>
          <w:color w:val="auto"/>
        </w:rPr>
        <w:t xml:space="preserve">The Swingline Lender, at any time and from time to time in its sole discretion, may, but in no event no less frequently than once each calendar week shall, on behalf of the Borrower (which hereby irrevocably authorizes and directs the Swingline Lender to act on its behalf), give a Notice of Revolving Borrowing to the Administrative Agent requesting the Lenders (including the Swingline Lender) to make Base Rate Loans in an amount equal to the unpaid principal amount of any Swingline Loan. Each Lender will make the proceeds of its Base Rate Loan included in such Borrowing available to the Administrative Agent for the account of the Swingline Lender in accordance with </w:t>
      </w:r>
      <w:r>
        <w:rPr>
          <w:rFonts w:ascii="Arial" w:cs="Arial" w:eastAsia="Arial" w:hAnsi="Arial"/>
          <w:sz w:val="21"/>
          <w:szCs w:val="21"/>
          <w:u w:val="single" w:color="auto"/>
          <w:color w:val="auto"/>
        </w:rPr>
        <w:t>Section 2.6</w:t>
      </w:r>
      <w:r>
        <w:rPr>
          <w:rFonts w:ascii="Arial" w:cs="Arial" w:eastAsia="Arial" w:hAnsi="Arial"/>
          <w:sz w:val="21"/>
          <w:szCs w:val="21"/>
          <w:color w:val="auto"/>
        </w:rPr>
        <w:t>, which will be used solely for the repayment of such Swingline Loan.</w:t>
      </w:r>
    </w:p>
    <w:p>
      <w:pPr>
        <w:spacing w:after="0" w:line="220" w:lineRule="exact"/>
        <w:rPr>
          <w:rFonts w:ascii="Arial" w:cs="Arial" w:eastAsia="Arial" w:hAnsi="Arial"/>
          <w:sz w:val="17"/>
          <w:szCs w:val="17"/>
          <w:color w:val="auto"/>
        </w:rPr>
      </w:pPr>
    </w:p>
    <w:p>
      <w:pPr>
        <w:jc w:val="both"/>
        <w:ind w:firstLine="1293"/>
        <w:spacing w:after="0" w:line="264" w:lineRule="auto"/>
        <w:tabs>
          <w:tab w:leader="none" w:pos="2155" w:val="left"/>
        </w:tabs>
        <w:numPr>
          <w:ilvl w:val="0"/>
          <w:numId w:val="41"/>
        </w:numPr>
        <w:rPr>
          <w:rFonts w:ascii="Arial" w:cs="Arial" w:eastAsia="Arial" w:hAnsi="Arial"/>
          <w:sz w:val="17"/>
          <w:szCs w:val="17"/>
          <w:color w:val="auto"/>
        </w:rPr>
      </w:pPr>
      <w:r>
        <w:rPr>
          <w:rFonts w:ascii="Arial" w:cs="Arial" w:eastAsia="Arial" w:hAnsi="Arial"/>
          <w:sz w:val="21"/>
          <w:szCs w:val="21"/>
          <w:color w:val="auto"/>
        </w:rPr>
        <w:t>If for any reason a Base Rate Borrowing may not be (as determined in the sole discretion of the Administrative Agent), or is not, made in accordance with the foregoing provisions, then each Lender (other than the Swingline Lender) shall purchase an undivided participating interest in such Swingline Loan in an amount equal to its Pro Rata Share thereof on the date that such Base Rate Borrowing should have occurred. On the date of such required purchase, each Lender shall promptly transfer, in immediately available funds, the amount of its participating interest to the Administrative Agent for the account of the Swingline Lender.</w:t>
      </w:r>
    </w:p>
    <w:p>
      <w:pPr>
        <w:spacing w:after="0" w:line="215" w:lineRule="exact"/>
        <w:rPr>
          <w:rFonts w:ascii="Arial" w:cs="Arial" w:eastAsia="Arial" w:hAnsi="Arial"/>
          <w:sz w:val="17"/>
          <w:szCs w:val="17"/>
          <w:color w:val="auto"/>
        </w:rPr>
      </w:pPr>
    </w:p>
    <w:p>
      <w:pPr>
        <w:jc w:val="both"/>
        <w:ind w:firstLine="1293"/>
        <w:spacing w:after="0" w:line="297" w:lineRule="auto"/>
        <w:tabs>
          <w:tab w:leader="none" w:pos="2144" w:val="left"/>
        </w:tabs>
        <w:numPr>
          <w:ilvl w:val="0"/>
          <w:numId w:val="41"/>
        </w:numPr>
        <w:rPr>
          <w:rFonts w:ascii="Arial" w:cs="Arial" w:eastAsia="Arial" w:hAnsi="Arial"/>
          <w:sz w:val="16"/>
          <w:szCs w:val="16"/>
          <w:color w:val="auto"/>
        </w:rPr>
      </w:pPr>
      <w:r>
        <w:rPr>
          <w:rFonts w:ascii="Arial" w:cs="Arial" w:eastAsia="Arial" w:hAnsi="Arial"/>
          <w:sz w:val="19"/>
          <w:szCs w:val="19"/>
          <w:color w:val="auto"/>
        </w:rPr>
        <w:t>Each Lender’s obligation to make a Base Rate Loan pursuant to subsection (c) of this Section or to purchase participating interests pursuant to subsection (d) of this Section shall be absolute and unconditional and shall not be affected by any circumstance, including, without limitation,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Lender’s Revolving Commitment, (iii) the existence (or alleged existence) of any event or condition which has</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900" w:top="369" w:right="239" w:bottom="1440" w:gutter="0" w:footer="0" w:header="0"/>
        </w:sectPr>
      </w:pPr>
    </w:p>
    <w:bookmarkStart w:id="80" w:name="page81"/>
    <w:bookmarkEnd w:id="80"/>
    <w:p>
      <w:pPr>
        <w:jc w:val="both"/>
        <w:spacing w:after="0" w:line="288" w:lineRule="auto"/>
        <w:rPr>
          <w:sz w:val="20"/>
          <w:szCs w:val="20"/>
          <w:color w:val="auto"/>
        </w:rPr>
      </w:pPr>
      <w:r>
        <w:rPr>
          <w:rFonts w:ascii="Arial" w:cs="Arial" w:eastAsia="Arial" w:hAnsi="Arial"/>
          <w:sz w:val="19"/>
          <w:szCs w:val="19"/>
          <w:color w:val="auto"/>
        </w:rPr>
        <w:t>had or would reasonably be expected to have a Material Adverse Effect, (iv) any breach of this Agreement or any other Loan Document by any Loan Party, the Administrative Agent or any Lender or (v) any other circumstance, happening or event whatsoever,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(x) at the Federal Funds Rate until the second Business Day after such demand and (y) at the Base Rate at all times thereafter. Until such time as such Lender makes its required payment, the Swingline Lender shall be deemed to continue to have outstanding Swingline Loans in the amount of the unpaid participation for all purposes of the Loan Documents. In addition, such Lender shall be deemed to have assigned any and all payments made of principal and interest on its Loans and any other amounts due to it hereunder to the Swingline Lender to fund the amount of such Lender’s participation interest in such Swingline Loans that such Lender failed to fund pursuant to this Section, until such amount has been purchased in full.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Pr>
          <w:p>
            <w:pPr>
              <w:spacing w:after="0"/>
              <w:rPr>
                <w:sz w:val="20"/>
                <w:szCs w:val="20"/>
                <w:color w:val="auto"/>
              </w:rPr>
            </w:pPr>
            <w:r>
              <w:rPr>
                <w:rFonts w:ascii="Arial" w:cs="Arial" w:eastAsia="Arial" w:hAnsi="Arial"/>
                <w:sz w:val="22"/>
                <w:szCs w:val="22"/>
                <w:b w:val="1"/>
                <w:bCs w:val="1"/>
                <w:color w:val="auto"/>
              </w:rPr>
              <w:t>Section 2.5</w:t>
            </w:r>
          </w:p>
        </w:tc>
        <w:tc>
          <w:tcPr>
            <w:tcW w:w="2220" w:type="dxa"/>
            <w:vAlign w:val="bottom"/>
            <w:gridSpan w:val="3"/>
          </w:tcPr>
          <w:p>
            <w:pPr>
              <w:spacing w:after="0"/>
              <w:rPr>
                <w:sz w:val="20"/>
                <w:szCs w:val="20"/>
                <w:color w:val="auto"/>
              </w:rPr>
            </w:pPr>
            <w:r>
              <w:rPr>
                <w:rFonts w:ascii="Arial" w:cs="Arial" w:eastAsia="Arial" w:hAnsi="Arial"/>
                <w:sz w:val="22"/>
                <w:szCs w:val="22"/>
                <w:b w:val="1"/>
                <w:bCs w:val="1"/>
                <w:color w:val="auto"/>
                <w:w w:val="91"/>
              </w:rPr>
              <w:t>[Intentionally Omitted].</w:t>
            </w: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2280" w:type="dxa"/>
            <w:vAlign w:val="bottom"/>
          </w:tcPr>
          <w:p>
            <w:pPr>
              <w:spacing w:after="0"/>
              <w:rPr>
                <w:sz w:val="20"/>
                <w:szCs w:val="20"/>
                <w:color w:val="auto"/>
              </w:rPr>
            </w:pPr>
            <w:r>
              <w:rPr>
                <w:rFonts w:ascii="Arial" w:cs="Arial" w:eastAsia="Arial" w:hAnsi="Arial"/>
                <w:sz w:val="22"/>
                <w:szCs w:val="22"/>
                <w:b w:val="1"/>
                <w:bCs w:val="1"/>
                <w:color w:val="auto"/>
              </w:rPr>
              <w:t>Section 2.6</w:t>
            </w:r>
          </w:p>
        </w:tc>
        <w:tc>
          <w:tcPr>
            <w:tcW w:w="2220" w:type="dxa"/>
            <w:vAlign w:val="bottom"/>
            <w:gridSpan w:val="3"/>
          </w:tcPr>
          <w:p>
            <w:pPr>
              <w:spacing w:after="0"/>
              <w:rPr>
                <w:sz w:val="20"/>
                <w:szCs w:val="20"/>
                <w:color w:val="auto"/>
              </w:rPr>
            </w:pPr>
            <w:r>
              <w:rPr>
                <w:rFonts w:ascii="Arial" w:cs="Arial" w:eastAsia="Arial" w:hAnsi="Arial"/>
                <w:sz w:val="22"/>
                <w:szCs w:val="22"/>
                <w:b w:val="1"/>
                <w:bCs w:val="1"/>
                <w:color w:val="auto"/>
                <w:w w:val="88"/>
              </w:rPr>
              <w:t>Funding of Borrowings</w:t>
            </w:r>
            <w:r>
              <w:rPr>
                <w:rFonts w:ascii="Arial" w:cs="Arial" w:eastAsia="Arial" w:hAnsi="Arial"/>
                <w:sz w:val="22"/>
                <w:szCs w:val="22"/>
                <w:color w:val="auto"/>
                <w:w w:val="88"/>
              </w:rPr>
              <w:t>.</w:t>
            </w:r>
          </w:p>
        </w:tc>
      </w:tr>
      <w:tr>
        <w:trPr>
          <w:trHeight w:val="20"/>
        </w:trPr>
        <w:tc>
          <w:tcPr>
            <w:tcW w:w="2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firstLine="1293"/>
        <w:spacing w:after="0" w:line="297" w:lineRule="auto"/>
        <w:tabs>
          <w:tab w:leader="none" w:pos="2144" w:val="left"/>
        </w:tabs>
        <w:numPr>
          <w:ilvl w:val="0"/>
          <w:numId w:val="42"/>
        </w:numPr>
        <w:rPr>
          <w:rFonts w:ascii="Arial" w:cs="Arial" w:eastAsia="Arial" w:hAnsi="Arial"/>
          <w:sz w:val="16"/>
          <w:szCs w:val="16"/>
          <w:color w:val="auto"/>
        </w:rPr>
      </w:pPr>
      <w:r>
        <w:rPr>
          <w:rFonts w:ascii="Arial" w:cs="Arial" w:eastAsia="Arial" w:hAnsi="Arial"/>
          <w:sz w:val="19"/>
          <w:szCs w:val="19"/>
          <w:color w:val="auto"/>
        </w:rPr>
        <w:t xml:space="preserve">Each Lender will make available each Loan to be made by it hereunder on the proposed date thereof by wire transfer in immediately available funds by 11:00 a.m. to the Administrative Agent at the Payment Office;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Swingline Loans will be made as set forth in </w:t>
      </w:r>
      <w:r>
        <w:rPr>
          <w:rFonts w:ascii="Arial" w:cs="Arial" w:eastAsia="Arial" w:hAnsi="Arial"/>
          <w:sz w:val="19"/>
          <w:szCs w:val="19"/>
          <w:u w:val="single" w:color="auto"/>
          <w:color w:val="auto"/>
        </w:rPr>
        <w:t>Section 2.4</w:t>
      </w:r>
      <w:r>
        <w:rPr>
          <w:rFonts w:ascii="Arial" w:cs="Arial" w:eastAsia="Arial" w:hAnsi="Arial"/>
          <w:sz w:val="19"/>
          <w:szCs w:val="19"/>
          <w:color w:val="auto"/>
        </w:rPr>
        <w:t>. The Administrative Agent will make such Loans available to the Borrower by promptly crediting the amounts that it receives, in like funds by the close of business on such proposed date, to an account maintained by the Borrower with the Administrative Agent or, at the Borrower’s option, by effecting a wire transfer of such amounts to an account designated by the Borrower to the Administrative Agent.</w:t>
      </w:r>
    </w:p>
    <w:p>
      <w:pPr>
        <w:spacing w:after="0" w:line="187" w:lineRule="exact"/>
        <w:rPr>
          <w:rFonts w:ascii="Arial" w:cs="Arial" w:eastAsia="Arial" w:hAnsi="Arial"/>
          <w:sz w:val="16"/>
          <w:szCs w:val="16"/>
          <w:color w:val="auto"/>
        </w:rPr>
      </w:pPr>
    </w:p>
    <w:p>
      <w:pPr>
        <w:jc w:val="both"/>
        <w:ind w:firstLine="1293"/>
        <w:spacing w:after="0" w:line="288" w:lineRule="auto"/>
        <w:tabs>
          <w:tab w:leader="none" w:pos="2155" w:val="left"/>
        </w:tabs>
        <w:numPr>
          <w:ilvl w:val="0"/>
          <w:numId w:val="42"/>
        </w:numPr>
        <w:rPr>
          <w:rFonts w:ascii="Arial" w:cs="Arial" w:eastAsia="Arial" w:hAnsi="Arial"/>
          <w:sz w:val="16"/>
          <w:szCs w:val="16"/>
          <w:color w:val="auto"/>
        </w:rPr>
      </w:pPr>
      <w:r>
        <w:rPr>
          <w:rFonts w:ascii="Arial" w:cs="Arial" w:eastAsia="Arial" w:hAnsi="Arial"/>
          <w:sz w:val="19"/>
          <w:szCs w:val="19"/>
          <w:color w:val="auto"/>
        </w:rPr>
        <w:t>Unless the Administrative Agent shall have been notified by any Lender prior to 5:00 p.m.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which the Borrower may have against any Lender as a result of any de-fault by such Lender hereunder.</w:t>
      </w:r>
    </w:p>
    <w:p>
      <w:pPr>
        <w:spacing w:after="0" w:line="200" w:lineRule="exact"/>
        <w:rPr>
          <w:rFonts w:ascii="Arial" w:cs="Arial" w:eastAsia="Arial" w:hAnsi="Arial"/>
          <w:sz w:val="16"/>
          <w:szCs w:val="16"/>
          <w:color w:val="auto"/>
        </w:rPr>
      </w:pPr>
    </w:p>
    <w:p>
      <w:pPr>
        <w:spacing w:after="0" w:line="254" w:lineRule="exact"/>
        <w:rPr>
          <w:rFonts w:ascii="Arial" w:cs="Arial" w:eastAsia="Arial" w:hAnsi="Arial"/>
          <w:sz w:val="16"/>
          <w:szCs w:val="16"/>
          <w:color w:val="auto"/>
        </w:rPr>
      </w:pPr>
    </w:p>
    <w:p>
      <w:pPr>
        <w:jc w:val="both"/>
        <w:ind w:firstLine="1293"/>
        <w:spacing w:after="0" w:line="254" w:lineRule="auto"/>
        <w:tabs>
          <w:tab w:leader="none" w:pos="2144" w:val="left"/>
        </w:tabs>
        <w:numPr>
          <w:ilvl w:val="0"/>
          <w:numId w:val="42"/>
        </w:numPr>
        <w:rPr>
          <w:rFonts w:ascii="Arial" w:cs="Arial" w:eastAsia="Arial" w:hAnsi="Arial"/>
          <w:sz w:val="18"/>
          <w:szCs w:val="18"/>
          <w:color w:val="auto"/>
        </w:rPr>
      </w:pPr>
      <w:r>
        <w:rPr>
          <w:rFonts w:ascii="Arial" w:cs="Arial" w:eastAsia="Arial" w:hAnsi="Arial"/>
          <w:sz w:val="22"/>
          <w:szCs w:val="22"/>
          <w:color w:val="auto"/>
        </w:rPr>
        <w:t>All Revolving Borrowings shall be made by the Lenders on the basis of their respective Pro Rata Shares. No Lender shall be responsible for any default by any other Lender in its obligations hereunder, and each Lender shall be ob-ligated to make its Loans provided to be made by it hereunder, regardless of the failure of any other Lender to make its Loans hereunder.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60"/>
          </w:cols>
          <w:pgMar w:left="900" w:top="375" w:right="239" w:bottom="1440" w:gutter="0" w:footer="0" w:header="0"/>
        </w:sectPr>
      </w:pPr>
    </w:p>
    <w:bookmarkStart w:id="81" w:name="page82"/>
    <w:bookmarkEnd w:id="81"/>
    <w:p>
      <w:pPr>
        <w:spacing w:after="0"/>
        <w:tabs>
          <w:tab w:leader="none" w:pos="226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u w:val="single" w:color="auto"/>
          <w:color w:val="auto"/>
        </w:rPr>
        <w:t>Interest Elections</w:t>
      </w:r>
      <w:r>
        <w:rPr>
          <w:rFonts w:ascii="Arial" w:cs="Arial" w:eastAsia="Arial" w:hAnsi="Arial"/>
          <w:sz w:val="19"/>
          <w:szCs w:val="19"/>
          <w:color w:val="auto"/>
        </w:rPr>
        <w:t>.</w:t>
      </w:r>
    </w:p>
    <w:p>
      <w:pPr>
        <w:spacing w:after="0" w:line="266" w:lineRule="exact"/>
        <w:rPr>
          <w:sz w:val="20"/>
          <w:szCs w:val="20"/>
          <w:color w:val="auto"/>
        </w:rPr>
      </w:pPr>
    </w:p>
    <w:p>
      <w:pPr>
        <w:jc w:val="both"/>
        <w:ind w:firstLine="1293"/>
        <w:spacing w:after="0" w:line="266" w:lineRule="auto"/>
        <w:tabs>
          <w:tab w:leader="none" w:pos="2144" w:val="left"/>
        </w:tabs>
        <w:numPr>
          <w:ilvl w:val="0"/>
          <w:numId w:val="43"/>
        </w:numPr>
        <w:rPr>
          <w:rFonts w:ascii="Arial" w:cs="Arial" w:eastAsia="Arial" w:hAnsi="Arial"/>
          <w:sz w:val="17"/>
          <w:szCs w:val="17"/>
          <w:color w:val="auto"/>
        </w:rPr>
      </w:pPr>
      <w:r>
        <w:rPr>
          <w:rFonts w:ascii="Arial" w:cs="Arial" w:eastAsia="Arial" w:hAnsi="Arial"/>
          <w:sz w:val="21"/>
          <w:szCs w:val="21"/>
          <w:color w:val="auto"/>
        </w:rPr>
        <w:t>Each Borrowing initially shall be of the Type specified in the applicable Notice of Borrowing. Thereafter, the Borrower may elect to convert such Borrowing into a different Type or to continue such Borrowing, all as provided in this Section.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w:t>
      </w:r>
    </w:p>
    <w:p>
      <w:pPr>
        <w:spacing w:after="0" w:line="214" w:lineRule="exact"/>
        <w:rPr>
          <w:rFonts w:ascii="Arial" w:cs="Arial" w:eastAsia="Arial" w:hAnsi="Arial"/>
          <w:sz w:val="17"/>
          <w:szCs w:val="17"/>
          <w:color w:val="auto"/>
        </w:rPr>
      </w:pPr>
    </w:p>
    <w:p>
      <w:pPr>
        <w:jc w:val="both"/>
        <w:ind w:firstLine="1293"/>
        <w:spacing w:after="0" w:line="287" w:lineRule="auto"/>
        <w:tabs>
          <w:tab w:leader="none" w:pos="2155" w:val="left"/>
        </w:tabs>
        <w:numPr>
          <w:ilvl w:val="0"/>
          <w:numId w:val="43"/>
        </w:numPr>
        <w:rPr>
          <w:rFonts w:ascii="Arial" w:cs="Arial" w:eastAsia="Arial" w:hAnsi="Arial"/>
          <w:sz w:val="16"/>
          <w:szCs w:val="16"/>
          <w:color w:val="auto"/>
        </w:rPr>
      </w:pPr>
      <w:r>
        <w:rPr>
          <w:rFonts w:ascii="Arial" w:cs="Arial" w:eastAsia="Arial" w:hAnsi="Arial"/>
          <w:sz w:val="19"/>
          <w:szCs w:val="19"/>
          <w:color w:val="auto"/>
        </w:rPr>
        <w:t xml:space="preserve">To make an election pursuant to this Section, the Borrower shall give the Administrative Agent written notice (or telephonic notice promptly confirmed in writing) of each Borrowing that is to be converted or continued, as the case may be, substantially in the form of </w:t>
      </w:r>
      <w:r>
        <w:rPr>
          <w:rFonts w:ascii="Arial" w:cs="Arial" w:eastAsia="Arial" w:hAnsi="Arial"/>
          <w:sz w:val="19"/>
          <w:szCs w:val="19"/>
          <w:u w:val="single" w:color="auto"/>
          <w:color w:val="auto"/>
        </w:rPr>
        <w:t>Exhibit 2.7</w:t>
      </w:r>
      <w:r>
        <w:rPr>
          <w:rFonts w:ascii="Arial" w:cs="Arial" w:eastAsia="Arial" w:hAnsi="Arial"/>
          <w:sz w:val="19"/>
          <w:szCs w:val="19"/>
          <w:color w:val="auto"/>
        </w:rPr>
        <w:t xml:space="preserve"> attached hereto (a “</w:t>
      </w:r>
      <w:r>
        <w:rPr>
          <w:rFonts w:ascii="Arial" w:cs="Arial" w:eastAsia="Arial" w:hAnsi="Arial"/>
          <w:sz w:val="19"/>
          <w:szCs w:val="19"/>
          <w:u w:val="single" w:color="auto"/>
          <w:color w:val="auto"/>
        </w:rPr>
        <w:t>Notice of Conversion/Continuation</w:t>
      </w:r>
      <w:r>
        <w:rPr>
          <w:rFonts w:ascii="Arial" w:cs="Arial" w:eastAsia="Arial" w:hAnsi="Arial"/>
          <w:sz w:val="19"/>
          <w:szCs w:val="19"/>
          <w:color w:val="auto"/>
        </w:rPr>
        <w:t xml:space="preserve">”) (x) prior to 10:00 a.m. one (1) Business Day prior to the requested date of a conversion into a Base Rate Borrowing and (y) prior to 11:00 a.m. three (3) Business Days prior to a continuation of or conversion into a Eurodollar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clauses (iii) and (iv) shall be specified for each resulting Borrowing), (ii) the effective date of the election made pursuant to such Notice of Conversion/Continuation, which shall be a Business Day, (iii) whether the resulting Borrowing is to be a Base Rate Borrowing or a Eurodollar Borrowing, and (iv) if the resulting Borrowing is to be a Eurodollar Borrowing, the Interest Period applicable thereto after giving effect to such election, which shall be a period contemplated by the definition of “Interest Period”. If any such Notice of Conversion/Continuation requests a Eurodollar Borrowing but does not specify an Interest Period, the Borrower shall be deemed to have selected an Interest Period of one month. The principal amount of any resulting Borrowing shall satisfy the minimum borrowing amount for Eurodollar Borrowings and Base Rate Borrowings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200" w:lineRule="exact"/>
        <w:rPr>
          <w:rFonts w:ascii="Arial" w:cs="Arial" w:eastAsia="Arial" w:hAnsi="Arial"/>
          <w:sz w:val="16"/>
          <w:szCs w:val="16"/>
          <w:color w:val="auto"/>
        </w:rPr>
      </w:pPr>
    </w:p>
    <w:p>
      <w:pPr>
        <w:spacing w:after="0" w:line="256" w:lineRule="exact"/>
        <w:rPr>
          <w:rFonts w:ascii="Arial" w:cs="Arial" w:eastAsia="Arial" w:hAnsi="Arial"/>
          <w:sz w:val="16"/>
          <w:szCs w:val="16"/>
          <w:color w:val="auto"/>
        </w:rPr>
      </w:pPr>
    </w:p>
    <w:p>
      <w:pPr>
        <w:jc w:val="both"/>
        <w:ind w:firstLine="1293"/>
        <w:spacing w:after="0" w:line="297" w:lineRule="auto"/>
        <w:tabs>
          <w:tab w:leader="none" w:pos="2144" w:val="left"/>
        </w:tabs>
        <w:numPr>
          <w:ilvl w:val="0"/>
          <w:numId w:val="43"/>
        </w:numPr>
        <w:rPr>
          <w:rFonts w:ascii="Arial" w:cs="Arial" w:eastAsia="Arial" w:hAnsi="Arial"/>
          <w:sz w:val="16"/>
          <w:szCs w:val="16"/>
          <w:color w:val="auto"/>
        </w:rPr>
      </w:pPr>
      <w:r>
        <w:rPr>
          <w:rFonts w:ascii="Arial" w:cs="Arial" w:eastAsia="Arial" w:hAnsi="Arial"/>
          <w:sz w:val="19"/>
          <w:szCs w:val="19"/>
          <w:color w:val="auto"/>
        </w:rPr>
        <w:t>If, on the expiration of any Interest Period in respect of any Eurodollar Borrowing, the Borrower shall have failed to deliver a Notice of Conversion/Continuation, then, unless such Borrowing is repaid as provided herein, the Borrower shall be deemed to have elected to convert such Borrowing to a Base Rate Borrowing. No Borrowing may be converted into, or continued as, a Eurodollar Borrowing if a Default or an Event of Default exists, unless the Administrative Agent and each of the Lenders shall have otherwise consented in writing. No conversion of any Eurodollar Loan shall be permitted except on the last day of the Interest Period in respect thereof.</w:t>
      </w:r>
    </w:p>
    <w:p>
      <w:pPr>
        <w:spacing w:after="0" w:line="187" w:lineRule="exact"/>
        <w:rPr>
          <w:rFonts w:ascii="Arial" w:cs="Arial" w:eastAsia="Arial" w:hAnsi="Arial"/>
          <w:sz w:val="16"/>
          <w:szCs w:val="16"/>
          <w:color w:val="auto"/>
        </w:rPr>
      </w:pPr>
    </w:p>
    <w:p>
      <w:pPr>
        <w:ind w:firstLine="1293"/>
        <w:spacing w:after="0" w:line="276" w:lineRule="auto"/>
        <w:tabs>
          <w:tab w:leader="none" w:pos="2155" w:val="left"/>
        </w:tabs>
        <w:numPr>
          <w:ilvl w:val="0"/>
          <w:numId w:val="43"/>
        </w:numPr>
        <w:rPr>
          <w:rFonts w:ascii="Arial" w:cs="Arial" w:eastAsia="Arial" w:hAnsi="Arial"/>
          <w:sz w:val="18"/>
          <w:szCs w:val="18"/>
          <w:color w:val="auto"/>
        </w:rPr>
      </w:pPr>
      <w:r>
        <w:rPr>
          <w:rFonts w:ascii="Arial" w:cs="Arial" w:eastAsia="Arial" w:hAnsi="Arial"/>
          <w:sz w:val="22"/>
          <w:szCs w:val="22"/>
          <w:color w:val="auto"/>
        </w:rPr>
        <w:t>Upon receipt of any Notice of Conversion/Continuation, the Administrative Agent shall promptly notify each Lender of the details thereof and of such Lender’s portion of each resulting Borrowing.</w:t>
      </w:r>
    </w:p>
    <w:p>
      <w:pPr>
        <w:spacing w:after="0" w:line="195" w:lineRule="exact"/>
        <w:rPr>
          <w:sz w:val="20"/>
          <w:szCs w:val="20"/>
          <w:color w:val="auto"/>
        </w:rPr>
      </w:pPr>
    </w:p>
    <w:p>
      <w:pPr>
        <w:spacing w:after="0"/>
        <w:tabs>
          <w:tab w:leader="none" w:pos="2260" w:val="left"/>
        </w:tabs>
        <w:rPr>
          <w:sz w:val="20"/>
          <w:szCs w:val="20"/>
          <w:color w:val="auto"/>
        </w:rPr>
      </w:pPr>
      <w:r>
        <w:rPr>
          <w:rFonts w:ascii="Arial" w:cs="Arial" w:eastAsia="Arial" w:hAnsi="Arial"/>
          <w:sz w:val="22"/>
          <w:szCs w:val="22"/>
          <w:b w:val="1"/>
          <w:bCs w:val="1"/>
          <w:color w:val="auto"/>
        </w:rPr>
        <w:t>Seciton 2.8</w:t>
      </w:r>
      <w:r>
        <w:rPr>
          <w:sz w:val="20"/>
          <w:szCs w:val="20"/>
          <w:color w:val="auto"/>
        </w:rPr>
        <w:tab/>
      </w:r>
      <w:r>
        <w:rPr>
          <w:rFonts w:ascii="Arial" w:cs="Arial" w:eastAsia="Arial" w:hAnsi="Arial"/>
          <w:sz w:val="19"/>
          <w:szCs w:val="19"/>
          <w:b w:val="1"/>
          <w:bCs w:val="1"/>
          <w:u w:val="single" w:color="auto"/>
          <w:color w:val="auto"/>
        </w:rPr>
        <w:t>Optional Reduction and Termination of Commitments</w:t>
      </w:r>
      <w:r>
        <w:rPr>
          <w:rFonts w:ascii="Arial" w:cs="Arial" w:eastAsia="Arial" w:hAnsi="Arial"/>
          <w:sz w:val="19"/>
          <w:szCs w:val="19"/>
          <w:color w:val="auto"/>
        </w:rPr>
        <w:t>.</w:t>
      </w:r>
    </w:p>
    <w:p>
      <w:pPr>
        <w:spacing w:after="0" w:line="266" w:lineRule="exact"/>
        <w:rPr>
          <w:sz w:val="20"/>
          <w:szCs w:val="20"/>
          <w:color w:val="auto"/>
        </w:rPr>
      </w:pPr>
    </w:p>
    <w:p>
      <w:pPr>
        <w:jc w:val="both"/>
        <w:ind w:firstLine="1293"/>
        <w:spacing w:after="0" w:line="320" w:lineRule="auto"/>
        <w:tabs>
          <w:tab w:leader="none" w:pos="2144" w:val="left"/>
        </w:tabs>
        <w:numPr>
          <w:ilvl w:val="0"/>
          <w:numId w:val="44"/>
        </w:numPr>
        <w:rPr>
          <w:rFonts w:ascii="Arial" w:cs="Arial" w:eastAsia="Arial" w:hAnsi="Arial"/>
          <w:sz w:val="16"/>
          <w:szCs w:val="16"/>
          <w:color w:val="auto"/>
        </w:rPr>
      </w:pPr>
      <w:r>
        <w:rPr>
          <w:rFonts w:ascii="Arial" w:cs="Arial" w:eastAsia="Arial" w:hAnsi="Arial"/>
          <w:sz w:val="19"/>
          <w:szCs w:val="19"/>
          <w:color w:val="auto"/>
        </w:rPr>
        <w:t>Unless previously terminated, all Revolving Commitments, Swingline Commitments and LC Commitments shall terminate on the Revolving Commitment Termination Date. The Incremental Term Loan commitments shall terminate on the date that the applicable Incremental Term Loans under such commitments are made.</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60"/>
          </w:cols>
          <w:pgMar w:left="900" w:top="369" w:right="239" w:bottom="1440" w:gutter="0" w:footer="0" w:header="0"/>
        </w:sectPr>
      </w:pPr>
    </w:p>
    <w:bookmarkStart w:id="82" w:name="page83"/>
    <w:bookmarkEnd w:id="82"/>
    <w:p>
      <w:pPr>
        <w:jc w:val="both"/>
        <w:ind w:left="660" w:firstLine="1293"/>
        <w:spacing w:after="0" w:line="291" w:lineRule="auto"/>
        <w:tabs>
          <w:tab w:leader="none" w:pos="2815" w:val="left"/>
        </w:tabs>
        <w:numPr>
          <w:ilvl w:val="0"/>
          <w:numId w:val="45"/>
        </w:numPr>
        <w:rPr>
          <w:rFonts w:ascii="Arial" w:cs="Arial" w:eastAsia="Arial" w:hAnsi="Arial"/>
          <w:sz w:val="16"/>
          <w:szCs w:val="16"/>
          <w:color w:val="auto"/>
        </w:rPr>
      </w:pPr>
      <w:r>
        <w:rPr>
          <w:rFonts w:ascii="Arial" w:cs="Arial" w:eastAsia="Arial" w:hAnsi="Arial"/>
          <w:sz w:val="19"/>
          <w:szCs w:val="19"/>
          <w:color w:val="auto"/>
        </w:rPr>
        <w:t xml:space="preserve">Upon at least three (3) Business Days’ prior written notice (or telephonic notice promptly confirmed in writing) to the Administrative Agent (which notice shall be irrevocable), the Borrower may reduce the Aggregate Revolving Commitments in part or terminate the Aggregate Revolving Commitments in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partial reduction shall apply to reduce proportionately and permanently the Revolving Commitment of each Lender, (ii) any partial reduction pursuant to this Section shall be in an amount of at least $5,000,000 and any larger multiple of $1,000,000, and (iii) no such reduction shall be permitted which would reduce the Aggregate Revolving Commitment Amount to an amount less than the aggregate outstanding Revolving Credit Exposure of all Lenders. Any such reduction in the Aggregate Revolving Commitment Amount below the principal amount of the Swingline Commitment and the LC Commitment shall result in a dollar-for-dollar reduction in the Swingline Commitment and the LC Commitment.</w:t>
      </w:r>
    </w:p>
    <w:p>
      <w:pPr>
        <w:spacing w:after="0" w:line="195" w:lineRule="exact"/>
        <w:rPr>
          <w:rFonts w:ascii="Arial" w:cs="Arial" w:eastAsia="Arial" w:hAnsi="Arial"/>
          <w:sz w:val="16"/>
          <w:szCs w:val="16"/>
          <w:color w:val="auto"/>
        </w:rPr>
      </w:pPr>
    </w:p>
    <w:p>
      <w:pPr>
        <w:jc w:val="both"/>
        <w:ind w:left="660" w:firstLine="1293"/>
        <w:spacing w:after="0" w:line="297" w:lineRule="auto"/>
        <w:tabs>
          <w:tab w:leader="none" w:pos="2804" w:val="left"/>
        </w:tabs>
        <w:numPr>
          <w:ilvl w:val="0"/>
          <w:numId w:val="45"/>
        </w:numPr>
        <w:rPr>
          <w:rFonts w:ascii="Arial" w:cs="Arial" w:eastAsia="Arial" w:hAnsi="Arial"/>
          <w:sz w:val="16"/>
          <w:szCs w:val="16"/>
          <w:color w:val="auto"/>
        </w:rPr>
      </w:pPr>
      <w:r>
        <w:rPr>
          <w:rFonts w:ascii="Arial" w:cs="Arial" w:eastAsia="Arial" w:hAnsi="Arial"/>
          <w:sz w:val="19"/>
          <w:szCs w:val="19"/>
          <w:color w:val="auto"/>
        </w:rPr>
        <w:t xml:space="preserve">With the written approval of the Administrative Agent, the Borrower may terminate (on a non-ratable basis) the unused amount of the Revolving Commitment of a Defaulting Lender, and in such event the provisions of </w:t>
      </w:r>
      <w:r>
        <w:rPr>
          <w:rFonts w:ascii="Arial" w:cs="Arial" w:eastAsia="Arial" w:hAnsi="Arial"/>
          <w:sz w:val="19"/>
          <w:szCs w:val="19"/>
          <w:u w:val="single" w:color="auto"/>
          <w:color w:val="auto"/>
        </w:rPr>
        <w:t>Section 2.26</w:t>
      </w:r>
      <w:r>
        <w:rPr>
          <w:rFonts w:ascii="Arial" w:cs="Arial" w:eastAsia="Arial" w:hAnsi="Arial"/>
          <w:sz w:val="19"/>
          <w:szCs w:val="19"/>
          <w:color w:val="auto"/>
        </w:rPr>
        <w:t xml:space="preserve"> will apply to all amounts thereafter paid by the Borrower for the account of any such Defaulting Lender under this Agreement (whether on account of principal, interest, fees, indemnity or other amounts);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termination will not be deemed to be a waiver or release of any claim that the Borrower, the Administrative Agent, the Issuing Bank, the Swingline Lender or any other Lender may have against such Defaulting Lender.</w:t>
      </w:r>
    </w:p>
    <w:p>
      <w:pPr>
        <w:spacing w:after="0" w:line="18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2.9 </w:t>
      </w:r>
      <w:r>
        <w:rPr>
          <w:rFonts w:ascii="Arial" w:cs="Arial" w:eastAsia="Arial" w:hAnsi="Arial"/>
          <w:sz w:val="22"/>
          <w:szCs w:val="22"/>
          <w:b w:val="1"/>
          <w:bCs w:val="1"/>
          <w:u w:val="single" w:color="auto"/>
          <w:color w:val="auto"/>
        </w:rPr>
        <w:t>Repayment of Loans</w:t>
      </w:r>
      <w:r>
        <w:rPr>
          <w:rFonts w:ascii="Arial" w:cs="Arial" w:eastAsia="Arial" w:hAnsi="Arial"/>
          <w:sz w:val="22"/>
          <w:szCs w:val="22"/>
          <w:color w:val="auto"/>
        </w:rPr>
        <w:t>. The outstanding principal amount of all Revolving Loans and Swingline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Loans shall be due and payable (together with accrued and unpaid interest thereon) on the Revolving Commitment Termination Date. The outstanding principal amount of all Incremental Term Loans shall be due and payable as agreed in writing by the applicable lenders of such Incremental Term Loans and the Borrower, subject to </w:t>
      </w:r>
      <w:r>
        <w:rPr>
          <w:rFonts w:ascii="Arial" w:cs="Arial" w:eastAsia="Arial" w:hAnsi="Arial"/>
          <w:sz w:val="22"/>
          <w:szCs w:val="22"/>
          <w:u w:val="single" w:color="auto"/>
          <w:color w:val="auto"/>
        </w:rPr>
        <w:t>Section 2.23</w:t>
      </w:r>
      <w:r>
        <w:rPr>
          <w:rFonts w:ascii="Arial" w:cs="Arial" w:eastAsia="Arial" w:hAnsi="Arial"/>
          <w:sz w:val="22"/>
          <w:szCs w:val="22"/>
          <w:color w:val="auto"/>
        </w:rPr>
        <w:t>. Any Incremental Term Loans that are repaid or prepaid may not be reborrowed.</w:t>
      </w:r>
    </w:p>
    <w:p>
      <w:pPr>
        <w:spacing w:after="0" w:line="227"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2.10</w:t>
      </w:r>
      <w:r>
        <w:rPr>
          <w:sz w:val="20"/>
          <w:szCs w:val="20"/>
          <w:color w:val="auto"/>
        </w:rPr>
        <w:tab/>
      </w:r>
      <w:r>
        <w:rPr>
          <w:rFonts w:ascii="Arial" w:cs="Arial" w:eastAsia="Arial" w:hAnsi="Arial"/>
          <w:sz w:val="19"/>
          <w:szCs w:val="19"/>
          <w:b w:val="1"/>
          <w:bCs w:val="1"/>
          <w:u w:val="single" w:color="auto"/>
          <w:color w:val="auto"/>
        </w:rPr>
        <w:t>Evidence of Indebtedness</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87" w:lineRule="auto"/>
        <w:tabs>
          <w:tab w:leader="none" w:pos="2804" w:val="left"/>
        </w:tabs>
        <w:numPr>
          <w:ilvl w:val="0"/>
          <w:numId w:val="46"/>
        </w:numPr>
        <w:rPr>
          <w:rFonts w:ascii="Arial" w:cs="Arial" w:eastAsia="Arial" w:hAnsi="Arial"/>
          <w:sz w:val="16"/>
          <w:szCs w:val="16"/>
          <w:color w:val="auto"/>
        </w:rPr>
      </w:pPr>
      <w:r>
        <w:rPr>
          <w:rFonts w:ascii="Arial" w:cs="Arial" w:eastAsia="Arial" w:hAnsi="Arial"/>
          <w:sz w:val="19"/>
          <w:szCs w:val="19"/>
          <w:color w:val="auto"/>
        </w:rPr>
        <w:t xml:space="preserve">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(i) the Revolving Commitment of each Lender, (ii) the amount of each Loan made hereunder by each Lender, the Class and Type thereof and, in the case of each Eurodollar Loan, the Interest Period applicable thereto, (iii) the date of any continuation of any Loan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2.7</w:t>
      </w:r>
      <w:r>
        <w:rPr>
          <w:rFonts w:ascii="Arial" w:cs="Arial" w:eastAsia="Arial" w:hAnsi="Arial"/>
          <w:sz w:val="19"/>
          <w:szCs w:val="19"/>
          <w:color w:val="auto"/>
        </w:rPr>
        <w:t xml:space="preserve">, (iv) the date of any conversion of all or a portion of any Loan to another Type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(v) the date and amount of any principal or interest due and payable or to become due and payable from the Borrower to each Lender hereunder in respect of the Loans and (vi) both the date and amount of any sum received by the Administrative Agent hereunder from the Borrower in respect of the Loans and each Lender’s Pro Rata Share thereof. The entries made in such records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existence and amounts of the obligations of the Borrower therein recorded;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or delay of any Lender or the Administrative Agent in maintaining or making entries into any such record or any error therein shall not in any manner affect the obligation of the Borrower to repay the Loans (both principal and unpaid accrued interest) of such Lender in accordance with the terms of this Agreement.</w:t>
      </w:r>
    </w:p>
    <w:p>
      <w:pPr>
        <w:spacing w:after="0" w:line="204" w:lineRule="exact"/>
        <w:rPr>
          <w:rFonts w:ascii="Arial" w:cs="Arial" w:eastAsia="Arial" w:hAnsi="Arial"/>
          <w:sz w:val="16"/>
          <w:szCs w:val="16"/>
          <w:color w:val="auto"/>
        </w:rPr>
      </w:pPr>
    </w:p>
    <w:p>
      <w:pPr>
        <w:jc w:val="both"/>
        <w:ind w:left="660" w:firstLine="1293"/>
        <w:spacing w:after="0" w:line="260" w:lineRule="auto"/>
        <w:tabs>
          <w:tab w:leader="none" w:pos="2815" w:val="left"/>
        </w:tabs>
        <w:numPr>
          <w:ilvl w:val="0"/>
          <w:numId w:val="46"/>
        </w:numPr>
        <w:rPr>
          <w:rFonts w:ascii="Arial" w:cs="Arial" w:eastAsia="Arial" w:hAnsi="Arial"/>
          <w:sz w:val="18"/>
          <w:szCs w:val="18"/>
          <w:color w:val="auto"/>
        </w:rPr>
      </w:pPr>
      <w:r>
        <w:rPr>
          <w:rFonts w:ascii="Arial" w:cs="Arial" w:eastAsia="Arial" w:hAnsi="Arial"/>
          <w:sz w:val="22"/>
          <w:szCs w:val="22"/>
          <w:color w:val="auto"/>
        </w:rPr>
        <w:t>This Agreement evidences the obligation of the Borrower to repay the Loans and is being executed as a “noteless” credit agreement. However, at the request of any Lender (including the Swingline Lender) at any time, the Borrower agrees that it will prepare, execute and deliver to such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75" w:right="239" w:bottom="1440" w:gutter="0" w:footer="0" w:header="0"/>
        </w:sectPr>
      </w:pPr>
    </w:p>
    <w:bookmarkStart w:id="83" w:name="page84"/>
    <w:bookmarkEnd w:id="83"/>
    <w:p>
      <w:pPr>
        <w:jc w:val="both"/>
        <w:ind w:left="660"/>
        <w:spacing w:after="0" w:line="263" w:lineRule="auto"/>
        <w:rPr>
          <w:sz w:val="20"/>
          <w:szCs w:val="20"/>
          <w:color w:val="auto"/>
        </w:rPr>
      </w:pPr>
      <w:r>
        <w:rPr>
          <w:rFonts w:ascii="Arial" w:cs="Arial" w:eastAsia="Arial" w:hAnsi="Arial"/>
          <w:sz w:val="21"/>
          <w:szCs w:val="21"/>
          <w:color w:val="auto"/>
        </w:rPr>
        <w:t>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permitted hereunder) be represented by one or more promissory notes in such form payable to the order of the payee named therein (or, if such promissory note is a registered note, to such payee and its registered assigns).</w:t>
      </w:r>
    </w:p>
    <w:p>
      <w:pPr>
        <w:spacing w:after="0" w:line="2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2.11 </w:t>
      </w:r>
      <w:r>
        <w:rPr>
          <w:rFonts w:ascii="Arial" w:cs="Arial" w:eastAsia="Arial" w:hAnsi="Arial"/>
          <w:sz w:val="19"/>
          <w:szCs w:val="19"/>
          <w:b w:val="1"/>
          <w:bCs w:val="1"/>
          <w:u w:val="single" w:color="auto"/>
          <w:color w:val="auto"/>
        </w:rPr>
        <w:t>Optional Prepayments</w:t>
      </w:r>
      <w:r>
        <w:rPr>
          <w:rFonts w:ascii="Arial" w:cs="Arial" w:eastAsia="Arial" w:hAnsi="Arial"/>
          <w:sz w:val="19"/>
          <w:szCs w:val="19"/>
          <w:color w:val="auto"/>
        </w:rPr>
        <w:t>. The Borrower shall have the right at any time and from time to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prepay any Borrowing, in whole or in part, without premium or penalty, by giving written notice (or telephonic notice promptly confirmed in writing) to the Administrative Agent no later than (i) in the case of any prepayment of any Eurodollar Borrowing, 11:00 a.m. not less than three (3) Business Days prior to the date of such prepayment, (ii) in the case of any prepayment of any Base Rate Borrowing, not less than one (1) Business Day prior to the date of such prepayment, and (iii) in the case of any prepayment of any Swingline Borrowing, prior to 11:00 a.m. on the date of such prepayment. Each such notice shall be irrevocable and shall specify the proposed date of such prepayment and the principal amount of each Borrowing or portion thereof to be prepaid.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together with accrued interest to such date on the amount so prepaid in accordance with </w:t>
      </w:r>
      <w:r>
        <w:rPr>
          <w:rFonts w:ascii="Arial" w:cs="Arial" w:eastAsia="Arial" w:hAnsi="Arial"/>
          <w:sz w:val="19"/>
          <w:szCs w:val="19"/>
          <w:u w:val="single" w:color="auto"/>
          <w:color w:val="auto"/>
        </w:rPr>
        <w:t>Section 2.13(d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Eurodollar Borrowing is prepaid on a date other than the last day of an Interest Period applicable thereto, the Borrower shall also pay all amounts required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Each partial prepayment of any Loan shall be in an amount that would be permitted in the case of an advance of a Revolving Borrowing of the same Type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or, in the case of a Swingline Loan,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Each optional prepayment of a Borrowing shall be applied ratably to the Loans comprising such Borrowing and, in the case of a prepayment of an Incremental Term Loan Borrowing, to principal installments in the manner selected by the Borrower.</w:t>
      </w:r>
    </w:p>
    <w:p>
      <w:pPr>
        <w:spacing w:after="0" w:line="196"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2.12</w:t>
      </w:r>
      <w:r>
        <w:rPr>
          <w:sz w:val="20"/>
          <w:szCs w:val="20"/>
          <w:color w:val="auto"/>
        </w:rPr>
        <w:tab/>
      </w:r>
      <w:r>
        <w:rPr>
          <w:rFonts w:ascii="Arial" w:cs="Arial" w:eastAsia="Arial" w:hAnsi="Arial"/>
          <w:sz w:val="19"/>
          <w:szCs w:val="19"/>
          <w:b w:val="1"/>
          <w:bCs w:val="1"/>
          <w:u w:val="single" w:color="auto"/>
          <w:color w:val="auto"/>
        </w:rPr>
        <w:t>Mandatory Prepayments</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91" w:lineRule="auto"/>
        <w:tabs>
          <w:tab w:leader="none" w:pos="2804" w:val="left"/>
        </w:tabs>
        <w:numPr>
          <w:ilvl w:val="0"/>
          <w:numId w:val="47"/>
        </w:numPr>
        <w:rPr>
          <w:rFonts w:ascii="Arial" w:cs="Arial" w:eastAsia="Arial" w:hAnsi="Arial"/>
          <w:sz w:val="16"/>
          <w:szCs w:val="16"/>
          <w:color w:val="auto"/>
        </w:rPr>
      </w:pPr>
      <w:r>
        <w:rPr>
          <w:rFonts w:ascii="Arial" w:cs="Arial" w:eastAsia="Arial" w:hAnsi="Arial"/>
          <w:sz w:val="19"/>
          <w:szCs w:val="19"/>
          <w:color w:val="auto"/>
        </w:rPr>
        <w:t>If at any time the aggregate Revolving Credit Exposure of all Lenders exceeds the Aggregate Revolving Commitment Amount, as reduced pursuant to Section 2.8 or otherwise, the Borrower shall immediately repay the Swingline Loans and the Revolving Loans in an amount equal to such excess, together with all accrued and unpaid interest on such excess amount and any amounts due under Section 2.19. Each prepayment shall be applied as follows: first, to the Swingline Loans to the full extent thereof; second, to the Base Rate Loans to the full extent thereof; and third, to the Eurodollar Loans to the full extent thereof. If, after giving effect to prepayment of all Swingline Loans and Revolving Loans, the aggregate Revolving Credit Exposure of all Lenders exceeds the Aggregate Revolving Commitment Amount, the Borrower shall Cash Collateralize its reimbursement obligations with respect to all Letters of Credit in an amount equal to such excess plus any accrued and unpaid fees thereon.</w:t>
      </w:r>
    </w:p>
    <w:p>
      <w:pPr>
        <w:spacing w:after="0" w:line="195" w:lineRule="exact"/>
        <w:rPr>
          <w:rFonts w:ascii="Arial" w:cs="Arial" w:eastAsia="Arial" w:hAnsi="Arial"/>
          <w:sz w:val="16"/>
          <w:szCs w:val="16"/>
          <w:color w:val="auto"/>
        </w:rPr>
      </w:pPr>
    </w:p>
    <w:p>
      <w:pPr>
        <w:jc w:val="both"/>
        <w:ind w:left="660" w:firstLine="1293"/>
        <w:spacing w:after="0" w:line="292" w:lineRule="auto"/>
        <w:tabs>
          <w:tab w:leader="none" w:pos="2815" w:val="left"/>
        </w:tabs>
        <w:numPr>
          <w:ilvl w:val="0"/>
          <w:numId w:val="47"/>
        </w:numPr>
        <w:rPr>
          <w:rFonts w:ascii="Arial" w:cs="Arial" w:eastAsia="Arial" w:hAnsi="Arial"/>
          <w:sz w:val="16"/>
          <w:szCs w:val="16"/>
          <w:color w:val="auto"/>
        </w:rPr>
      </w:pPr>
      <w:r>
        <w:rPr>
          <w:rFonts w:ascii="Arial" w:cs="Arial" w:eastAsia="Arial" w:hAnsi="Arial"/>
          <w:sz w:val="19"/>
          <w:szCs w:val="19"/>
          <w:color w:val="auto"/>
        </w:rPr>
        <w:t xml:space="preserve">To the extent there are any additional mandatory prepayments required in connection with the incurrence of any Incremental Term Loans, such prepayments shall be applied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Administrative Agent’s fees and reimbursable expenses then due and payable pursuant to any of the Loan Documents;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all reimbursable expenses of the Lenders and all fees and reimbursable expenses of the Issuing Bank then due and payable pursuant to any of the Loan Documents,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Lenders and the Issuing Bank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such fees and expenses;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interest and fees then due and payable hereunder,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Lenders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such interest and fees;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principal balance of the Incremental Term Loans, until the same shall have been paid in full,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Lenders based 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75" w:right="2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21"/>
          <w:szCs w:val="21"/>
          <w:color w:val="auto"/>
        </w:rPr>
        <w:t xml:space="preserve">their Pro Rata Shares of the Incremental Term Loans, and applied to installments of the Incremental Term Loans in inverse order of maturity; </w:t>
      </w:r>
      <w:r>
        <w:rPr>
          <w:rFonts w:ascii="Arial" w:cs="Arial" w:eastAsia="Arial" w:hAnsi="Arial"/>
          <w:sz w:val="21"/>
          <w:szCs w:val="21"/>
          <w:u w:val="single" w:color="auto"/>
          <w:color w:val="auto"/>
        </w:rPr>
        <w:t>fifth</w:t>
      </w:r>
      <w:r>
        <w:rPr>
          <w:rFonts w:ascii="Arial" w:cs="Arial" w:eastAsia="Arial" w:hAnsi="Arial"/>
          <w:sz w:val="21"/>
          <w:szCs w:val="21"/>
          <w:color w:val="auto"/>
        </w:rPr>
        <w:t xml:space="preserve">, to the principal balance of the Swingline Loans, until the same shall have been paid in full, to the Swingline Lender; </w:t>
      </w:r>
      <w:r>
        <w:rPr>
          <w:rFonts w:ascii="Arial" w:cs="Arial" w:eastAsia="Arial" w:hAnsi="Arial"/>
          <w:sz w:val="21"/>
          <w:szCs w:val="21"/>
          <w:u w:val="single" w:color="auto"/>
          <w:color w:val="auto"/>
        </w:rPr>
        <w:t>sixth</w:t>
      </w:r>
      <w:r>
        <w:rPr>
          <w:rFonts w:ascii="Arial" w:cs="Arial" w:eastAsia="Arial" w:hAnsi="Arial"/>
          <w:sz w:val="21"/>
          <w:szCs w:val="21"/>
          <w:color w:val="auto"/>
        </w:rPr>
        <w:t xml:space="preserve">, to the principal balance of the Revolving Loans, until the same shall have been paid in full, </w:t>
      </w:r>
      <w:r>
        <w:rPr>
          <w:rFonts w:ascii="Arial" w:cs="Arial" w:eastAsia="Arial" w:hAnsi="Arial"/>
          <w:sz w:val="21"/>
          <w:szCs w:val="21"/>
          <w:i w:val="1"/>
          <w:iCs w:val="1"/>
          <w:color w:val="auto"/>
        </w:rPr>
        <w:t>pro</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rata </w:t>
      </w:r>
      <w:r>
        <w:rPr>
          <w:rFonts w:ascii="Arial" w:cs="Arial" w:eastAsia="Arial" w:hAnsi="Arial"/>
          <w:sz w:val="21"/>
          <w:szCs w:val="21"/>
          <w:color w:val="auto"/>
        </w:rPr>
        <w:t>to the Lenders based on their respective Revolving Commitments; and</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seventh</w:t>
      </w:r>
      <w:r>
        <w:rPr>
          <w:rFonts w:ascii="Arial" w:cs="Arial" w:eastAsia="Arial" w:hAnsi="Arial"/>
          <w:sz w:val="21"/>
          <w:szCs w:val="21"/>
          <w:color w:val="auto"/>
        </w:rPr>
        <w:t>, to Cash Collateralize the Letters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Credit in an amount in cash equal to the LC Exposure as of such date plus any accrued and unpaid fees thereon. The Revolving Commitments of the Lenders shall not be permanently reduced by the amount of any prepayments made pursuant to clauses </w:t>
      </w:r>
      <w:r>
        <w:rPr>
          <w:rFonts w:ascii="Arial" w:cs="Arial" w:eastAsia="Arial" w:hAnsi="Arial"/>
          <w:sz w:val="21"/>
          <w:szCs w:val="21"/>
          <w:u w:val="single" w:color="auto"/>
          <w:color w:val="auto"/>
        </w:rPr>
        <w:t>fifth</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seventh</w:t>
      </w:r>
      <w:r>
        <w:rPr>
          <w:rFonts w:ascii="Arial" w:cs="Arial" w:eastAsia="Arial" w:hAnsi="Arial"/>
          <w:sz w:val="21"/>
          <w:szCs w:val="21"/>
          <w:color w:val="auto"/>
        </w:rPr>
        <w:t xml:space="preserve"> above, unless an Event of Default has occurred and is continuing and the Required Revolving Lenders so request.</w:t>
      </w:r>
    </w:p>
    <w:p>
      <w:pPr>
        <w:spacing w:after="0" w:line="219"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b w:val="1"/>
          <w:bCs w:val="1"/>
          <w:color w:val="auto"/>
        </w:rPr>
        <w:t>Section 2.13</w:t>
      </w:r>
      <w:r>
        <w:rPr>
          <w:sz w:val="20"/>
          <w:szCs w:val="20"/>
          <w:color w:val="auto"/>
        </w:rPr>
        <w:tab/>
      </w:r>
      <w:r>
        <w:rPr>
          <w:rFonts w:ascii="Arial" w:cs="Arial" w:eastAsia="Arial" w:hAnsi="Arial"/>
          <w:sz w:val="19"/>
          <w:szCs w:val="19"/>
          <w:b w:val="1"/>
          <w:bCs w:val="1"/>
          <w:u w:val="single" w:color="auto"/>
          <w:color w:val="auto"/>
        </w:rPr>
        <w:t>Interest on Loans</w:t>
      </w:r>
      <w:r>
        <w:rPr>
          <w:rFonts w:ascii="Arial" w:cs="Arial" w:eastAsia="Arial" w:hAnsi="Arial"/>
          <w:sz w:val="19"/>
          <w:szCs w:val="19"/>
          <w:color w:val="auto"/>
        </w:rPr>
        <w:t>.</w:t>
      </w:r>
    </w:p>
    <w:p>
      <w:pPr>
        <w:spacing w:after="0" w:line="266" w:lineRule="exact"/>
        <w:rPr>
          <w:sz w:val="20"/>
          <w:szCs w:val="20"/>
          <w:color w:val="auto"/>
        </w:rPr>
      </w:pPr>
    </w:p>
    <w:p>
      <w:pPr>
        <w:jc w:val="both"/>
        <w:ind w:firstLine="1293"/>
        <w:spacing w:after="0" w:line="260" w:lineRule="auto"/>
        <w:tabs>
          <w:tab w:leader="none" w:pos="2144" w:val="left"/>
        </w:tabs>
        <w:numPr>
          <w:ilvl w:val="0"/>
          <w:numId w:val="48"/>
        </w:numPr>
        <w:rPr>
          <w:rFonts w:ascii="Arial" w:cs="Arial" w:eastAsia="Arial" w:hAnsi="Arial"/>
          <w:sz w:val="18"/>
          <w:szCs w:val="18"/>
          <w:color w:val="auto"/>
        </w:rPr>
      </w:pPr>
      <w:r>
        <w:rPr>
          <w:rFonts w:ascii="Arial" w:cs="Arial" w:eastAsia="Arial" w:hAnsi="Arial"/>
          <w:sz w:val="22"/>
          <w:szCs w:val="22"/>
          <w:color w:val="auto"/>
        </w:rPr>
        <w:t xml:space="preserve">The Borrower shall pay interest on (i) each Base Rate Loan at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in effect from time to time and (ii) each Eurodollar Loan at the Adjusted LIBO Rate for the applicable Interest Period in effect for such Loan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in effect from time to time.</w:t>
      </w:r>
    </w:p>
    <w:p>
      <w:pPr>
        <w:spacing w:after="0" w:line="217" w:lineRule="exact"/>
        <w:rPr>
          <w:rFonts w:ascii="Arial" w:cs="Arial" w:eastAsia="Arial" w:hAnsi="Arial"/>
          <w:sz w:val="18"/>
          <w:szCs w:val="18"/>
          <w:color w:val="auto"/>
        </w:rPr>
      </w:pPr>
    </w:p>
    <w:p>
      <w:pPr>
        <w:ind w:right="20" w:firstLine="1293"/>
        <w:spacing w:after="0" w:line="276" w:lineRule="auto"/>
        <w:tabs>
          <w:tab w:leader="none" w:pos="2155" w:val="left"/>
        </w:tabs>
        <w:numPr>
          <w:ilvl w:val="0"/>
          <w:numId w:val="48"/>
        </w:numPr>
        <w:rPr>
          <w:rFonts w:ascii="Arial" w:cs="Arial" w:eastAsia="Arial" w:hAnsi="Arial"/>
          <w:sz w:val="18"/>
          <w:szCs w:val="18"/>
          <w:color w:val="auto"/>
        </w:rPr>
      </w:pPr>
      <w:r>
        <w:rPr>
          <w:rFonts w:ascii="Arial" w:cs="Arial" w:eastAsia="Arial" w:hAnsi="Arial"/>
          <w:sz w:val="22"/>
          <w:szCs w:val="22"/>
          <w:color w:val="auto"/>
        </w:rPr>
        <w:t xml:space="preserve">The Borrower shall pay interest on each Swingline Loan at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in effect from time to time.</w:t>
      </w:r>
    </w:p>
    <w:p>
      <w:pPr>
        <w:spacing w:after="0" w:line="201" w:lineRule="exact"/>
        <w:rPr>
          <w:rFonts w:ascii="Arial" w:cs="Arial" w:eastAsia="Arial" w:hAnsi="Arial"/>
          <w:sz w:val="18"/>
          <w:szCs w:val="18"/>
          <w:color w:val="auto"/>
        </w:rPr>
      </w:pPr>
    </w:p>
    <w:p>
      <w:pPr>
        <w:jc w:val="both"/>
        <w:ind w:firstLine="1293"/>
        <w:spacing w:after="0" w:line="291" w:lineRule="auto"/>
        <w:tabs>
          <w:tab w:leader="none" w:pos="2144" w:val="left"/>
        </w:tabs>
        <w:numPr>
          <w:ilvl w:val="0"/>
          <w:numId w:val="48"/>
        </w:numPr>
        <w:rPr>
          <w:rFonts w:ascii="Arial" w:cs="Arial" w:eastAsia="Arial" w:hAnsi="Arial"/>
          <w:sz w:val="16"/>
          <w:szCs w:val="16"/>
          <w:color w:val="auto"/>
        </w:rPr>
      </w:pPr>
      <w:r>
        <w:rPr>
          <w:rFonts w:ascii="Arial" w:cs="Arial" w:eastAsia="Arial" w:hAnsi="Arial"/>
          <w:sz w:val="19"/>
          <w:szCs w:val="19"/>
          <w:color w:val="auto"/>
        </w:rPr>
        <w:t xml:space="preserve">Notwithstanding subsections (a) and (b) of this Section, (i) after the occurrence of an Event of Default under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8.1(h)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8.1(i)</w:t>
      </w:r>
      <w:r>
        <w:rPr>
          <w:rFonts w:ascii="Arial" w:cs="Arial" w:eastAsia="Arial" w:hAnsi="Arial"/>
          <w:sz w:val="19"/>
          <w:szCs w:val="19"/>
          <w:color w:val="auto"/>
        </w:rPr>
        <w:t xml:space="preserve">, the Borrower shall pay interest with respect to all Eurodollar Loans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200 basis points above the otherwise applicable interest rate for such Eurodollar Loans for the then-current Interest Period until the last day of such Interest Period, and thereafter, and with respect to all Base Rate Loans and all other Obligations hereunder (other than Loans),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200 basis points above the otherwise applicable interest rate for Base Rate Loans, and (ii) if any interest on any Loan or any fee or other amount payable by any Borrower hereunder is not paid when due, whether at stated maturity, upon acceleration or otherwise, such overdue amount shall bear interest at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200 basis points above the otherwise applicable interest rate for Base Rate Loans hereunder. The interest described in this clause (c) is referred to herein as “</w:t>
      </w:r>
      <w:r>
        <w:rPr>
          <w:rFonts w:ascii="Arial" w:cs="Arial" w:eastAsia="Arial" w:hAnsi="Arial"/>
          <w:sz w:val="19"/>
          <w:szCs w:val="19"/>
          <w:u w:val="single" w:color="auto"/>
          <w:color w:val="auto"/>
        </w:rPr>
        <w:t>Default Interest</w:t>
      </w:r>
      <w:r>
        <w:rPr>
          <w:rFonts w:ascii="Arial" w:cs="Arial" w:eastAsia="Arial" w:hAnsi="Arial"/>
          <w:sz w:val="19"/>
          <w:szCs w:val="19"/>
          <w:color w:val="auto"/>
        </w:rPr>
        <w:t>”.</w:t>
      </w:r>
    </w:p>
    <w:p>
      <w:pPr>
        <w:spacing w:after="0" w:line="195" w:lineRule="exact"/>
        <w:rPr>
          <w:rFonts w:ascii="Arial" w:cs="Arial" w:eastAsia="Arial" w:hAnsi="Arial"/>
          <w:sz w:val="16"/>
          <w:szCs w:val="16"/>
          <w:color w:val="auto"/>
        </w:rPr>
      </w:pPr>
    </w:p>
    <w:p>
      <w:pPr>
        <w:jc w:val="both"/>
        <w:ind w:firstLine="1293"/>
        <w:spacing w:after="0" w:line="260" w:lineRule="auto"/>
        <w:tabs>
          <w:tab w:leader="none" w:pos="2155" w:val="left"/>
        </w:tabs>
        <w:numPr>
          <w:ilvl w:val="0"/>
          <w:numId w:val="48"/>
        </w:numPr>
        <w:rPr>
          <w:rFonts w:ascii="Arial" w:cs="Arial" w:eastAsia="Arial" w:hAnsi="Arial"/>
          <w:sz w:val="17"/>
          <w:szCs w:val="17"/>
          <w:color w:val="auto"/>
        </w:rPr>
      </w:pPr>
      <w:r>
        <w:rPr>
          <w:rFonts w:ascii="Arial" w:cs="Arial" w:eastAsia="Arial" w:hAnsi="Arial"/>
          <w:sz w:val="21"/>
          <w:szCs w:val="21"/>
          <w:color w:val="auto"/>
        </w:rPr>
        <w:t>Interest on the principal amount of all Loans shall accrue from and includ-ing the date such Loans are made to but excluding the date of any repayment thereof. Interest on all outstanding Base Rate Loans and Swingline Loans shall be payable quarterly in arrears on the last day of each March, June, September and December and on the Revolving Commitment Termination Date or the Maturity Date, as the case may be. Interest on all outstanding Eurodollar Loans shall be payable on the last day of each Interest Period applicable thereto, and, in the case of any Eurodollar Loans having an Interest Period in excess of three months, on each day which occurs every three months after the initial date of such Interest Period, and on the Revolving Commitment Termination Date or the Maturity Date, as the case may be.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spacing w:after="0" w:line="220" w:lineRule="exact"/>
        <w:rPr>
          <w:rFonts w:ascii="Arial" w:cs="Arial" w:eastAsia="Arial" w:hAnsi="Arial"/>
          <w:sz w:val="17"/>
          <w:szCs w:val="17"/>
          <w:color w:val="auto"/>
        </w:rPr>
      </w:pPr>
    </w:p>
    <w:p>
      <w:pPr>
        <w:jc w:val="both"/>
        <w:ind w:firstLine="1293"/>
        <w:spacing w:after="0" w:line="320" w:lineRule="auto"/>
        <w:tabs>
          <w:tab w:leader="none" w:pos="2144" w:val="left"/>
        </w:tabs>
        <w:numPr>
          <w:ilvl w:val="0"/>
          <w:numId w:val="48"/>
        </w:numPr>
        <w:rPr>
          <w:rFonts w:ascii="Arial" w:cs="Arial" w:eastAsia="Arial" w:hAnsi="Arial"/>
          <w:sz w:val="16"/>
          <w:szCs w:val="16"/>
          <w:color w:val="auto"/>
        </w:rPr>
      </w:pPr>
      <w:r>
        <w:rPr>
          <w:rFonts w:ascii="Arial" w:cs="Arial" w:eastAsia="Arial" w:hAnsi="Arial"/>
          <w:sz w:val="19"/>
          <w:szCs w:val="19"/>
          <w:color w:val="auto"/>
        </w:rPr>
        <w:t>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60"/>
          </w:cols>
          <w:pgMar w:left="900" w:top="375" w:right="239" w:bottom="1440" w:gutter="0" w:footer="0" w:header="0"/>
        </w:sectPr>
      </w:pPr>
    </w:p>
    <w:bookmarkStart w:id="85" w:name="page86"/>
    <w:bookmarkEnd w:id="85"/>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2.14</w:t>
      </w:r>
      <w:r>
        <w:rPr>
          <w:sz w:val="20"/>
          <w:szCs w:val="20"/>
          <w:color w:val="auto"/>
        </w:rPr>
        <w:tab/>
      </w:r>
      <w:r>
        <w:rPr>
          <w:rFonts w:ascii="Arial" w:cs="Arial" w:eastAsia="Arial" w:hAnsi="Arial"/>
          <w:sz w:val="17"/>
          <w:szCs w:val="17"/>
          <w:b w:val="1"/>
          <w:bCs w:val="1"/>
          <w:u w:val="single" w:color="auto"/>
          <w:color w:val="auto"/>
        </w:rPr>
        <w:t>Fees</w:t>
      </w:r>
      <w:r>
        <w:rPr>
          <w:rFonts w:ascii="Arial" w:cs="Arial" w:eastAsia="Arial" w:hAnsi="Arial"/>
          <w:sz w:val="17"/>
          <w:szCs w:val="17"/>
          <w:color w:val="auto"/>
        </w:rPr>
        <w:t>.</w:t>
      </w:r>
    </w:p>
    <w:p>
      <w:pPr>
        <w:spacing w:after="0" w:line="266" w:lineRule="exact"/>
        <w:rPr>
          <w:sz w:val="20"/>
          <w:szCs w:val="20"/>
          <w:color w:val="auto"/>
        </w:rPr>
      </w:pPr>
    </w:p>
    <w:p>
      <w:pPr>
        <w:ind w:left="660" w:right="20" w:firstLine="1293"/>
        <w:spacing w:after="0" w:line="276" w:lineRule="auto"/>
        <w:tabs>
          <w:tab w:leader="none" w:pos="2804" w:val="left"/>
        </w:tabs>
        <w:numPr>
          <w:ilvl w:val="0"/>
          <w:numId w:val="49"/>
        </w:numPr>
        <w:rPr>
          <w:rFonts w:ascii="Arial" w:cs="Arial" w:eastAsia="Arial" w:hAnsi="Arial"/>
          <w:sz w:val="18"/>
          <w:szCs w:val="18"/>
          <w:color w:val="auto"/>
        </w:rPr>
      </w:pPr>
      <w:r>
        <w:rPr>
          <w:rFonts w:ascii="Arial" w:cs="Arial" w:eastAsia="Arial" w:hAnsi="Arial"/>
          <w:sz w:val="22"/>
          <w:szCs w:val="22"/>
          <w:color w:val="auto"/>
        </w:rPr>
        <w:t>The Borrower shall pay to the Administrative Agent for its own account fees in the amounts and at the times previously agreed upon in writing by the Borrower and the Administrative Agent.</w:t>
      </w:r>
    </w:p>
    <w:p>
      <w:pPr>
        <w:spacing w:after="0" w:line="201" w:lineRule="exact"/>
        <w:rPr>
          <w:rFonts w:ascii="Arial" w:cs="Arial" w:eastAsia="Arial" w:hAnsi="Arial"/>
          <w:sz w:val="18"/>
          <w:szCs w:val="18"/>
          <w:color w:val="auto"/>
        </w:rPr>
      </w:pPr>
    </w:p>
    <w:p>
      <w:pPr>
        <w:jc w:val="both"/>
        <w:ind w:left="660" w:firstLine="1293"/>
        <w:spacing w:after="0" w:line="266" w:lineRule="auto"/>
        <w:tabs>
          <w:tab w:leader="none" w:pos="2815" w:val="left"/>
        </w:tabs>
        <w:numPr>
          <w:ilvl w:val="0"/>
          <w:numId w:val="49"/>
        </w:numPr>
        <w:rPr>
          <w:rFonts w:ascii="Arial" w:cs="Arial" w:eastAsia="Arial" w:hAnsi="Arial"/>
          <w:sz w:val="17"/>
          <w:szCs w:val="17"/>
          <w:color w:val="auto"/>
        </w:rPr>
      </w:pPr>
      <w:r>
        <w:rPr>
          <w:rFonts w:ascii="Arial" w:cs="Arial" w:eastAsia="Arial" w:hAnsi="Arial"/>
          <w:sz w:val="21"/>
          <w:szCs w:val="21"/>
          <w:color w:val="auto"/>
        </w:rPr>
        <w:t xml:space="preserve">The Borrower agrees to pay to the Administrative Agent for the account of each Lender a commitment fee, which shall accrue at the Applicable Percentage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(determined daily in accordance with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I</w:t>
      </w:r>
      <w:r>
        <w:rPr>
          <w:rFonts w:ascii="Arial" w:cs="Arial" w:eastAsia="Arial" w:hAnsi="Arial"/>
          <w:sz w:val="21"/>
          <w:szCs w:val="21"/>
          <w:color w:val="auto"/>
        </w:rPr>
        <w:t>) on the daily amount of the unused Revolving Commitment of such Lender during the Availability Period. For purposes of computing the commitment fee, the Revolving Commitment of each Lender shall be deemed used to the extent of the outstanding Revolving Loans and LC Exposure, but not Swingline Exposure, of such Lender.</w:t>
      </w:r>
    </w:p>
    <w:p>
      <w:pPr>
        <w:spacing w:after="0" w:line="214" w:lineRule="exact"/>
        <w:rPr>
          <w:rFonts w:ascii="Arial" w:cs="Arial" w:eastAsia="Arial" w:hAnsi="Arial"/>
          <w:sz w:val="17"/>
          <w:szCs w:val="17"/>
          <w:color w:val="auto"/>
        </w:rPr>
      </w:pPr>
    </w:p>
    <w:p>
      <w:pPr>
        <w:jc w:val="both"/>
        <w:ind w:left="660" w:firstLine="1293"/>
        <w:spacing w:after="0" w:line="288" w:lineRule="auto"/>
        <w:tabs>
          <w:tab w:leader="none" w:pos="2804" w:val="left"/>
        </w:tabs>
        <w:numPr>
          <w:ilvl w:val="0"/>
          <w:numId w:val="49"/>
        </w:numPr>
        <w:rPr>
          <w:rFonts w:ascii="Arial" w:cs="Arial" w:eastAsia="Arial" w:hAnsi="Arial"/>
          <w:sz w:val="16"/>
          <w:szCs w:val="16"/>
          <w:color w:val="auto"/>
        </w:rPr>
      </w:pPr>
      <w:r>
        <w:rPr>
          <w:rFonts w:ascii="Arial" w:cs="Arial" w:eastAsia="Arial" w:hAnsi="Arial"/>
          <w:sz w:val="19"/>
          <w:szCs w:val="19"/>
          <w:color w:val="auto"/>
        </w:rPr>
        <w:t xml:space="preserve">The Borrower agrees to pay (i) to the Administrative Agent, for the account of each Lender, a letter of credit fee with respect to its participation in each Letter of Credit, which shall accrue at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Applicable Margin for Eurodollar Loans then in effect on the average daily amount of such Lender’s LC Exposure attributable to such Letter of Credit during the period from and including the date of issuance of such Letter of Credit to but excluding the date on which such Letter of Credit expires or is drawn in full (including, without limitation, any LC Exposure that remains outstanding after the Revolving Commitment Termination Date) and (ii) to the Issuing Bank for its own account a fronting fee, which shall accrue at the rate of 0.125% per annum on the average daily amount of the LC Exposure (excluding any portion thereof attributable to unreimbursed LC Disbursements) during the Availability Period (or until the date that such Letter of Credit is irrevocably cancelled, whichever is later), as well as the Issuing Bank’s standard fees with respect to issuance, amendment, renewal or extension of any Letter of Credit or processing of drawings thereunder. Notwithstanding the foregoing, if the Required Lenders elect to increase the interest rate on the Loans to the rate for Default Interest pursuant to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used to calculate the letter of credit fee pursuant to clause (i) above shall automatically be increased by 200 basis points.</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jc w:val="both"/>
        <w:ind w:left="660" w:firstLine="1293"/>
        <w:spacing w:after="0" w:line="260" w:lineRule="auto"/>
        <w:tabs>
          <w:tab w:leader="none" w:pos="2815" w:val="left"/>
        </w:tabs>
        <w:numPr>
          <w:ilvl w:val="0"/>
          <w:numId w:val="49"/>
        </w:numPr>
        <w:rPr>
          <w:rFonts w:ascii="Arial" w:cs="Arial" w:eastAsia="Arial" w:hAnsi="Arial"/>
          <w:sz w:val="18"/>
          <w:szCs w:val="18"/>
          <w:color w:val="auto"/>
        </w:rPr>
      </w:pPr>
      <w:r>
        <w:rPr>
          <w:rFonts w:ascii="Arial" w:cs="Arial" w:eastAsia="Arial" w:hAnsi="Arial"/>
          <w:sz w:val="22"/>
          <w:szCs w:val="22"/>
          <w:color w:val="auto"/>
        </w:rPr>
        <w:t>The Borrower shall pay on the Closing Date to the Administrative Agent and its affiliates all fees in the Fee Letter that are due and payable on the Closing Date. The Borrower shall pay on the Closing Date to the Lenders all upfront fees previously agreed in writing.</w:t>
      </w:r>
    </w:p>
    <w:p>
      <w:pPr>
        <w:spacing w:after="0" w:line="217" w:lineRule="exact"/>
        <w:rPr>
          <w:rFonts w:ascii="Arial" w:cs="Arial" w:eastAsia="Arial" w:hAnsi="Arial"/>
          <w:sz w:val="18"/>
          <w:szCs w:val="18"/>
          <w:color w:val="auto"/>
        </w:rPr>
      </w:pPr>
    </w:p>
    <w:p>
      <w:pPr>
        <w:jc w:val="both"/>
        <w:ind w:left="660" w:firstLine="1293"/>
        <w:spacing w:after="0" w:line="307" w:lineRule="auto"/>
        <w:tabs>
          <w:tab w:leader="none" w:pos="2804" w:val="left"/>
        </w:tabs>
        <w:numPr>
          <w:ilvl w:val="0"/>
          <w:numId w:val="49"/>
        </w:numPr>
        <w:rPr>
          <w:rFonts w:ascii="Arial" w:cs="Arial" w:eastAsia="Arial" w:hAnsi="Arial"/>
          <w:sz w:val="16"/>
          <w:szCs w:val="16"/>
          <w:color w:val="auto"/>
        </w:rPr>
      </w:pPr>
      <w:r>
        <w:rPr>
          <w:rFonts w:ascii="Arial" w:cs="Arial" w:eastAsia="Arial" w:hAnsi="Arial"/>
          <w:sz w:val="19"/>
          <w:szCs w:val="19"/>
          <w:color w:val="auto"/>
        </w:rPr>
        <w:t xml:space="preserve">Accrued fees under subsections (b) and (c) of this Section shall be payable quarterly in arrears on the last day of each March, June, September and December, commencing on December 31, 2015, and on the Revolving Commitment Termination Date (and, if later, the date the Loans and LC Exposure shall be repaid in their entirety);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fees accruing after the Revolving Commitment Termination Date shall be payable on demand.</w:t>
      </w:r>
    </w:p>
    <w:p>
      <w:pPr>
        <w:spacing w:after="0" w:line="173"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2.15</w:t>
      </w:r>
      <w:r>
        <w:rPr>
          <w:sz w:val="20"/>
          <w:szCs w:val="20"/>
          <w:color w:val="auto"/>
        </w:rPr>
        <w:tab/>
      </w:r>
      <w:r>
        <w:rPr>
          <w:rFonts w:ascii="Arial" w:cs="Arial" w:eastAsia="Arial" w:hAnsi="Arial"/>
          <w:sz w:val="19"/>
          <w:szCs w:val="19"/>
          <w:b w:val="1"/>
          <w:bCs w:val="1"/>
          <w:u w:val="single" w:color="auto"/>
          <w:color w:val="auto"/>
        </w:rPr>
        <w:t>Computation of Interest and Fees</w:t>
      </w:r>
      <w:r>
        <w:rPr>
          <w:rFonts w:ascii="Arial" w:cs="Arial" w:eastAsia="Arial" w:hAnsi="Arial"/>
          <w:sz w:val="19"/>
          <w:szCs w:val="19"/>
          <w:color w:val="auto"/>
        </w:rPr>
        <w:t>.</w:t>
      </w:r>
    </w:p>
    <w:p>
      <w:pPr>
        <w:spacing w:after="0" w:line="26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Interest hereunder based on the Administrative Agent’s prime lending rate shall be computed on the basis of a year of 365 days (or 366 days in a leap year) and paid for the actual number of days elapsed (including the first day but excluding the last day). All other interest and all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9"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53"/>
        </w:trPr>
        <w:tc>
          <w:tcPr>
            <w:tcW w:w="2700" w:type="dxa"/>
            <w:vAlign w:val="bottom"/>
          </w:tcPr>
          <w:p>
            <w:pPr>
              <w:ind w:left="660"/>
              <w:spacing w:after="0"/>
              <w:rPr>
                <w:sz w:val="20"/>
                <w:szCs w:val="20"/>
                <w:color w:val="auto"/>
              </w:rPr>
            </w:pPr>
            <w:r>
              <w:rPr>
                <w:rFonts w:ascii="Arial" w:cs="Arial" w:eastAsia="Arial" w:hAnsi="Arial"/>
                <w:sz w:val="22"/>
                <w:szCs w:val="22"/>
                <w:b w:val="1"/>
                <w:bCs w:val="1"/>
                <w:color w:val="auto"/>
              </w:rPr>
              <w:t>Section 2.16</w:t>
            </w:r>
          </w:p>
        </w:tc>
        <w:tc>
          <w:tcPr>
            <w:tcW w:w="8720" w:type="dxa"/>
            <w:vAlign w:val="bottom"/>
            <w:gridSpan w:val="3"/>
          </w:tcPr>
          <w:p>
            <w:pPr>
              <w:ind w:left="360"/>
              <w:spacing w:after="0"/>
              <w:rPr>
                <w:sz w:val="20"/>
                <w:szCs w:val="20"/>
                <w:color w:val="auto"/>
              </w:rPr>
            </w:pPr>
            <w:r>
              <w:rPr>
                <w:rFonts w:ascii="Arial" w:cs="Arial" w:eastAsia="Arial" w:hAnsi="Arial"/>
                <w:sz w:val="22"/>
                <w:szCs w:val="22"/>
                <w:b w:val="1"/>
                <w:bCs w:val="1"/>
                <w:color w:val="auto"/>
                <w:w w:val="89"/>
              </w:rPr>
              <w:t>Inability to Determine Interest Rates</w:t>
            </w:r>
            <w:r>
              <w:rPr>
                <w:rFonts w:ascii="Arial" w:cs="Arial" w:eastAsia="Arial" w:hAnsi="Arial"/>
                <w:sz w:val="22"/>
                <w:szCs w:val="22"/>
                <w:color w:val="auto"/>
                <w:w w:val="89"/>
              </w:rPr>
              <w:t>. If, prior to the commencement of any Interest Period for</w:t>
            </w:r>
          </w:p>
        </w:tc>
      </w:tr>
      <w:tr>
        <w:trPr>
          <w:trHeight w:val="287"/>
        </w:trPr>
        <w:tc>
          <w:tcPr>
            <w:tcW w:w="2700" w:type="dxa"/>
            <w:vAlign w:val="bottom"/>
          </w:tcPr>
          <w:p>
            <w:pPr>
              <w:spacing w:after="0"/>
              <w:rPr>
                <w:sz w:val="20"/>
                <w:szCs w:val="20"/>
                <w:color w:val="auto"/>
              </w:rPr>
            </w:pPr>
            <w:r>
              <w:rPr>
                <w:rFonts w:ascii="Arial" w:cs="Arial" w:eastAsia="Arial" w:hAnsi="Arial"/>
                <w:sz w:val="22"/>
                <w:szCs w:val="22"/>
                <w:color w:val="auto"/>
              </w:rPr>
              <w:t>any Eurodollar Borrowing:</w:t>
            </w:r>
          </w:p>
        </w:tc>
        <w:tc>
          <w:tcPr>
            <w:tcW w:w="360" w:type="dxa"/>
            <w:vAlign w:val="bottom"/>
          </w:tcPr>
          <w:p>
            <w:pPr>
              <w:spacing w:after="0"/>
              <w:rPr>
                <w:sz w:val="24"/>
                <w:szCs w:val="24"/>
                <w:color w:val="auto"/>
              </w:rPr>
            </w:pPr>
          </w:p>
        </w:tc>
        <w:tc>
          <w:tcPr>
            <w:tcW w:w="3380" w:type="dxa"/>
            <w:vAlign w:val="bottom"/>
            <w:tcBorders>
              <w:top w:val="single" w:sz="8" w:color="auto"/>
            </w:tcBorders>
          </w:tcPr>
          <w:p>
            <w:pPr>
              <w:spacing w:after="0"/>
              <w:rPr>
                <w:sz w:val="24"/>
                <w:szCs w:val="24"/>
                <w:color w:val="auto"/>
              </w:rPr>
            </w:pPr>
          </w:p>
        </w:tc>
        <w:tc>
          <w:tcPr>
            <w:tcW w:w="4980" w:type="dxa"/>
            <w:vAlign w:val="bottom"/>
          </w:tcPr>
          <w:p>
            <w:pPr>
              <w:spacing w:after="0"/>
              <w:rPr>
                <w:sz w:val="24"/>
                <w:szCs w:val="24"/>
                <w:color w:val="auto"/>
              </w:rPr>
            </w:pPr>
          </w:p>
        </w:tc>
      </w:tr>
    </w:tbl>
    <w:p>
      <w:pPr>
        <w:spacing w:after="0" w:line="239" w:lineRule="exact"/>
        <w:rPr>
          <w:sz w:val="20"/>
          <w:szCs w:val="20"/>
          <w:color w:val="auto"/>
        </w:rPr>
      </w:pPr>
    </w:p>
    <w:p>
      <w:pPr>
        <w:jc w:val="both"/>
        <w:ind w:left="1300" w:firstLine="1301"/>
        <w:spacing w:after="0" w:line="278" w:lineRule="auto"/>
        <w:tabs>
          <w:tab w:leader="none" w:pos="3415" w:val="left"/>
        </w:tabs>
        <w:numPr>
          <w:ilvl w:val="0"/>
          <w:numId w:val="50"/>
        </w:numPr>
        <w:rPr>
          <w:rFonts w:ascii="Arial" w:cs="Arial" w:eastAsia="Arial" w:hAnsi="Arial"/>
          <w:sz w:val="17"/>
          <w:szCs w:val="17"/>
          <w:color w:val="auto"/>
        </w:rPr>
      </w:pPr>
      <w:r>
        <w:rPr>
          <w:rFonts w:ascii="Arial" w:cs="Arial" w:eastAsia="Arial" w:hAnsi="Arial"/>
          <w:sz w:val="21"/>
          <w:szCs w:val="21"/>
          <w:color w:val="auto"/>
        </w:rPr>
        <w:t>the Administrative Agent shall have determined (which determination shall be conclusive and binding upon the Borrower) that, by reason of circumstances affecting the relevant interbank market, adequate means do not exist for ascertaining the Adjusted LIBO Rate for such Interest Period, or</w:t>
      </w:r>
    </w:p>
    <w:p>
      <w:pPr>
        <w:spacing w:after="0" w:line="200" w:lineRule="exact"/>
        <w:rPr>
          <w:rFonts w:ascii="Arial" w:cs="Arial" w:eastAsia="Arial" w:hAnsi="Arial"/>
          <w:sz w:val="17"/>
          <w:szCs w:val="17"/>
          <w:color w:val="auto"/>
        </w:rPr>
      </w:pPr>
    </w:p>
    <w:p>
      <w:pPr>
        <w:jc w:val="both"/>
        <w:ind w:left="1300" w:firstLine="1301"/>
        <w:spacing w:after="0" w:line="260" w:lineRule="auto"/>
        <w:tabs>
          <w:tab w:leader="none" w:pos="3465" w:val="left"/>
        </w:tabs>
        <w:numPr>
          <w:ilvl w:val="0"/>
          <w:numId w:val="50"/>
        </w:numPr>
        <w:rPr>
          <w:rFonts w:ascii="Arial" w:cs="Arial" w:eastAsia="Arial" w:hAnsi="Arial"/>
          <w:sz w:val="18"/>
          <w:szCs w:val="18"/>
          <w:color w:val="auto"/>
        </w:rPr>
      </w:pPr>
      <w:r>
        <w:rPr>
          <w:rFonts w:ascii="Arial" w:cs="Arial" w:eastAsia="Arial" w:hAnsi="Arial"/>
          <w:sz w:val="22"/>
          <w:szCs w:val="22"/>
          <w:color w:val="auto"/>
        </w:rPr>
        <w:t>the Administrative Agent shall have received notice from the Required Lenders that the Adjusted LIBO Rate does not adequately and fairly reflect the cost to such Lenders of making, funding or maintaining their Eurodollar Loans for such Interest Period,</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Administrative Agent shall give written notice (or telephonic notice, promptly confirmed in writing) to the Borrower and to the Lenders as soon as practicable thereafter. Until the Administrative Agent shall notify the Borrower and the Lenders that the circumstances giving rise to such notice no longer exist, (i) the obligations of the Lenders to make Eurodollar Revolving Loans or to continue or convert outstanding Loans as or into Eurodollar Loans shall be suspended and (ii) all such affected Eurodollar Loans shall be converted into Base Rate Loans on the last day of the then current Interest Period applicable thereto unless the Borrower prepays such Loans in accordance with this Agreement. Unless the Borrower notifies the Administrative Agent at least one (1) Business Day before the date of any Eurodollar Borrowing for which a Notice of Revolving Borrowing or a Notice of Conversion/Continuation has previously been given that it elects not to borrow, continue or convert to a Eurodollar Borrowing on such date, then such Revolving Borrowing shall be made as, continued as or converted into a Base Rate Borrowing.</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Section 2.17 </w:t>
      </w:r>
      <w:r>
        <w:rPr>
          <w:rFonts w:ascii="Arial" w:cs="Arial" w:eastAsia="Arial" w:hAnsi="Arial"/>
          <w:sz w:val="19"/>
          <w:szCs w:val="19"/>
          <w:b w:val="1"/>
          <w:bCs w:val="1"/>
          <w:u w:val="single" w:color="auto"/>
          <w:color w:val="auto"/>
        </w:rPr>
        <w:t>Illegality</w:t>
      </w:r>
      <w:r>
        <w:rPr>
          <w:rFonts w:ascii="Arial" w:cs="Arial" w:eastAsia="Arial" w:hAnsi="Arial"/>
          <w:sz w:val="19"/>
          <w:szCs w:val="19"/>
          <w:color w:val="auto"/>
        </w:rPr>
        <w:t>. If any Change in Law shall make it unlawful or impossible for any Lender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or fund any Eurodollar Loan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the obligation of such Lender to make Eurodollar Revolving Loans, or to continue or convert outstanding Loans as or into Eurodollar Loans, shall be suspended. In the case of the making of a Eurodollar Borrowing, such Lender’s Revolving Loan shall be made as a Base Rate Loan as part of the same Revolving Borrowing for the same Interest Period and, if the affected Eurodollar Loan is then outstanding, such Loan shall be converted to a Base Rate Loan either (i) on the last day of the then current Interest Period applicable to such Eurodollar Loan if such Lender may lawfully continue to maintain such Loan to such date or (ii) immediately if such Lender shall determine that it may not lawfully continue to maintain such Eurodollar Loan to such date. Notwithstanding the foregoing, the affected Lender shall, prior to giving such notice to the Administrative Agent, designate a different Applicable Lending Office if such designation would avoid the need for giving such notice and if such designation would not otherwise be disadvantageous to such Lender in the good faith exercise of its discretion.</w:t>
      </w:r>
    </w:p>
    <w:p>
      <w:pPr>
        <w:spacing w:after="0" w:line="200" w:lineRule="exact"/>
        <w:rPr>
          <w:sz w:val="20"/>
          <w:szCs w:val="20"/>
          <w:color w:val="auto"/>
        </w:rPr>
      </w:pPr>
    </w:p>
    <w:p>
      <w:pPr>
        <w:spacing w:after="0" w:line="257"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2.18</w:t>
      </w:r>
      <w:r>
        <w:rPr>
          <w:sz w:val="20"/>
          <w:szCs w:val="20"/>
          <w:color w:val="auto"/>
        </w:rPr>
        <w:tab/>
      </w:r>
      <w:r>
        <w:rPr>
          <w:rFonts w:ascii="Arial" w:cs="Arial" w:eastAsia="Arial" w:hAnsi="Arial"/>
          <w:sz w:val="18"/>
          <w:szCs w:val="18"/>
          <w:b w:val="1"/>
          <w:bCs w:val="1"/>
          <w:u w:val="single" w:color="auto"/>
          <w:color w:val="auto"/>
        </w:rPr>
        <w:t>Increased Costs</w:t>
      </w:r>
      <w:r>
        <w:rPr>
          <w:rFonts w:ascii="Arial" w:cs="Arial" w:eastAsia="Arial" w:hAnsi="Arial"/>
          <w:sz w:val="18"/>
          <w:szCs w:val="18"/>
          <w:color w:val="auto"/>
        </w:rPr>
        <w:t>.</w:t>
      </w:r>
    </w:p>
    <w:p>
      <w:pPr>
        <w:spacing w:after="0" w:line="266" w:lineRule="exact"/>
        <w:rPr>
          <w:sz w:val="20"/>
          <w:szCs w:val="20"/>
          <w:color w:val="auto"/>
        </w:rPr>
      </w:pPr>
    </w:p>
    <w:p>
      <w:pPr>
        <w:ind w:left="2800" w:hanging="847"/>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22"/>
          <w:szCs w:val="22"/>
          <w:color w:val="auto"/>
        </w:rPr>
        <w:t>If any Change in Law shall:</w:t>
      </w:r>
    </w:p>
    <w:p>
      <w:pPr>
        <w:spacing w:after="0" w:line="273" w:lineRule="exact"/>
        <w:rPr>
          <w:rFonts w:ascii="Arial" w:cs="Arial" w:eastAsia="Arial" w:hAnsi="Arial"/>
          <w:sz w:val="18"/>
          <w:szCs w:val="18"/>
          <w:color w:val="auto"/>
        </w:rPr>
      </w:pPr>
    </w:p>
    <w:p>
      <w:pPr>
        <w:jc w:val="both"/>
        <w:ind w:left="1300" w:firstLine="1301"/>
        <w:spacing w:after="0" w:line="254" w:lineRule="auto"/>
        <w:tabs>
          <w:tab w:leader="none" w:pos="3415" w:val="left"/>
        </w:tabs>
        <w:numPr>
          <w:ilvl w:val="1"/>
          <w:numId w:val="51"/>
        </w:numPr>
        <w:rPr>
          <w:rFonts w:ascii="Arial" w:cs="Arial" w:eastAsia="Arial" w:hAnsi="Arial"/>
          <w:sz w:val="18"/>
          <w:szCs w:val="18"/>
          <w:color w:val="auto"/>
        </w:rPr>
      </w:pPr>
      <w:r>
        <w:rPr>
          <w:rFonts w:ascii="Arial" w:cs="Arial" w:eastAsia="Arial" w:hAnsi="Arial"/>
          <w:sz w:val="22"/>
          <w:szCs w:val="22"/>
          <w:color w:val="auto"/>
        </w:rPr>
        <w:t>impose, modify or deem applicable any reserve, special deposit or similar requirement that is not otherwise included in the determination of the Adjusted LIBO Rate hereunder against assets of, deposits with or for the account of, or credit extended by, any Lender (except any such reserve requirement reflected in the Adjusted LIBO Rate) or the Issuing Bank;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6" w:right="239" w:bottom="1440" w:gutter="0" w:footer="0" w:header="0"/>
        </w:sectPr>
      </w:pPr>
    </w:p>
    <w:bookmarkStart w:id="87" w:name="page88"/>
    <w:bookmarkEnd w:id="87"/>
    <w:p>
      <w:pPr>
        <w:jc w:val="both"/>
        <w:ind w:left="1300" w:firstLine="1301"/>
        <w:spacing w:after="0" w:line="254" w:lineRule="auto"/>
        <w:tabs>
          <w:tab w:leader="none" w:pos="3465" w:val="left"/>
        </w:tabs>
        <w:numPr>
          <w:ilvl w:val="0"/>
          <w:numId w:val="52"/>
        </w:numPr>
        <w:rPr>
          <w:rFonts w:ascii="Arial" w:cs="Arial" w:eastAsia="Arial" w:hAnsi="Arial"/>
          <w:sz w:val="18"/>
          <w:szCs w:val="18"/>
          <w:color w:val="auto"/>
        </w:rPr>
      </w:pPr>
      <w:r>
        <w:rPr>
          <w:rFonts w:ascii="Arial" w:cs="Arial" w:eastAsia="Arial" w:hAnsi="Arial"/>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25" w:lineRule="exact"/>
        <w:rPr>
          <w:rFonts w:ascii="Arial" w:cs="Arial" w:eastAsia="Arial" w:hAnsi="Arial"/>
          <w:sz w:val="18"/>
          <w:szCs w:val="18"/>
          <w:color w:val="auto"/>
        </w:rPr>
      </w:pPr>
    </w:p>
    <w:p>
      <w:pPr>
        <w:jc w:val="both"/>
        <w:ind w:left="1300" w:firstLine="1301"/>
        <w:spacing w:after="0" w:line="260" w:lineRule="auto"/>
        <w:tabs>
          <w:tab w:leader="none" w:pos="3515" w:val="left"/>
        </w:tabs>
        <w:numPr>
          <w:ilvl w:val="0"/>
          <w:numId w:val="52"/>
        </w:numPr>
        <w:rPr>
          <w:rFonts w:ascii="Arial" w:cs="Arial" w:eastAsia="Arial" w:hAnsi="Arial"/>
          <w:sz w:val="18"/>
          <w:szCs w:val="18"/>
          <w:color w:val="auto"/>
        </w:rPr>
      </w:pPr>
      <w:r>
        <w:rPr>
          <w:rFonts w:ascii="Arial" w:cs="Arial" w:eastAsia="Arial" w:hAnsi="Arial"/>
          <w:sz w:val="22"/>
          <w:szCs w:val="22"/>
          <w:color w:val="auto"/>
        </w:rPr>
        <w:t>impose on any Lender, the Issuing Bank or the eurodollar interbank market any other condition (other than Taxes) affecting this Agreement or any Eurodollar Loans made by such Lender or any Letter of Credit or any participation therein;</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and the result of any of the foregoing is to increase the cost to such Lender of making, converting into, continuing or maintaining a Eurodollar Loan or to increase the cost to such Lender or the Issuing Bank of participating in or issuing any Letter of Credit or to reduce the amount received or receivable by such Lender or the Issuing Bank hereunder (whether of principal, interest or any other amount), then, from time to time, such Lender or the Issuing Bank may provide the Borrower (with a copy thereof to the Administrative Agent) with written notice and demand with respect to such increased costs or reduced amounts, and within five (5) Business Days after receipt of such notice and demand the Borrower shall pay to such Lender or the Issuing Bank, as the case may be, such additional amounts as will compensate such Lender or the Issuing Bank for any such increased costs incurred or reduction suffered.</w:t>
      </w:r>
    </w:p>
    <w:p>
      <w:pPr>
        <w:spacing w:after="0" w:line="195" w:lineRule="exact"/>
        <w:rPr>
          <w:sz w:val="20"/>
          <w:szCs w:val="20"/>
          <w:color w:val="auto"/>
        </w:rPr>
      </w:pPr>
    </w:p>
    <w:p>
      <w:pPr>
        <w:jc w:val="both"/>
        <w:ind w:left="660" w:firstLine="1293"/>
        <w:spacing w:after="0" w:line="286" w:lineRule="auto"/>
        <w:tabs>
          <w:tab w:leader="none" w:pos="2815" w:val="left"/>
        </w:tabs>
        <w:numPr>
          <w:ilvl w:val="1"/>
          <w:numId w:val="53"/>
        </w:numPr>
        <w:rPr>
          <w:rFonts w:ascii="Arial" w:cs="Arial" w:eastAsia="Arial" w:hAnsi="Arial"/>
          <w:sz w:val="16"/>
          <w:szCs w:val="16"/>
          <w:color w:val="auto"/>
        </w:rPr>
      </w:pPr>
      <w:r>
        <w:rPr>
          <w:rFonts w:ascii="Arial" w:cs="Arial" w:eastAsia="Arial" w:hAnsi="Arial"/>
          <w:sz w:val="19"/>
          <w:szCs w:val="19"/>
          <w:color w:val="auto"/>
        </w:rPr>
        <w:t>If any Lender or the Issuing Bank shall have determined that on or after the date of this Agreement any Change in Law regarding capital or liquidity requirements has or would have the ef-fect of reducing the rate of return on such Lender’s or the Issuing Bank’s capital (or on the capital of the Parent Company of such Lender or the Issuing Bank) as a consequence of its obligations hereunder or under or in respect of any Letter of Credit to a level below that which such Lender, the Issuing Bank or such Parent Company could have achieved but for such Change in Law (taking into consideration such Lender’s or the Issuing Bank’s policies or the policies of such Parent Company with respect to capital adequacy and liquidity), then, from time to time, such Lender or the Issuing Bank may provide the Borrower (with a copy thereof to the Administrative Agent) with written notice and demand with respect to such reduced amounts, and within five</w:t>
      </w:r>
    </w:p>
    <w:p>
      <w:pPr>
        <w:spacing w:after="0" w:line="1" w:lineRule="exact"/>
        <w:rPr>
          <w:rFonts w:ascii="Arial" w:cs="Arial" w:eastAsia="Arial" w:hAnsi="Arial"/>
          <w:sz w:val="16"/>
          <w:szCs w:val="16"/>
          <w:color w:val="auto"/>
        </w:rPr>
      </w:pPr>
    </w:p>
    <w:p>
      <w:pPr>
        <w:jc w:val="both"/>
        <w:ind w:left="660" w:hanging="4"/>
        <w:spacing w:after="0" w:line="258" w:lineRule="auto"/>
        <w:tabs>
          <w:tab w:leader="none" w:pos="967"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Business Days after receipt of such notice and demand the Borrower shall pay to such Lender or the Issuing Bank, as the case may be, such additional amounts as will compensate such Lender, the Issuing Bank or such Parent Company for any such reduction suffered;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Lender shall be entitled to request payment of any such amounts with respect to a Change in Law relating to Dodd-Frank or Basel III unless such Lender is generally demanding payment under comparable provisions of its agreements with similarly situated borrowers.</w:t>
      </w:r>
    </w:p>
    <w:p>
      <w:pPr>
        <w:spacing w:after="0" w:line="223" w:lineRule="exact"/>
        <w:rPr>
          <w:rFonts w:ascii="Arial" w:cs="Arial" w:eastAsia="Arial" w:hAnsi="Arial"/>
          <w:sz w:val="21"/>
          <w:szCs w:val="21"/>
          <w:color w:val="auto"/>
        </w:rPr>
      </w:pPr>
    </w:p>
    <w:p>
      <w:pPr>
        <w:jc w:val="both"/>
        <w:ind w:left="660" w:firstLine="1293"/>
        <w:spacing w:after="0" w:line="254" w:lineRule="auto"/>
        <w:tabs>
          <w:tab w:leader="none" w:pos="2804" w:val="left"/>
        </w:tabs>
        <w:numPr>
          <w:ilvl w:val="1"/>
          <w:numId w:val="54"/>
        </w:numPr>
        <w:rPr>
          <w:rFonts w:ascii="Arial" w:cs="Arial" w:eastAsia="Arial" w:hAnsi="Arial"/>
          <w:sz w:val="18"/>
          <w:szCs w:val="18"/>
          <w:color w:val="auto"/>
        </w:rPr>
      </w:pPr>
      <w:r>
        <w:rPr>
          <w:rFonts w:ascii="Arial" w:cs="Arial" w:eastAsia="Arial" w:hAnsi="Arial"/>
          <w:sz w:val="22"/>
          <w:szCs w:val="22"/>
          <w:color w:val="auto"/>
        </w:rPr>
        <w:t>A certifi-cate of such Lender or the Issuing Bank setting forth the amount or amounts necessary to compensate such Lender, the Issuing Bank or the Parent Company of such Lender or the Issuing Bank, as the case may be, specified in subsection (a) or (b) of this Section shall be delivered to the Borrower (with a copy to the Administrative Agent) and shall be conclusive, absent manifest error.</w:t>
      </w:r>
    </w:p>
    <w:p>
      <w:pPr>
        <w:spacing w:after="0" w:line="225" w:lineRule="exact"/>
        <w:rPr>
          <w:rFonts w:ascii="Arial" w:cs="Arial" w:eastAsia="Arial" w:hAnsi="Arial"/>
          <w:sz w:val="18"/>
          <w:szCs w:val="18"/>
          <w:color w:val="auto"/>
        </w:rPr>
      </w:pPr>
    </w:p>
    <w:p>
      <w:pPr>
        <w:jc w:val="both"/>
        <w:ind w:left="660" w:firstLine="1293"/>
        <w:spacing w:after="0" w:line="297" w:lineRule="auto"/>
        <w:tabs>
          <w:tab w:leader="none" w:pos="2815" w:val="left"/>
        </w:tabs>
        <w:numPr>
          <w:ilvl w:val="1"/>
          <w:numId w:val="54"/>
        </w:numPr>
        <w:rPr>
          <w:rFonts w:ascii="Arial" w:cs="Arial" w:eastAsia="Arial" w:hAnsi="Arial"/>
          <w:sz w:val="16"/>
          <w:szCs w:val="16"/>
          <w:color w:val="auto"/>
        </w:rPr>
      </w:pPr>
      <w:r>
        <w:rPr>
          <w:rFonts w:ascii="Arial" w:cs="Arial" w:eastAsia="Arial" w:hAnsi="Arial"/>
          <w:sz w:val="19"/>
          <w:szCs w:val="19"/>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not be required to compensate a Lender or Issuing Bank pursuant to this Section for any increased costs incurred or reductions suffered more than six months prior to the date that such Lender or Issuing Bank, as the case may be, notifies the Borrower of the Change in Law giving rise to such increased costs or reductions, and of such Lender’s or Issuing Bank’s intention to claim compensation therefor (except that, if the Change in Law giving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31" w:right="239" w:bottom="1440" w:gutter="0" w:footer="0" w:header="0"/>
        </w:sectPr>
      </w:pPr>
    </w:p>
    <w:bookmarkStart w:id="88" w:name="page89"/>
    <w:bookmarkEnd w:id="88"/>
    <w:p>
      <w:pPr>
        <w:ind w:left="660"/>
        <w:spacing w:after="0" w:line="263" w:lineRule="auto"/>
        <w:rPr>
          <w:sz w:val="20"/>
          <w:szCs w:val="20"/>
          <w:color w:val="auto"/>
        </w:rPr>
      </w:pPr>
      <w:r>
        <w:rPr>
          <w:rFonts w:ascii="Arial" w:cs="Arial" w:eastAsia="Arial" w:hAnsi="Arial"/>
          <w:sz w:val="22"/>
          <w:szCs w:val="22"/>
          <w:color w:val="auto"/>
        </w:rPr>
        <w:t>rise to such increased costs or reductions is retroactive, then the six-month period referred to above shall be extended to include the period of retroactive effect thereof).</w:t>
      </w:r>
    </w:p>
    <w:p>
      <w:pPr>
        <w:spacing w:after="0" w:line="20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2.19 </w:t>
      </w:r>
      <w:r>
        <w:rPr>
          <w:rFonts w:ascii="Arial" w:cs="Arial" w:eastAsia="Arial" w:hAnsi="Arial"/>
          <w:sz w:val="19"/>
          <w:szCs w:val="19"/>
          <w:b w:val="1"/>
          <w:bCs w:val="1"/>
          <w:u w:val="single" w:color="auto"/>
          <w:color w:val="auto"/>
        </w:rPr>
        <w:t>Funding Indemnity</w:t>
      </w:r>
      <w:r>
        <w:rPr>
          <w:rFonts w:ascii="Arial" w:cs="Arial" w:eastAsia="Arial" w:hAnsi="Arial"/>
          <w:sz w:val="19"/>
          <w:szCs w:val="19"/>
          <w:color w:val="auto"/>
        </w:rPr>
        <w:t>. In the event of (a) the payment of any principal of a Eurodollar Loan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on the last day of the Interest Period applicable thereto (including as a result of an Event of Default), (b) the conversion or continuation of a Eurodollar Loan other than on the last day of the Interest Period applicable thereto, or (c) the failure by the Borrower to borrow, prepay, convert or continue any Eurodollar Loan on the date specified in any applicable notice (regardless of whether such notice is withdrawn or revoked), then, in any such event, the Borrower shall compensate each Lender, within five (5) Business Days after written demand from such Lender, for any loss, cost or expense attributable to such event. In the case of a Eurodollar Loan, such loss, cost or expense shall be deemed to include an amount determined by such Lender to be the excess, if any, of (A) the amount of interest that would have accrued on the principal amount of such Eurodollar Loan if such event had not occurred at the Adjusted LIBO Rate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(B) the amount of interest that would accrue on the principal amount of such Eurodollar Loan for the same period if the Adjusted LIBO Rate were set on the date such Eurodollar Loan was prepaid or converted or the date on which the Borrower failed to borrow, convert or continue such Eurodollar Loan. A certificate as to any additional amount payable under this Section submitted to the Borrower by any Lender (with a copy to the Administrative Agent) shall be conclusive, absent manifest error.</w:t>
      </w:r>
    </w:p>
    <w:p>
      <w:pPr>
        <w:spacing w:after="0" w:line="200" w:lineRule="exact"/>
        <w:rPr>
          <w:sz w:val="20"/>
          <w:szCs w:val="20"/>
          <w:color w:val="auto"/>
        </w:rPr>
      </w:pPr>
    </w:p>
    <w:p>
      <w:pPr>
        <w:spacing w:after="0" w:line="260"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2.20</w:t>
      </w:r>
      <w:r>
        <w:rPr>
          <w:sz w:val="20"/>
          <w:szCs w:val="20"/>
          <w:color w:val="auto"/>
        </w:rPr>
        <w:tab/>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266" w:lineRule="exact"/>
        <w:rPr>
          <w:sz w:val="20"/>
          <w:szCs w:val="20"/>
          <w:color w:val="auto"/>
        </w:rPr>
      </w:pPr>
    </w:p>
    <w:p>
      <w:pPr>
        <w:ind w:left="660" w:firstLine="1293"/>
        <w:spacing w:after="0" w:line="276" w:lineRule="auto"/>
        <w:tabs>
          <w:tab w:leader="none" w:pos="2804" w:val="left"/>
        </w:tabs>
        <w:numPr>
          <w:ilvl w:val="0"/>
          <w:numId w:val="55"/>
        </w:numPr>
        <w:rPr>
          <w:rFonts w:ascii="Arial" w:cs="Arial" w:eastAsia="Arial" w:hAnsi="Arial"/>
          <w:sz w:val="18"/>
          <w:szCs w:val="18"/>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2.20</w:t>
      </w:r>
      <w:r>
        <w:rPr>
          <w:rFonts w:ascii="Arial" w:cs="Arial" w:eastAsia="Arial" w:hAnsi="Arial"/>
          <w:sz w:val="22"/>
          <w:szCs w:val="22"/>
          <w:color w:val="auto"/>
        </w:rPr>
        <w:t>, the term “Lender” includes Issuing Bank and the term “applicable law” includes FATCA.</w:t>
      </w:r>
    </w:p>
    <w:p>
      <w:pPr>
        <w:spacing w:after="0" w:line="201" w:lineRule="exact"/>
        <w:rPr>
          <w:rFonts w:ascii="Arial" w:cs="Arial" w:eastAsia="Arial" w:hAnsi="Arial"/>
          <w:sz w:val="18"/>
          <w:szCs w:val="18"/>
          <w:color w:val="auto"/>
        </w:rPr>
      </w:pPr>
    </w:p>
    <w:p>
      <w:pPr>
        <w:jc w:val="both"/>
        <w:ind w:left="660" w:firstLine="1293"/>
        <w:spacing w:after="0" w:line="260" w:lineRule="auto"/>
        <w:tabs>
          <w:tab w:leader="none" w:pos="2815" w:val="left"/>
        </w:tabs>
        <w:numPr>
          <w:ilvl w:val="0"/>
          <w:numId w:val="55"/>
        </w:numPr>
        <w:rPr>
          <w:rFonts w:ascii="Arial" w:cs="Arial" w:eastAsia="Arial" w:hAnsi="Arial"/>
          <w:sz w:val="17"/>
          <w:szCs w:val="17"/>
          <w:color w:val="auto"/>
        </w:rPr>
      </w:pPr>
      <w:r>
        <w:rPr>
          <w:rFonts w:ascii="Arial" w:cs="Arial" w:eastAsia="Arial" w:hAnsi="Arial"/>
          <w:sz w:val="21"/>
          <w:szCs w:val="21"/>
          <w:u w:val="single" w:color="auto"/>
          <w:color w:val="auto"/>
        </w:rPr>
        <w:t>Payments Free of Taxes</w:t>
      </w:r>
      <w:r>
        <w:rPr>
          <w:rFonts w:ascii="Arial" w:cs="Arial" w:eastAsia="Arial" w:hAnsi="Arial"/>
          <w:sz w:val="21"/>
          <w:szCs w:val="21"/>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20" w:lineRule="exact"/>
        <w:rPr>
          <w:rFonts w:ascii="Arial" w:cs="Arial" w:eastAsia="Arial" w:hAnsi="Arial"/>
          <w:sz w:val="17"/>
          <w:szCs w:val="17"/>
          <w:color w:val="auto"/>
        </w:rPr>
      </w:pPr>
    </w:p>
    <w:p>
      <w:pPr>
        <w:jc w:val="both"/>
        <w:ind w:left="660" w:firstLine="1293"/>
        <w:spacing w:after="0" w:line="260" w:lineRule="auto"/>
        <w:tabs>
          <w:tab w:leader="none" w:pos="2804" w:val="left"/>
        </w:tabs>
        <w:numPr>
          <w:ilvl w:val="0"/>
          <w:numId w:val="55"/>
        </w:numPr>
        <w:rPr>
          <w:rFonts w:ascii="Arial" w:cs="Arial" w:eastAsia="Arial" w:hAnsi="Arial"/>
          <w:sz w:val="18"/>
          <w:szCs w:val="18"/>
          <w:color w:val="auto"/>
        </w:rPr>
      </w:pPr>
      <w:r>
        <w:rPr>
          <w:rFonts w:ascii="Arial" w:cs="Arial" w:eastAsia="Arial" w:hAnsi="Arial"/>
          <w:sz w:val="22"/>
          <w:szCs w:val="22"/>
          <w:u w:val="single" w:color="auto"/>
          <w:color w:val="auto"/>
        </w:rPr>
        <w:t>Payment of Other Taxes by the Borrower</w:t>
      </w:r>
      <w:r>
        <w:rPr>
          <w:rFonts w:ascii="Arial" w:cs="Arial" w:eastAsia="Arial" w:hAnsi="Arial"/>
          <w:sz w:val="22"/>
          <w:szCs w:val="22"/>
          <w:color w:val="auto"/>
        </w:rPr>
        <w:t>. The Borrower shall timely pay to the relevant Governmental Authority in accordance with applicable law, or at the option of the Administrative Agent timely reimburse it for the payment of, any Other Taxes.</w:t>
      </w:r>
    </w:p>
    <w:p>
      <w:pPr>
        <w:spacing w:after="0" w:line="217" w:lineRule="exact"/>
        <w:rPr>
          <w:rFonts w:ascii="Arial" w:cs="Arial" w:eastAsia="Arial" w:hAnsi="Arial"/>
          <w:sz w:val="18"/>
          <w:szCs w:val="18"/>
          <w:color w:val="auto"/>
        </w:rPr>
      </w:pPr>
    </w:p>
    <w:p>
      <w:pPr>
        <w:jc w:val="both"/>
        <w:ind w:left="660" w:firstLine="1293"/>
        <w:spacing w:after="0" w:line="297" w:lineRule="auto"/>
        <w:tabs>
          <w:tab w:leader="none" w:pos="2815" w:val="left"/>
        </w:tabs>
        <w:numPr>
          <w:ilvl w:val="0"/>
          <w:numId w:val="55"/>
        </w:numPr>
        <w:rPr>
          <w:rFonts w:ascii="Arial" w:cs="Arial" w:eastAsia="Arial" w:hAnsi="Arial"/>
          <w:sz w:val="16"/>
          <w:szCs w:val="16"/>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74" w:right="239" w:bottom="1440" w:gutter="0" w:footer="0" w:header="0"/>
        </w:sectPr>
      </w:pPr>
    </w:p>
    <w:bookmarkStart w:id="89" w:name="page90"/>
    <w:bookmarkEnd w:id="89"/>
    <w:p>
      <w:pPr>
        <w:ind w:right="20"/>
        <w:spacing w:after="0" w:line="263" w:lineRule="auto"/>
        <w:rPr>
          <w:sz w:val="20"/>
          <w:szCs w:val="20"/>
          <w:color w:val="auto"/>
        </w:rPr>
      </w:pPr>
      <w:r>
        <w:rPr>
          <w:rFonts w:ascii="Arial" w:cs="Arial" w:eastAsia="Arial" w:hAnsi="Arial"/>
          <w:sz w:val="22"/>
          <w:szCs w:val="22"/>
          <w:color w:val="auto"/>
        </w:rPr>
        <w:t>Administrative Agent), or by the Administrative Agent on its own behalf or on behalf of a Lender, shall be conclusive absent manifest error.</w:t>
      </w:r>
    </w:p>
    <w:p>
      <w:pPr>
        <w:spacing w:after="0" w:line="215" w:lineRule="exact"/>
        <w:rPr>
          <w:sz w:val="20"/>
          <w:szCs w:val="20"/>
          <w:color w:val="auto"/>
        </w:rPr>
      </w:pPr>
    </w:p>
    <w:p>
      <w:pPr>
        <w:jc w:val="both"/>
        <w:ind w:firstLine="1293"/>
        <w:spacing w:after="0" w:line="289" w:lineRule="auto"/>
        <w:tabs>
          <w:tab w:leader="none" w:pos="2144" w:val="left"/>
        </w:tabs>
        <w:numPr>
          <w:ilvl w:val="0"/>
          <w:numId w:val="56"/>
        </w:numPr>
        <w:rPr>
          <w:rFonts w:ascii="Arial" w:cs="Arial" w:eastAsia="Arial" w:hAnsi="Arial"/>
          <w:sz w:val="16"/>
          <w:szCs w:val="16"/>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9"/>
          <w:szCs w:val="19"/>
          <w:u w:val="single" w:color="auto"/>
          <w:color w:val="auto"/>
        </w:rPr>
        <w:t>Section 10.4(d)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jc w:val="both"/>
        <w:ind w:firstLine="1293"/>
        <w:spacing w:after="0" w:line="251" w:lineRule="auto"/>
        <w:tabs>
          <w:tab w:leader="none" w:pos="2125" w:val="left"/>
        </w:tabs>
        <w:numPr>
          <w:ilvl w:val="0"/>
          <w:numId w:val="56"/>
        </w:numPr>
        <w:rPr>
          <w:rFonts w:ascii="Arial" w:cs="Arial" w:eastAsia="Arial" w:hAnsi="Arial"/>
          <w:sz w:val="18"/>
          <w:szCs w:val="18"/>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As soon as practicable after any payment of Taxes by the Borrower or any other Loan Party to a Governmental Authority pursuant to this Section 2.20, the Borrower or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30" w:lineRule="exact"/>
        <w:rPr>
          <w:rFonts w:ascii="Arial" w:cs="Arial" w:eastAsia="Arial" w:hAnsi="Arial"/>
          <w:sz w:val="18"/>
          <w:szCs w:val="18"/>
          <w:color w:val="auto"/>
        </w:rPr>
      </w:pPr>
    </w:p>
    <w:p>
      <w:pPr>
        <w:jc w:val="both"/>
        <w:ind w:firstLine="1293"/>
        <w:spacing w:after="0" w:line="288" w:lineRule="auto"/>
        <w:tabs>
          <w:tab w:leader="none" w:pos="2155" w:val="left"/>
        </w:tabs>
        <w:numPr>
          <w:ilvl w:val="0"/>
          <w:numId w:val="56"/>
        </w:numPr>
        <w:rPr>
          <w:rFonts w:ascii="Arial" w:cs="Arial" w:eastAsia="Arial" w:hAnsi="Arial"/>
          <w:sz w:val="16"/>
          <w:szCs w:val="16"/>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2.20(g) (i)(A), (i)(B)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3" w:lineRule="exact"/>
        <w:rPr>
          <w:sz w:val="20"/>
          <w:szCs w:val="20"/>
          <w:color w:val="auto"/>
        </w:rPr>
      </w:pPr>
    </w:p>
    <w:p>
      <w:pPr>
        <w:ind w:left="2760" w:hanging="819"/>
        <w:spacing w:after="0"/>
        <w:tabs>
          <w:tab w:leader="none" w:pos="2760" w:val="left"/>
        </w:tabs>
        <w:numPr>
          <w:ilvl w:val="0"/>
          <w:numId w:val="57"/>
        </w:numPr>
        <w:rPr>
          <w:rFonts w:ascii="Arial" w:cs="Arial" w:eastAsia="Arial" w:hAnsi="Arial"/>
          <w:sz w:val="17"/>
          <w:szCs w:val="17"/>
          <w:color w:val="auto"/>
        </w:rPr>
      </w:pPr>
      <w:r>
        <w:rPr>
          <w:rFonts w:ascii="Arial" w:cs="Arial" w:eastAsia="Arial" w:hAnsi="Arial"/>
          <w:sz w:val="21"/>
          <w:szCs w:val="21"/>
          <w:color w:val="auto"/>
        </w:rPr>
        <w:t>Without limiting the generality of the foregoing, in the event that the Borrower is a U.S.</w:t>
      </w:r>
    </w:p>
    <w:p>
      <w:pPr>
        <w:spacing w:after="0" w:line="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Borrower,</w:t>
      </w:r>
    </w:p>
    <w:p>
      <w:pPr>
        <w:spacing w:after="0" w:line="256" w:lineRule="exact"/>
        <w:rPr>
          <w:sz w:val="20"/>
          <w:szCs w:val="20"/>
          <w:color w:val="auto"/>
        </w:rPr>
      </w:pPr>
    </w:p>
    <w:p>
      <w:pPr>
        <w:jc w:val="both"/>
        <w:ind w:left="640" w:firstLine="1301"/>
        <w:spacing w:after="0" w:line="270" w:lineRule="auto"/>
        <w:tabs>
          <w:tab w:leader="none" w:pos="2835" w:val="left"/>
        </w:tabs>
        <w:numPr>
          <w:ilvl w:val="0"/>
          <w:numId w:val="58"/>
        </w:numPr>
        <w:rPr>
          <w:rFonts w:ascii="Arial" w:cs="Arial" w:eastAsia="Arial" w:hAnsi="Arial"/>
          <w:sz w:val="17"/>
          <w:szCs w:val="17"/>
          <w:color w:val="auto"/>
        </w:rPr>
      </w:pPr>
      <w:r>
        <w:rPr>
          <w:rFonts w:ascii="Arial" w:cs="Arial" w:eastAsia="Arial" w:hAnsi="Arial"/>
          <w:sz w:val="21"/>
          <w:szCs w:val="2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00" w:lineRule="exact"/>
        <w:rPr>
          <w:sz w:val="20"/>
          <w:szCs w:val="20"/>
          <w:color w:val="auto"/>
        </w:rPr>
      </w:pPr>
    </w:p>
    <w:p>
      <w:pPr>
        <w:spacing w:after="0" w:line="2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60"/>
          </w:cols>
          <w:pgMar w:left="900" w:top="375" w:right="239" w:bottom="1440" w:gutter="0" w:footer="0" w:header="0"/>
        </w:sectPr>
      </w:pPr>
    </w:p>
    <w:bookmarkStart w:id="90" w:name="page91"/>
    <w:bookmarkEnd w:id="90"/>
    <w:p>
      <w:pPr>
        <w:jc w:val="both"/>
        <w:ind w:left="100" w:firstLine="1301"/>
        <w:spacing w:after="0" w:line="307" w:lineRule="auto"/>
        <w:tabs>
          <w:tab w:leader="none" w:pos="2285" w:val="left"/>
        </w:tabs>
        <w:numPr>
          <w:ilvl w:val="0"/>
          <w:numId w:val="59"/>
        </w:numPr>
        <w:rPr>
          <w:rFonts w:ascii="Arial" w:cs="Arial" w:eastAsia="Arial" w:hAnsi="Arial"/>
          <w:sz w:val="16"/>
          <w:szCs w:val="16"/>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9" w:lineRule="exact"/>
        <w:rPr>
          <w:sz w:val="20"/>
          <w:szCs w:val="20"/>
          <w:color w:val="auto"/>
        </w:rPr>
      </w:pPr>
    </w:p>
    <w:p>
      <w:pPr>
        <w:jc w:val="both"/>
        <w:ind w:left="760" w:firstLine="641"/>
        <w:spacing w:after="0" w:line="262" w:lineRule="auto"/>
        <w:tabs>
          <w:tab w:leader="none" w:pos="2226" w:val="left"/>
        </w:tabs>
        <w:numPr>
          <w:ilvl w:val="0"/>
          <w:numId w:val="60"/>
        </w:numPr>
        <w:rPr>
          <w:rFonts w:ascii="Arial" w:cs="Arial" w:eastAsia="Arial" w:hAnsi="Arial"/>
          <w:sz w:val="17"/>
          <w:szCs w:val="17"/>
          <w:color w:val="auto"/>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20" w:lineRule="exact"/>
        <w:rPr>
          <w:rFonts w:ascii="Arial" w:cs="Arial" w:eastAsia="Arial" w:hAnsi="Arial"/>
          <w:sz w:val="17"/>
          <w:szCs w:val="17"/>
          <w:color w:val="auto"/>
        </w:rPr>
      </w:pPr>
    </w:p>
    <w:p>
      <w:pPr>
        <w:ind w:left="2260" w:hanging="859"/>
        <w:spacing w:after="0"/>
        <w:tabs>
          <w:tab w:leader="none" w:pos="2260" w:val="left"/>
        </w:tabs>
        <w:numPr>
          <w:ilvl w:val="0"/>
          <w:numId w:val="60"/>
        </w:numPr>
        <w:rPr>
          <w:rFonts w:ascii="Arial" w:cs="Arial" w:eastAsia="Arial" w:hAnsi="Arial"/>
          <w:sz w:val="18"/>
          <w:szCs w:val="18"/>
          <w:color w:val="auto"/>
        </w:rPr>
      </w:pPr>
      <w:r>
        <w:rPr>
          <w:rFonts w:ascii="Arial" w:cs="Arial" w:eastAsia="Arial" w:hAnsi="Arial"/>
          <w:sz w:val="22"/>
          <w:szCs w:val="22"/>
          <w:color w:val="auto"/>
        </w:rPr>
        <w:t>executed originals of IRS Form W-8ECI;</w:t>
      </w:r>
    </w:p>
    <w:p>
      <w:pPr>
        <w:spacing w:after="0" w:line="273" w:lineRule="exact"/>
        <w:rPr>
          <w:rFonts w:ascii="Arial" w:cs="Arial" w:eastAsia="Arial" w:hAnsi="Arial"/>
          <w:sz w:val="18"/>
          <w:szCs w:val="18"/>
          <w:color w:val="auto"/>
        </w:rPr>
      </w:pPr>
    </w:p>
    <w:p>
      <w:pPr>
        <w:jc w:val="both"/>
        <w:ind w:left="760" w:firstLine="641"/>
        <w:spacing w:after="0" w:line="297" w:lineRule="auto"/>
        <w:tabs>
          <w:tab w:leader="none" w:pos="2326" w:val="left"/>
        </w:tabs>
        <w:numPr>
          <w:ilvl w:val="0"/>
          <w:numId w:val="60"/>
        </w:numPr>
        <w:rPr>
          <w:rFonts w:ascii="Arial" w:cs="Arial" w:eastAsia="Arial" w:hAnsi="Arial"/>
          <w:sz w:val="16"/>
          <w:szCs w:val="16"/>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2.20A</w:t>
      </w:r>
      <w:r>
        <w:rPr>
          <w:rFonts w:ascii="Arial" w:cs="Arial" w:eastAsia="Arial" w:hAnsi="Arial"/>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originals of IRS Form W-8BEN or IRS Form W-8BEN-E, as applicable; or</w:t>
      </w:r>
    </w:p>
    <w:p>
      <w:pPr>
        <w:spacing w:after="0" w:line="187" w:lineRule="exact"/>
        <w:rPr>
          <w:rFonts w:ascii="Arial" w:cs="Arial" w:eastAsia="Arial" w:hAnsi="Arial"/>
          <w:sz w:val="16"/>
          <w:szCs w:val="16"/>
          <w:color w:val="auto"/>
        </w:rPr>
      </w:pPr>
    </w:p>
    <w:p>
      <w:pPr>
        <w:jc w:val="both"/>
        <w:ind w:left="760" w:firstLine="641"/>
        <w:spacing w:after="0" w:line="294" w:lineRule="auto"/>
        <w:tabs>
          <w:tab w:leader="none" w:pos="2316" w:val="left"/>
        </w:tabs>
        <w:numPr>
          <w:ilvl w:val="0"/>
          <w:numId w:val="60"/>
        </w:numPr>
        <w:rPr>
          <w:rFonts w:ascii="Arial" w:cs="Arial" w:eastAsia="Arial" w:hAnsi="Arial"/>
          <w:sz w:val="16"/>
          <w:szCs w:val="16"/>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IRS Form W-8BEN-E, as applicable, a U.S. Tax Compliance Certificate substantially in the form of </w:t>
      </w:r>
      <w:r>
        <w:rPr>
          <w:rFonts w:ascii="Arial" w:cs="Arial" w:eastAsia="Arial" w:hAnsi="Arial"/>
          <w:sz w:val="19"/>
          <w:szCs w:val="19"/>
          <w:u w:val="single" w:color="auto"/>
          <w:color w:val="auto"/>
        </w:rPr>
        <w:t>Exhibit 2.20B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2.20C</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2.20D</w:t>
      </w:r>
      <w:r>
        <w:rPr>
          <w:rFonts w:ascii="Arial" w:cs="Arial" w:eastAsia="Arial" w:hAnsi="Arial"/>
          <w:sz w:val="19"/>
          <w:szCs w:val="19"/>
          <w:color w:val="auto"/>
        </w:rPr>
        <w:t xml:space="preserve"> on behalf of each such direct and indirect partner;</w:t>
      </w:r>
    </w:p>
    <w:p>
      <w:pPr>
        <w:spacing w:after="0" w:line="193" w:lineRule="exact"/>
        <w:rPr>
          <w:sz w:val="20"/>
          <w:szCs w:val="20"/>
          <w:color w:val="auto"/>
        </w:rPr>
      </w:pPr>
    </w:p>
    <w:p>
      <w:pPr>
        <w:jc w:val="both"/>
        <w:ind w:left="100" w:firstLine="1301"/>
        <w:spacing w:after="0" w:line="294" w:lineRule="auto"/>
        <w:tabs>
          <w:tab w:leader="none" w:pos="2285" w:val="left"/>
        </w:tabs>
        <w:numPr>
          <w:ilvl w:val="0"/>
          <w:numId w:val="61"/>
        </w:numPr>
        <w:rPr>
          <w:rFonts w:ascii="Arial" w:cs="Arial" w:eastAsia="Arial" w:hAnsi="Arial"/>
          <w:sz w:val="16"/>
          <w:szCs w:val="16"/>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2" w:lineRule="exact"/>
        <w:rPr>
          <w:rFonts w:ascii="Arial" w:cs="Arial" w:eastAsia="Arial" w:hAnsi="Arial"/>
          <w:sz w:val="16"/>
          <w:szCs w:val="16"/>
          <w:color w:val="auto"/>
        </w:rPr>
      </w:pPr>
    </w:p>
    <w:p>
      <w:pPr>
        <w:ind w:left="100" w:firstLine="1301"/>
        <w:spacing w:after="0" w:line="276" w:lineRule="auto"/>
        <w:tabs>
          <w:tab w:leader="none" w:pos="2295" w:val="left"/>
        </w:tabs>
        <w:numPr>
          <w:ilvl w:val="0"/>
          <w:numId w:val="61"/>
        </w:numPr>
        <w:rPr>
          <w:rFonts w:ascii="Arial" w:cs="Arial" w:eastAsia="Arial" w:hAnsi="Arial"/>
          <w:sz w:val="18"/>
          <w:szCs w:val="18"/>
          <w:color w:val="auto"/>
        </w:rPr>
      </w:pPr>
      <w:r>
        <w:rPr>
          <w:rFonts w:ascii="Arial" w:cs="Arial" w:eastAsia="Arial" w:hAnsi="Arial"/>
          <w:sz w:val="22"/>
          <w:szCs w:val="22"/>
          <w:color w:val="auto"/>
        </w:rPr>
        <w:t>if a payment made to a Lender under any Loan Document would be subject to U.S. federal withholding Tax imposed by FATCA if such Lender were to fail to comply with</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20"/>
          </w:cols>
          <w:pgMar w:left="1440" w:top="375" w:right="239" w:bottom="1440" w:gutter="0" w:footer="0" w:header="0"/>
        </w:sectPr>
      </w:pPr>
    </w:p>
    <w:bookmarkStart w:id="91" w:name="page92"/>
    <w:bookmarkEnd w:id="91"/>
    <w:p>
      <w:pPr>
        <w:jc w:val="both"/>
        <w:ind w:left="1300"/>
        <w:spacing w:after="0" w:line="289" w:lineRule="auto"/>
        <w:rPr>
          <w:sz w:val="20"/>
          <w:szCs w:val="20"/>
          <w:color w:val="auto"/>
        </w:rPr>
      </w:pPr>
      <w:r>
        <w:rPr>
          <w:rFonts w:ascii="Arial" w:cs="Arial" w:eastAsia="Arial" w:hAnsi="Arial"/>
          <w:sz w:val="19"/>
          <w:szCs w:val="19"/>
          <w:color w:val="auto"/>
        </w:rPr>
        <w:t>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6" w:lineRule="exact"/>
        <w:rPr>
          <w:sz w:val="20"/>
          <w:szCs w:val="20"/>
          <w:color w:val="auto"/>
        </w:rPr>
      </w:pPr>
    </w:p>
    <w:p>
      <w:pPr>
        <w:jc w:val="both"/>
        <w:ind w:left="660" w:firstLine="1293"/>
        <w:spacing w:after="0" w:line="286" w:lineRule="auto"/>
        <w:tabs>
          <w:tab w:leader="none" w:pos="2815" w:val="left"/>
        </w:tabs>
        <w:numPr>
          <w:ilvl w:val="1"/>
          <w:numId w:val="62"/>
        </w:numPr>
        <w:rPr>
          <w:rFonts w:ascii="Arial" w:cs="Arial" w:eastAsia="Arial" w:hAnsi="Arial"/>
          <w:sz w:val="16"/>
          <w:szCs w:val="16"/>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w:t>
      </w:r>
    </w:p>
    <w:p>
      <w:pPr>
        <w:spacing w:after="0" w:line="5" w:lineRule="exact"/>
        <w:rPr>
          <w:rFonts w:ascii="Arial" w:cs="Arial" w:eastAsia="Arial" w:hAnsi="Arial"/>
          <w:sz w:val="16"/>
          <w:szCs w:val="16"/>
          <w:color w:val="auto"/>
        </w:rPr>
      </w:pPr>
    </w:p>
    <w:p>
      <w:pPr>
        <w:jc w:val="both"/>
        <w:ind w:left="660" w:hanging="4"/>
        <w:spacing w:after="0" w:line="256" w:lineRule="auto"/>
        <w:tabs>
          <w:tab w:leader="none" w:pos="987" w:val="left"/>
        </w:tabs>
        <w:numPr>
          <w:ilvl w:val="0"/>
          <w:numId w:val="63"/>
        </w:numPr>
        <w:rPr>
          <w:rFonts w:ascii="Arial" w:cs="Arial" w:eastAsia="Arial" w:hAnsi="Arial"/>
          <w:sz w:val="21"/>
          <w:szCs w:val="21"/>
          <w:color w:val="auto"/>
        </w:rPr>
      </w:pPr>
      <w:r>
        <w:rPr>
          <w:rFonts w:ascii="Arial" w:cs="Arial" w:eastAsia="Arial" w:hAnsi="Arial"/>
          <w:sz w:val="21"/>
          <w:szCs w:val="21"/>
          <w:color w:val="auto"/>
        </w:rPr>
        <w:t>(plus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29" w:lineRule="exact"/>
        <w:rPr>
          <w:rFonts w:ascii="Arial" w:cs="Arial" w:eastAsia="Arial" w:hAnsi="Arial"/>
          <w:sz w:val="21"/>
          <w:szCs w:val="21"/>
          <w:color w:val="auto"/>
        </w:rPr>
      </w:pPr>
    </w:p>
    <w:p>
      <w:pPr>
        <w:jc w:val="both"/>
        <w:ind w:left="660" w:right="20" w:firstLine="1293"/>
        <w:spacing w:after="0" w:line="320" w:lineRule="auto"/>
        <w:tabs>
          <w:tab w:leader="none" w:pos="2775" w:val="left"/>
        </w:tabs>
        <w:numPr>
          <w:ilvl w:val="1"/>
          <w:numId w:val="63"/>
        </w:numPr>
        <w:rPr>
          <w:rFonts w:ascii="Arial" w:cs="Arial" w:eastAsia="Arial" w:hAnsi="Arial"/>
          <w:sz w:val="16"/>
          <w:szCs w:val="16"/>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Each party’s obligations under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0"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2.21</w:t>
      </w:r>
      <w:r>
        <w:rPr>
          <w:sz w:val="20"/>
          <w:szCs w:val="20"/>
          <w:color w:val="auto"/>
        </w:rPr>
        <w:tab/>
      </w:r>
      <w:r>
        <w:rPr>
          <w:rFonts w:ascii="Arial" w:cs="Arial" w:eastAsia="Arial" w:hAnsi="Arial"/>
          <w:sz w:val="19"/>
          <w:szCs w:val="19"/>
          <w:b w:val="1"/>
          <w:bCs w:val="1"/>
          <w:u w:val="single" w:color="auto"/>
          <w:color w:val="auto"/>
        </w:rPr>
        <w:t>Payments Generally; Pro Rata Treatment; Sharing of Set-offs</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50" w:lineRule="auto"/>
        <w:tabs>
          <w:tab w:leader="none" w:pos="2804" w:val="left"/>
        </w:tabs>
        <w:numPr>
          <w:ilvl w:val="0"/>
          <w:numId w:val="64"/>
        </w:numPr>
        <w:rPr>
          <w:rFonts w:ascii="Arial" w:cs="Arial" w:eastAsia="Arial" w:hAnsi="Arial"/>
          <w:sz w:val="18"/>
          <w:szCs w:val="18"/>
          <w:color w:val="auto"/>
        </w:rPr>
      </w:pPr>
      <w:r>
        <w:rPr>
          <w:rFonts w:ascii="Arial" w:cs="Arial" w:eastAsia="Arial" w:hAnsi="Arial"/>
          <w:sz w:val="22"/>
          <w:szCs w:val="22"/>
          <w:color w:val="auto"/>
        </w:rPr>
        <w:t xml:space="preserve">The Borrower shall make each payment required to be made by it hereunder (whether of principal, interest, fees or reimbursement of LC Disbursements, or of amounts payable under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w:t>
      </w:r>
      <w:r>
        <w:rPr>
          <w:rFonts w:ascii="Arial" w:cs="Arial" w:eastAsia="Arial" w:hAnsi="Arial"/>
          <w:sz w:val="22"/>
          <w:szCs w:val="22"/>
          <w:u w:val="single" w:color="auto"/>
          <w:color w:val="auto"/>
        </w:rPr>
        <w:t>2.19</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2.20</w:t>
      </w:r>
      <w:r>
        <w:rPr>
          <w:rFonts w:ascii="Arial" w:cs="Arial" w:eastAsia="Arial" w:hAnsi="Arial"/>
          <w:sz w:val="22"/>
          <w:szCs w:val="22"/>
          <w:color w:val="auto"/>
        </w:rPr>
        <w:t>, or otherwise) prior to 12:00 noon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75" w:right="239" w:bottom="1440" w:gutter="0" w:footer="0" w:header="0"/>
        </w:sectPr>
      </w:pPr>
    </w:p>
    <w:bookmarkStart w:id="92" w:name="page93"/>
    <w:bookmarkEnd w:id="92"/>
    <w:p>
      <w:pPr>
        <w:jc w:val="both"/>
        <w:spacing w:after="0" w:line="292" w:lineRule="auto"/>
        <w:rPr>
          <w:sz w:val="20"/>
          <w:szCs w:val="20"/>
          <w:color w:val="auto"/>
        </w:rPr>
      </w:pPr>
      <w:r>
        <w:rPr>
          <w:rFonts w:ascii="Arial" w:cs="Arial" w:eastAsia="Arial" w:hAnsi="Arial"/>
          <w:sz w:val="19"/>
          <w:szCs w:val="19"/>
          <w:color w:val="auto"/>
        </w:rPr>
        <w:t xml:space="preserve">interest thereon. All such payments shall be made to the Administrative Agent at the Payment Office, except payments to be made directly to the Issuing Bank or the Swingline Lender as expressly provided herein and except that payments pursuant to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pacing w:after="0" w:line="192" w:lineRule="exact"/>
        <w:rPr>
          <w:sz w:val="20"/>
          <w:szCs w:val="20"/>
          <w:color w:val="auto"/>
        </w:rPr>
      </w:pPr>
    </w:p>
    <w:p>
      <w:pPr>
        <w:jc w:val="both"/>
        <w:ind w:firstLine="1293"/>
        <w:spacing w:after="0" w:line="291" w:lineRule="auto"/>
        <w:tabs>
          <w:tab w:leader="none" w:pos="2155" w:val="left"/>
        </w:tabs>
        <w:numPr>
          <w:ilvl w:val="0"/>
          <w:numId w:val="65"/>
        </w:numPr>
        <w:rPr>
          <w:rFonts w:ascii="Arial" w:cs="Arial" w:eastAsia="Arial" w:hAnsi="Arial"/>
          <w:sz w:val="16"/>
          <w:szCs w:val="16"/>
          <w:color w:val="auto"/>
        </w:rPr>
      </w:pPr>
      <w:r>
        <w:rPr>
          <w:rFonts w:ascii="Arial" w:cs="Arial" w:eastAsia="Arial" w:hAnsi="Arial"/>
          <w:sz w:val="19"/>
          <w:szCs w:val="19"/>
          <w:color w:val="auto"/>
        </w:rPr>
        <w:t xml:space="preserve">If at any time insufficient funds are received by and available to the Administrative Agent to pay fully all amounts of principal, unreimbursed LC Disbursements, interest and fees then due hereunder, such funds shall be applied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all fees and reimbursable expenses of the Administrative Agent then due and payable pursuant to any of the Loan Documents;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all reimbursable expenses of the Lenders and all fees and reimbursable expenses of the Issuing Bank then due and payable pursuant to any of the Loan Documents,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Lenders and the Issuing Bank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such fees and expenses;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all interest and fees then due and payable hereunder,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Lenders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such interest and fees; and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all principal of the Loans and unreimbursed LC Disbursements then due and payable hereunder,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parties entitled thereto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such principal and unreimbursed LC Disbursements.</w:t>
      </w:r>
    </w:p>
    <w:p>
      <w:pPr>
        <w:spacing w:after="0" w:line="195" w:lineRule="exact"/>
        <w:rPr>
          <w:rFonts w:ascii="Arial" w:cs="Arial" w:eastAsia="Arial" w:hAnsi="Arial"/>
          <w:sz w:val="16"/>
          <w:szCs w:val="16"/>
          <w:color w:val="auto"/>
        </w:rPr>
      </w:pPr>
    </w:p>
    <w:p>
      <w:pPr>
        <w:jc w:val="both"/>
        <w:ind w:firstLine="1293"/>
        <w:spacing w:after="0" w:line="286" w:lineRule="auto"/>
        <w:tabs>
          <w:tab w:leader="none" w:pos="2144" w:val="left"/>
        </w:tabs>
        <w:numPr>
          <w:ilvl w:val="0"/>
          <w:numId w:val="65"/>
        </w:numPr>
        <w:rPr>
          <w:rFonts w:ascii="Arial" w:cs="Arial" w:eastAsia="Arial" w:hAnsi="Arial"/>
          <w:sz w:val="16"/>
          <w:szCs w:val="16"/>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Loans or participations in LC Disbursements or Swingline Loans that would result in such Lender receiving payment of a greater proportion of the aggregate amount of its Revolving Credit Exposure, Incremental Term Loans and accrued interest and fees thereon than the proportion received by any other Lender with respect to its Revolving Credit Exposure or Incremental Term Loans, then the Lender receiving such greater proportion shall purchase (for cash at face value) participations in the Revolving Credit Exposure and Incremental Term Loans of other Lenders to the extent necessary so that the benefit of all such payments shall be shared by the Lenders ratably in accordance with the aggregate amount of principal of and accrued interest on their respective Revolving Credit Exposure and Incremental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Revolving Credit Exposure or Incremental Term Loans to any assignee or participant, other than to the Borrower or any Subsidiary or Affiliate thereof (as to which the provisions of this subsection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jc w:val="both"/>
        <w:ind w:firstLine="1293"/>
        <w:spacing w:after="0" w:line="254" w:lineRule="auto"/>
        <w:tabs>
          <w:tab w:leader="none" w:pos="2155" w:val="left"/>
        </w:tabs>
        <w:numPr>
          <w:ilvl w:val="0"/>
          <w:numId w:val="65"/>
        </w:numPr>
        <w:rPr>
          <w:rFonts w:ascii="Arial" w:cs="Arial" w:eastAsia="Arial" w:hAnsi="Arial"/>
          <w:sz w:val="18"/>
          <w:szCs w:val="18"/>
          <w:color w:val="auto"/>
        </w:rPr>
      </w:pPr>
      <w:r>
        <w:rPr>
          <w:rFonts w:ascii="Arial" w:cs="Arial" w:eastAsia="Arial" w:hAnsi="Arial"/>
          <w:sz w:val="22"/>
          <w:szCs w:val="22"/>
          <w:color w:val="auto"/>
        </w:rPr>
        <w:t>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60"/>
          </w:cols>
          <w:pgMar w:left="900" w:top="375" w:right="239" w:bottom="1440" w:gutter="0" w:footer="0" w:header="0"/>
        </w:sectPr>
      </w:pPr>
    </w:p>
    <w:bookmarkStart w:id="93" w:name="page94"/>
    <w:bookmarkEnd w:id="93"/>
    <w:p>
      <w:pPr>
        <w:jc w:val="both"/>
        <w:spacing w:after="0" w:line="294" w:lineRule="auto"/>
        <w:rPr>
          <w:sz w:val="20"/>
          <w:szCs w:val="20"/>
          <w:color w:val="auto"/>
        </w:rPr>
      </w:pPr>
      <w:r>
        <w:rPr>
          <w:rFonts w:ascii="Arial" w:cs="Arial" w:eastAsia="Arial" w:hAnsi="Arial"/>
          <w:sz w:val="19"/>
          <w:szCs w:val="19"/>
          <w:color w:val="auto"/>
        </w:rPr>
        <w:t>in reliance upon such assumption, distribute to the Lenders or the Issuing Bank, as the case may be, the amount or amounts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4"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b w:val="1"/>
          <w:bCs w:val="1"/>
          <w:color w:val="auto"/>
        </w:rPr>
        <w:t>Section 2.22</w:t>
      </w:r>
      <w:r>
        <w:rPr>
          <w:sz w:val="20"/>
          <w:szCs w:val="20"/>
          <w:color w:val="auto"/>
        </w:rPr>
        <w:tab/>
      </w:r>
      <w:r>
        <w:rPr>
          <w:rFonts w:ascii="Arial" w:cs="Arial" w:eastAsia="Arial" w:hAnsi="Arial"/>
          <w:sz w:val="19"/>
          <w:szCs w:val="19"/>
          <w:b w:val="1"/>
          <w:bCs w:val="1"/>
          <w:u w:val="single" w:color="auto"/>
          <w:color w:val="auto"/>
        </w:rPr>
        <w:t>Letters of Credit</w:t>
      </w:r>
      <w:r>
        <w:rPr>
          <w:rFonts w:ascii="Arial" w:cs="Arial" w:eastAsia="Arial" w:hAnsi="Arial"/>
          <w:sz w:val="19"/>
          <w:szCs w:val="19"/>
          <w:color w:val="auto"/>
        </w:rPr>
        <w:t>.</w:t>
      </w:r>
    </w:p>
    <w:p>
      <w:pPr>
        <w:spacing w:after="0" w:line="266" w:lineRule="exact"/>
        <w:rPr>
          <w:sz w:val="20"/>
          <w:szCs w:val="20"/>
          <w:color w:val="auto"/>
        </w:rPr>
      </w:pPr>
    </w:p>
    <w:p>
      <w:pPr>
        <w:jc w:val="both"/>
        <w:ind w:firstLine="1293"/>
        <w:spacing w:after="0" w:line="288" w:lineRule="auto"/>
        <w:tabs>
          <w:tab w:leader="none" w:pos="2144" w:val="left"/>
        </w:tabs>
        <w:numPr>
          <w:ilvl w:val="0"/>
          <w:numId w:val="66"/>
        </w:numPr>
        <w:rPr>
          <w:rFonts w:ascii="Arial" w:cs="Arial" w:eastAsia="Arial" w:hAnsi="Arial"/>
          <w:sz w:val="16"/>
          <w:szCs w:val="16"/>
          <w:color w:val="auto"/>
        </w:rPr>
      </w:pPr>
      <w:r>
        <w:rPr>
          <w:rFonts w:ascii="Arial" w:cs="Arial" w:eastAsia="Arial" w:hAnsi="Arial"/>
          <w:sz w:val="19"/>
          <w:szCs w:val="19"/>
          <w:color w:val="auto"/>
        </w:rPr>
        <w:t xml:space="preserve">During the Availability Period, the Issuing Bank, in reliance upon the agreements of the other Lenders pursuant to subsections (d) and (e) of this Section, may, in its sole discretion, issue, at the request of the Borrower, Letters of Credit for the account of the Borrower on the terms and conditions hereinafter set forth;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Letter of Credit shall expire on the earlier of (A) the date one year after the date of issuance of such Letter of Credit (or, in the case of any renewal or extension thereof, one year after such renewal or extension) and (B) the date that is five (5) Business Days prior to the Revolving Commitment Termination Date; (ii) each Letter of Credit shall be in a stated amount of at least $250,000; and (iii) the Borrower may not request any Letter of Credit if, after giving effect to such issuance, (A) the aggregate LC Exposure would exceed the LC Commitment or (B) the aggregate Revolving Credit Exposure of all Lenders would exceed the Aggregate Revolving Commitment Amount. Each Lender shall be deemed to, and hereby irrevocably and unconditionally agrees to, purchase from the Issuing Bank without recourse a participation in each Letter of Credit equal to such Lender’s Pro Rata Share of the aggregate amount available to be drawn under such Letter of Credit on the date of issuance. Each issuance of a Letter of Credit shall be deemed to utilize the Revolving Commitment of each Lender by an amount equal to the amount of such participation.</w:t>
      </w:r>
    </w:p>
    <w:p>
      <w:pPr>
        <w:spacing w:after="0" w:line="197" w:lineRule="exact"/>
        <w:rPr>
          <w:rFonts w:ascii="Arial" w:cs="Arial" w:eastAsia="Arial" w:hAnsi="Arial"/>
          <w:sz w:val="16"/>
          <w:szCs w:val="16"/>
          <w:color w:val="auto"/>
        </w:rPr>
      </w:pPr>
    </w:p>
    <w:p>
      <w:pPr>
        <w:jc w:val="both"/>
        <w:ind w:firstLine="1293"/>
        <w:spacing w:after="0" w:line="289" w:lineRule="auto"/>
        <w:tabs>
          <w:tab w:leader="none" w:pos="2155" w:val="left"/>
        </w:tabs>
        <w:numPr>
          <w:ilvl w:val="0"/>
          <w:numId w:val="66"/>
        </w:numPr>
        <w:rPr>
          <w:rFonts w:ascii="Arial" w:cs="Arial" w:eastAsia="Arial" w:hAnsi="Arial"/>
          <w:sz w:val="16"/>
          <w:szCs w:val="16"/>
          <w:color w:val="auto"/>
        </w:rPr>
      </w:pPr>
      <w:r>
        <w:rPr>
          <w:rFonts w:ascii="Arial" w:cs="Arial" w:eastAsia="Arial" w:hAnsi="Arial"/>
          <w:sz w:val="19"/>
          <w:szCs w:val="19"/>
          <w:color w:val="auto"/>
        </w:rPr>
        <w:t xml:space="preserve">To request the issuance of a Letter of Credit (or any amendment, renewal or extension of an outstanding Letter of Credit), the Borrower shall give the Issuing Bank and the Administrative Agent irrevocable written notice at least three (3) Business Days prior to the requested date of such issuance specifying the date (which shall be a Business Day) such Letter of Credit is to be issued (or amended, renewed or extended, as the case may be), the expiration date of such Letter of Credit, the amount of such Letter of Credit, the name and address of the beneficiary thereof and such other information as shall be necessary to prepare, amend, renew or extend such Letter of Credit. In addition to the satisfaction of the conditions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the issuance of such Letter of Credit (or any amendment which increases the amount of such Letter of Credit) will be subject to the further conditions that such Letter of Credit shall be in such form and contain such terms as the Issuing Bank shall approve and that the Borrower shall have executed and delivered any additional applications, agreements and instruments relating to such Letter of Credit as the Issuing Bank shall reasonably require;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conflict between such applications, agreements or instruments and this Agreement, the terms of this Agreement shall control.</w:t>
      </w: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jc w:val="both"/>
        <w:ind w:firstLine="1293"/>
        <w:spacing w:after="0" w:line="262" w:lineRule="auto"/>
        <w:tabs>
          <w:tab w:leader="none" w:pos="2144" w:val="left"/>
        </w:tabs>
        <w:numPr>
          <w:ilvl w:val="0"/>
          <w:numId w:val="66"/>
        </w:numPr>
        <w:rPr>
          <w:rFonts w:ascii="Arial" w:cs="Arial" w:eastAsia="Arial" w:hAnsi="Arial"/>
          <w:sz w:val="17"/>
          <w:szCs w:val="17"/>
          <w:color w:val="auto"/>
        </w:rPr>
      </w:pPr>
      <w:r>
        <w:rPr>
          <w:rFonts w:ascii="Arial" w:cs="Arial" w:eastAsia="Arial" w:hAnsi="Arial"/>
          <w:sz w:val="21"/>
          <w:szCs w:val="21"/>
          <w:color w:val="auto"/>
        </w:rPr>
        <w:t xml:space="preserve">At least two (2) Business Days prior to the issuance of any Letter of Credit, the Issuing Bank will confirm with the Administrative Agent (by telephone or in writing) that the Administrative Agent has received such notice, and, if not, the Issuing Bank will provide the Administrative Agent with a copy thereof. Unless the Issuing Bank has received notice from the Administrative Agent, on or before the Business Day immediately preceding the date the Issuing Bank is to issue the requested Letter of Credit, directing the Issuing Bank not to issue the Letter of Credit because such issuance is not then permitted hereunder because of the limitations set forth in subsection (a) of this Section or that one or more conditions specified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are not then satisfied, then,</w:t>
      </w: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60"/>
          </w:cols>
          <w:pgMar w:left="900" w:top="375" w:right="239" w:bottom="1440" w:gutter="0" w:footer="0" w:header="0"/>
        </w:sectPr>
      </w:pPr>
    </w:p>
    <w:bookmarkStart w:id="94" w:name="page95"/>
    <w:bookmarkEnd w:id="94"/>
    <w:p>
      <w:pPr>
        <w:ind w:left="4" w:right="20"/>
        <w:spacing w:after="0" w:line="263" w:lineRule="auto"/>
        <w:rPr>
          <w:sz w:val="20"/>
          <w:szCs w:val="20"/>
          <w:color w:val="auto"/>
        </w:rPr>
      </w:pPr>
      <w:r>
        <w:rPr>
          <w:rFonts w:ascii="Arial" w:cs="Arial" w:eastAsia="Arial" w:hAnsi="Arial"/>
          <w:sz w:val="22"/>
          <w:szCs w:val="22"/>
          <w:color w:val="auto"/>
        </w:rPr>
        <w:t>subject to the terms and conditions hereof, the Issuing Bank shall, on the requested date, issue such Letter of Credit in accordance with the Issuing Bank’s usual and customary business practices.</w:t>
      </w:r>
    </w:p>
    <w:p>
      <w:pPr>
        <w:spacing w:after="0" w:line="215" w:lineRule="exact"/>
        <w:rPr>
          <w:sz w:val="20"/>
          <w:szCs w:val="20"/>
          <w:color w:val="auto"/>
        </w:rPr>
      </w:pPr>
    </w:p>
    <w:p>
      <w:pPr>
        <w:jc w:val="both"/>
        <w:ind w:left="4" w:firstLine="1293"/>
        <w:spacing w:after="0" w:line="286" w:lineRule="auto"/>
        <w:tabs>
          <w:tab w:leader="none" w:pos="2158" w:val="left"/>
        </w:tabs>
        <w:numPr>
          <w:ilvl w:val="1"/>
          <w:numId w:val="67"/>
        </w:numPr>
        <w:rPr>
          <w:rFonts w:ascii="Arial" w:cs="Arial" w:eastAsia="Arial" w:hAnsi="Arial"/>
          <w:sz w:val="16"/>
          <w:szCs w:val="16"/>
          <w:color w:val="auto"/>
        </w:rPr>
      </w:pPr>
      <w:r>
        <w:rPr>
          <w:rFonts w:ascii="Arial" w:cs="Arial" w:eastAsia="Arial" w:hAnsi="Arial"/>
          <w:sz w:val="19"/>
          <w:szCs w:val="19"/>
          <w:color w:val="auto"/>
        </w:rPr>
        <w:t xml:space="preserve">The Issuing Bank shall examine all documents purporting to represent a demand for payment under a Letter of Credit promptly following its receipt thereof. The Issuing Bank shall notify the Borrower and the Administrative Agent of such demand for payment and whether the Issuing Bank has made or will make a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the Issuing Bank and the Lenders with respect to such LC Disbursement. The Borrower shall be irrevocably and unconditionally obligated to reimburse the Issuing Bank for any LC Disbursements paid by the Issuing Bank in respect of such drawing, without presentment, demand or other formalities of any kind. Unless the Borrower shall have notified the Issuing Bank and the Administrative Agent prior to 11:00 a.m. on the Business Day immediately prior to the date on which such drawing is honored that the Borrower intends to reimburse the Issuing Bank for the amount of such drawing in funds other than from the proceeds of Revolving Loans, the Borrower shall be deemed to have timely given a Notice of Revolving Borrowing to the Administrative Agent requesting the Lenders to make a Base Rate Borrowing on the date on which such drawing is honored in an exact amount due to the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solely of such Borrowing, the conditions precedent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hereof shall not be applicable. The Administrative Agent shall notify the Lenders of such Borrowing in accordance with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each Lender shall make the proceeds of its Base Rate Loan included in such Borrowing available to the Administrative Agent for the account of the Issuing Bank in accordance with </w:t>
      </w:r>
      <w:r>
        <w:rPr>
          <w:rFonts w:ascii="Arial" w:cs="Arial" w:eastAsia="Arial" w:hAnsi="Arial"/>
          <w:sz w:val="19"/>
          <w:szCs w:val="19"/>
          <w:u w:val="single" w:color="auto"/>
          <w:color w:val="auto"/>
        </w:rPr>
        <w:t>Section 2.6</w:t>
      </w:r>
      <w:r>
        <w:rPr>
          <w:rFonts w:ascii="Arial" w:cs="Arial" w:eastAsia="Arial" w:hAnsi="Arial"/>
          <w:sz w:val="19"/>
          <w:szCs w:val="19"/>
          <w:color w:val="auto"/>
        </w:rPr>
        <w:t>. The proceeds of such Borrowing shall be applied directly by the Administrative Agent to reimburse the Issuing Bank for such LC Disbursement.</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jc w:val="both"/>
        <w:ind w:left="4" w:firstLine="1293"/>
        <w:spacing w:after="0" w:line="285" w:lineRule="auto"/>
        <w:tabs>
          <w:tab w:leader="none" w:pos="2148" w:val="left"/>
        </w:tabs>
        <w:numPr>
          <w:ilvl w:val="1"/>
          <w:numId w:val="67"/>
        </w:numPr>
        <w:rPr>
          <w:rFonts w:ascii="Arial" w:cs="Arial" w:eastAsia="Arial" w:hAnsi="Arial"/>
          <w:sz w:val="16"/>
          <w:szCs w:val="16"/>
          <w:color w:val="auto"/>
        </w:rPr>
      </w:pPr>
      <w:r>
        <w:rPr>
          <w:rFonts w:ascii="Arial" w:cs="Arial" w:eastAsia="Arial" w:hAnsi="Arial"/>
          <w:sz w:val="19"/>
          <w:szCs w:val="19"/>
          <w:color w:val="auto"/>
        </w:rPr>
        <w:t>If for any reason a Base Rate Borrowing may not be (as determined in the sole discretion of the Administrative Agent), or is not, made in accordance with the foregoing provisions, then each Lender (other than the Issuing Bank) shall be obligated to fund the participation that such Lender purchased pursuant to subsection (a) of this Section in an amount equal to its Pro Rata Share of such LC Disbursement on and as of the date which such Base Rate Borrowing should have occurred. Each Lender’s obligation to fund its participation shall be absolute and unconditional and shall not be affected by any circumstance, including, without limitation, (i) any set-off, counterclaim, recoupment, defense or other right that such Lender or any other Person may have against the Issuing Bank or any other Person for any reason whatsoever, (ii) the existence of a Default or an Event of Default or the termination of the Aggregate Revolving Commitments, (iii) any adverse change in the condition (financial or otherwise) of the Borrower or any of its Subsidiaries,</w:t>
      </w:r>
    </w:p>
    <w:p>
      <w:pPr>
        <w:spacing w:after="0" w:line="5" w:lineRule="exact"/>
        <w:rPr>
          <w:rFonts w:ascii="Arial" w:cs="Arial" w:eastAsia="Arial" w:hAnsi="Arial"/>
          <w:sz w:val="16"/>
          <w:szCs w:val="16"/>
          <w:color w:val="auto"/>
        </w:rPr>
      </w:pPr>
    </w:p>
    <w:p>
      <w:pPr>
        <w:jc w:val="both"/>
        <w:ind w:left="4" w:hanging="4"/>
        <w:spacing w:after="0" w:line="286" w:lineRule="auto"/>
        <w:tabs>
          <w:tab w:leader="none" w:pos="385"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any breach of this Agreement by the Borrower or any other Lender, (v) any amendment, renewal or extension of any Letter of Credit or (vi) any other circumstance, happening or event whatsoever, whether or not similar to any of the foregoing. On the date that such participation is required to be funded, each Lender shall promptly transfer, in immediately available funds, the amount of its participation to the Administrative Agent for the account of the Issuing Bank. Whenever, at any time after the Issuing Bank has received from any such Lender the funds for its participation in a LC Disbursement, the Issuing Bank (or the Administrative Agent on its behalf) receives any payment on account thereof, the Administrative Agent or the Issuing Bank, as the case may be, will distribute to such Lender its Pro Rata Share of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payment is required to be returned for any reason to the Borrower or to a trustee, receiver, liquidator, custodian or similar official in any bankruptcy proceeding, such Lender will return to the Administrative Agent or the Issuing Bank any portion thereof previously distributed by the Administrative Agent or the Issuing Bank to it.</w:t>
      </w:r>
    </w:p>
    <w:p>
      <w:pPr>
        <w:spacing w:after="0" w:line="200" w:lineRule="exact"/>
        <w:rPr>
          <w:sz w:val="20"/>
          <w:szCs w:val="20"/>
          <w:color w:val="auto"/>
        </w:rPr>
      </w:pPr>
    </w:p>
    <w:p>
      <w:pPr>
        <w:spacing w:after="0" w:line="23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64"/>
          </w:cols>
          <w:pgMar w:left="896" w:top="375" w:right="239" w:bottom="1440" w:gutter="0" w:footer="0" w:header="0"/>
        </w:sectPr>
      </w:pPr>
    </w:p>
    <w:bookmarkStart w:id="95" w:name="page96"/>
    <w:bookmarkEnd w:id="95"/>
    <w:p>
      <w:pPr>
        <w:jc w:val="both"/>
        <w:ind w:left="-540" w:firstLine="1293"/>
        <w:spacing w:after="0" w:line="264" w:lineRule="auto"/>
        <w:tabs>
          <w:tab w:leader="none" w:pos="1585" w:val="left"/>
        </w:tabs>
        <w:numPr>
          <w:ilvl w:val="0"/>
          <w:numId w:val="69"/>
        </w:numPr>
        <w:rPr>
          <w:rFonts w:ascii="Arial" w:cs="Arial" w:eastAsia="Arial" w:hAnsi="Arial"/>
          <w:sz w:val="17"/>
          <w:szCs w:val="17"/>
          <w:color w:val="auto"/>
        </w:rPr>
      </w:pPr>
      <w:r>
        <w:rPr>
          <w:rFonts w:ascii="Arial" w:cs="Arial" w:eastAsia="Arial" w:hAnsi="Arial"/>
          <w:sz w:val="21"/>
          <w:szCs w:val="21"/>
          <w:color w:val="auto"/>
        </w:rPr>
        <w:t xml:space="preserve">To the extent that any Lender shall fail to pay any amount required to be paid pursuant to subsection (d) or (e) of this Section on the due date therefor, such Lender shall pay interest to the Issuing Bank (through the Administrative Agent) on such amount from such due date to the date such payment is made at a rate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equal to the Federal Funds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Lender shall fail to make such payment to the Issuing Bank within three (3) Business Days of such due date, then, retroactively to the due date, such Lender shall be obligated to pay interest on such amount at the rate set forth in </w:t>
      </w:r>
      <w:r>
        <w:rPr>
          <w:rFonts w:ascii="Arial" w:cs="Arial" w:eastAsia="Arial" w:hAnsi="Arial"/>
          <w:sz w:val="21"/>
          <w:szCs w:val="21"/>
          <w:u w:val="single" w:color="auto"/>
          <w:color w:val="auto"/>
        </w:rPr>
        <w:t>Section 2.13(c)</w:t>
      </w:r>
      <w:r>
        <w:rPr>
          <w:rFonts w:ascii="Arial" w:cs="Arial" w:eastAsia="Arial" w:hAnsi="Arial"/>
          <w:sz w:val="21"/>
          <w:szCs w:val="21"/>
          <w:color w:val="auto"/>
        </w:rPr>
        <w:t>.</w:t>
      </w:r>
    </w:p>
    <w:p>
      <w:pPr>
        <w:spacing w:after="0" w:line="215" w:lineRule="exact"/>
        <w:rPr>
          <w:rFonts w:ascii="Arial" w:cs="Arial" w:eastAsia="Arial" w:hAnsi="Arial"/>
          <w:sz w:val="17"/>
          <w:szCs w:val="17"/>
          <w:color w:val="auto"/>
        </w:rPr>
      </w:pPr>
    </w:p>
    <w:p>
      <w:pPr>
        <w:jc w:val="both"/>
        <w:ind w:left="-540" w:firstLine="1293"/>
        <w:spacing w:after="0" w:line="285" w:lineRule="auto"/>
        <w:tabs>
          <w:tab w:leader="none" w:pos="1615" w:val="left"/>
        </w:tabs>
        <w:numPr>
          <w:ilvl w:val="0"/>
          <w:numId w:val="69"/>
        </w:numPr>
        <w:rPr>
          <w:rFonts w:ascii="Arial" w:cs="Arial" w:eastAsia="Arial" w:hAnsi="Arial"/>
          <w:sz w:val="16"/>
          <w:szCs w:val="16"/>
          <w:color w:val="auto"/>
        </w:rPr>
      </w:pPr>
      <w:r>
        <w:rPr>
          <w:rFonts w:ascii="Arial" w:cs="Arial" w:eastAsia="Arial" w:hAnsi="Arial"/>
          <w:sz w:val="19"/>
          <w:szCs w:val="19"/>
          <w:color w:val="auto"/>
        </w:rPr>
        <w:t xml:space="preserve">If any Event of Default shall occur and be continuing, on the Business Day that the Borrower receives notice from the Administrative Agent or the Required Lenders demanding that its reimbursement obligations with respect to the Letters of Credit be Cash Collateralized pursuant to this subsection, the Borrower shall deposit in an account with the Administrative Agent, in the name of the Administrative Agent and for the benefit of the Issuing Bank and the Lenders, an amount in cash equal to 105% of the aggregate LC Exposure of all Lenders as of such date plus any accrued and unpaid fees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with respect to the Borrower described in </w:t>
      </w:r>
      <w:r>
        <w:rPr>
          <w:rFonts w:ascii="Arial" w:cs="Arial" w:eastAsia="Arial" w:hAnsi="Arial"/>
          <w:sz w:val="19"/>
          <w:szCs w:val="19"/>
          <w:u w:val="single" w:color="auto"/>
          <w:color w:val="auto"/>
        </w:rPr>
        <w:t>Section 8.1(h)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to effectuate the intent of this subsection.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the Issuing Bank for LC Disbursements for which it had not been reimbursed and, to the extent not so applied, shall be held for the 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within three (3) Business Days after all Events of Default have been cured or waived.</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jc w:val="both"/>
        <w:ind w:left="-540" w:firstLine="1293"/>
        <w:spacing w:after="0" w:line="307" w:lineRule="auto"/>
        <w:tabs>
          <w:tab w:leader="none" w:pos="1615" w:val="left"/>
        </w:tabs>
        <w:numPr>
          <w:ilvl w:val="0"/>
          <w:numId w:val="69"/>
        </w:numPr>
        <w:rPr>
          <w:rFonts w:ascii="Arial" w:cs="Arial" w:eastAsia="Arial" w:hAnsi="Arial"/>
          <w:sz w:val="16"/>
          <w:szCs w:val="16"/>
          <w:color w:val="auto"/>
        </w:rPr>
      </w:pPr>
      <w:r>
        <w:rPr>
          <w:rFonts w:ascii="Arial" w:cs="Arial" w:eastAsia="Arial" w:hAnsi="Arial"/>
          <w:sz w:val="19"/>
          <w:szCs w:val="19"/>
          <w:color w:val="auto"/>
        </w:rPr>
        <w:t>Upon the request of any Lender, but no more frequently than quarterly, the Issuing Bank shall deliver (through the Administrative Agent) to each Lender and the Borrower a report describing the aggregate Letters of Credit then outstanding. Upon the request of any Lender from time to time, the Issuing Bank shall deliver to such Lender any other information reasonably requested by such Lender with respect to each Letter of Credit then outstanding.</w:t>
      </w:r>
    </w:p>
    <w:p>
      <w:pPr>
        <w:spacing w:after="0" w:line="178" w:lineRule="exact"/>
        <w:rPr>
          <w:rFonts w:ascii="Arial" w:cs="Arial" w:eastAsia="Arial" w:hAnsi="Arial"/>
          <w:sz w:val="16"/>
          <w:szCs w:val="16"/>
          <w:color w:val="auto"/>
        </w:rPr>
      </w:pPr>
    </w:p>
    <w:p>
      <w:pPr>
        <w:jc w:val="both"/>
        <w:ind w:left="-540" w:firstLine="1293"/>
        <w:spacing w:after="0" w:line="260" w:lineRule="auto"/>
        <w:tabs>
          <w:tab w:leader="none" w:pos="1575" w:val="left"/>
        </w:tabs>
        <w:numPr>
          <w:ilvl w:val="0"/>
          <w:numId w:val="69"/>
        </w:numPr>
        <w:rPr>
          <w:rFonts w:ascii="Arial" w:cs="Arial" w:eastAsia="Arial" w:hAnsi="Arial"/>
          <w:sz w:val="18"/>
          <w:szCs w:val="18"/>
          <w:color w:val="auto"/>
        </w:rPr>
      </w:pPr>
      <w:r>
        <w:rPr>
          <w:rFonts w:ascii="Arial" w:cs="Arial" w:eastAsia="Arial" w:hAnsi="Arial"/>
          <w:sz w:val="22"/>
          <w:szCs w:val="22"/>
          <w:color w:val="auto"/>
        </w:rPr>
        <w:t>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w:t>
      </w:r>
    </w:p>
    <w:p>
      <w:pPr>
        <w:spacing w:after="0" w:line="217" w:lineRule="exact"/>
        <w:rPr>
          <w:rFonts w:ascii="Arial" w:cs="Arial" w:eastAsia="Arial" w:hAnsi="Arial"/>
          <w:sz w:val="18"/>
          <w:szCs w:val="18"/>
          <w:color w:val="auto"/>
        </w:rPr>
      </w:pPr>
    </w:p>
    <w:p>
      <w:pPr>
        <w:ind w:left="2220" w:hanging="819"/>
        <w:spacing w:after="0"/>
        <w:tabs>
          <w:tab w:leader="none" w:pos="2220" w:val="left"/>
        </w:tabs>
        <w:numPr>
          <w:ilvl w:val="1"/>
          <w:numId w:val="69"/>
        </w:numPr>
        <w:rPr>
          <w:rFonts w:ascii="Arial" w:cs="Arial" w:eastAsia="Arial" w:hAnsi="Arial"/>
          <w:sz w:val="18"/>
          <w:szCs w:val="18"/>
          <w:color w:val="auto"/>
        </w:rPr>
      </w:pPr>
      <w:r>
        <w:rPr>
          <w:rFonts w:ascii="Arial" w:cs="Arial" w:eastAsia="Arial" w:hAnsi="Arial"/>
          <w:sz w:val="22"/>
          <w:szCs w:val="22"/>
          <w:color w:val="auto"/>
        </w:rPr>
        <w:t>any lack of validity or enforceability of any Letter of Credit or this Agreement;</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20"/>
          </w:cols>
          <w:pgMar w:left="1440" w:top="375" w:right="239" w:bottom="1440" w:gutter="0" w:footer="0" w:header="0"/>
        </w:sectPr>
      </w:pPr>
    </w:p>
    <w:bookmarkStart w:id="96" w:name="page97"/>
    <w:bookmarkEnd w:id="96"/>
    <w:p>
      <w:pPr>
        <w:jc w:val="both"/>
        <w:ind w:left="1300" w:firstLine="1301"/>
        <w:spacing w:after="0" w:line="266" w:lineRule="auto"/>
        <w:tabs>
          <w:tab w:leader="none" w:pos="3465" w:val="left"/>
        </w:tabs>
        <w:numPr>
          <w:ilvl w:val="0"/>
          <w:numId w:val="70"/>
        </w:numPr>
        <w:rPr>
          <w:rFonts w:ascii="Arial" w:cs="Arial" w:eastAsia="Arial" w:hAnsi="Arial"/>
          <w:sz w:val="17"/>
          <w:szCs w:val="17"/>
          <w:color w:val="auto"/>
        </w:rPr>
      </w:pPr>
      <w:r>
        <w:rPr>
          <w:rFonts w:ascii="Arial" w:cs="Arial" w:eastAsia="Arial" w:hAnsi="Arial"/>
          <w:sz w:val="21"/>
          <w:szCs w:val="21"/>
          <w:color w:val="auto"/>
        </w:rPr>
        <w:t>the existence of any claim, set-off, defense or other right which the Borrower or any Subsidiary or Affiliate of the Borrower may have at any time against a beneficiary or any transferee of any Letter of Credit (or any Persons or entities for whom any such beneficiary or transferee may be acting), any Lender (including the Issuing Bank) or any other Person, whether in connection with this Agreement or the Letter of Credit or any document related hereto or thereto or any unrelated transaction;</w:t>
      </w:r>
    </w:p>
    <w:p>
      <w:pPr>
        <w:spacing w:after="0" w:line="214" w:lineRule="exact"/>
        <w:rPr>
          <w:rFonts w:ascii="Arial" w:cs="Arial" w:eastAsia="Arial" w:hAnsi="Arial"/>
          <w:sz w:val="17"/>
          <w:szCs w:val="17"/>
          <w:color w:val="auto"/>
        </w:rPr>
      </w:pPr>
    </w:p>
    <w:p>
      <w:pPr>
        <w:ind w:left="1300" w:firstLine="1301"/>
        <w:spacing w:after="0" w:line="301" w:lineRule="auto"/>
        <w:tabs>
          <w:tab w:leader="none" w:pos="3515" w:val="left"/>
        </w:tabs>
        <w:numPr>
          <w:ilvl w:val="0"/>
          <w:numId w:val="70"/>
        </w:numPr>
        <w:rPr>
          <w:rFonts w:ascii="Arial" w:cs="Arial" w:eastAsia="Arial" w:hAnsi="Arial"/>
          <w:sz w:val="17"/>
          <w:szCs w:val="17"/>
          <w:color w:val="auto"/>
        </w:rPr>
      </w:pPr>
      <w:r>
        <w:rPr>
          <w:rFonts w:ascii="Arial" w:cs="Arial" w:eastAsia="Arial" w:hAnsi="Arial"/>
          <w:sz w:val="21"/>
          <w:szCs w:val="21"/>
          <w:color w:val="auto"/>
        </w:rPr>
        <w:t>any draft or other document presented under a Letter of Credit proving to be forged, fraudulent or invalid in any respect or any statement therein being untrue or inaccurate in any respect;</w:t>
      </w:r>
    </w:p>
    <w:p>
      <w:pPr>
        <w:spacing w:after="0" w:line="177" w:lineRule="exact"/>
        <w:rPr>
          <w:rFonts w:ascii="Arial" w:cs="Arial" w:eastAsia="Arial" w:hAnsi="Arial"/>
          <w:sz w:val="17"/>
          <w:szCs w:val="17"/>
          <w:color w:val="auto"/>
        </w:rPr>
      </w:pPr>
    </w:p>
    <w:p>
      <w:pPr>
        <w:ind w:left="1300" w:firstLine="1301"/>
        <w:spacing w:after="0" w:line="276" w:lineRule="auto"/>
        <w:tabs>
          <w:tab w:leader="none" w:pos="3504" w:val="left"/>
        </w:tabs>
        <w:numPr>
          <w:ilvl w:val="0"/>
          <w:numId w:val="70"/>
        </w:numPr>
        <w:rPr>
          <w:rFonts w:ascii="Arial" w:cs="Arial" w:eastAsia="Arial" w:hAnsi="Arial"/>
          <w:sz w:val="18"/>
          <w:szCs w:val="18"/>
          <w:color w:val="auto"/>
        </w:rPr>
      </w:pPr>
      <w:r>
        <w:rPr>
          <w:rFonts w:ascii="Arial" w:cs="Arial" w:eastAsia="Arial" w:hAnsi="Arial"/>
          <w:sz w:val="22"/>
          <w:szCs w:val="22"/>
          <w:color w:val="auto"/>
        </w:rPr>
        <w:t>payment by the Issuing Bank under a Letter of Credit against presentation of a draft or other document to the Issuing Bank that does not comply with the terms of such Letter of Credit;</w:t>
      </w:r>
    </w:p>
    <w:p>
      <w:pPr>
        <w:spacing w:after="0" w:line="201" w:lineRule="exact"/>
        <w:rPr>
          <w:rFonts w:ascii="Arial" w:cs="Arial" w:eastAsia="Arial" w:hAnsi="Arial"/>
          <w:sz w:val="18"/>
          <w:szCs w:val="18"/>
          <w:color w:val="auto"/>
        </w:rPr>
      </w:pPr>
    </w:p>
    <w:p>
      <w:pPr>
        <w:jc w:val="both"/>
        <w:ind w:left="1300" w:firstLine="1301"/>
        <w:spacing w:after="0" w:line="260" w:lineRule="auto"/>
        <w:tabs>
          <w:tab w:leader="none" w:pos="3454" w:val="left"/>
        </w:tabs>
        <w:numPr>
          <w:ilvl w:val="0"/>
          <w:numId w:val="70"/>
        </w:numPr>
        <w:rPr>
          <w:rFonts w:ascii="Arial" w:cs="Arial" w:eastAsia="Arial" w:hAnsi="Arial"/>
          <w:sz w:val="18"/>
          <w:szCs w:val="18"/>
          <w:color w:val="auto"/>
        </w:rPr>
      </w:pPr>
      <w:r>
        <w:rPr>
          <w:rFonts w:ascii="Arial" w:cs="Arial" w:eastAsia="Arial" w:hAnsi="Arial"/>
          <w:sz w:val="22"/>
          <w:szCs w:val="22"/>
          <w:color w:val="auto"/>
        </w:rPr>
        <w:t>any other event or circumstance whatsoever, whether or not similar to any of the foregoing, that might, but for the provisions of this Section, constitute a legal or equitable discharge of, or provide a right of set-off against, the Borrower’s obligations hereunder; or</w:t>
      </w:r>
    </w:p>
    <w:p>
      <w:pPr>
        <w:spacing w:after="0" w:line="217" w:lineRule="exact"/>
        <w:rPr>
          <w:rFonts w:ascii="Arial" w:cs="Arial" w:eastAsia="Arial" w:hAnsi="Arial"/>
          <w:sz w:val="18"/>
          <w:szCs w:val="18"/>
          <w:color w:val="auto"/>
        </w:rPr>
      </w:pPr>
    </w:p>
    <w:p>
      <w:pPr>
        <w:ind w:left="3500" w:hanging="899"/>
        <w:spacing w:after="0"/>
        <w:tabs>
          <w:tab w:leader="none" w:pos="3500" w:val="left"/>
        </w:tabs>
        <w:numPr>
          <w:ilvl w:val="0"/>
          <w:numId w:val="70"/>
        </w:numPr>
        <w:rPr>
          <w:rFonts w:ascii="Arial" w:cs="Arial" w:eastAsia="Arial" w:hAnsi="Arial"/>
          <w:sz w:val="18"/>
          <w:szCs w:val="18"/>
          <w:color w:val="auto"/>
        </w:rPr>
      </w:pPr>
      <w:r>
        <w:rPr>
          <w:rFonts w:ascii="Arial" w:cs="Arial" w:eastAsia="Arial" w:hAnsi="Arial"/>
          <w:sz w:val="22"/>
          <w:szCs w:val="22"/>
          <w:color w:val="auto"/>
        </w:rPr>
        <w:t>the existence of a Default or an Event of Default.</w:t>
      </w:r>
    </w:p>
    <w:p>
      <w:pPr>
        <w:spacing w:after="0" w:line="27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Neither the Administrative Agent, the Issuing Bank, any Lender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the Issuing Bank from liability to the Borrower to the extent of any actual direct damages (as opposed to special, indirect (including claims for lost profits or other consequential damages), or punitive damages, claims in respect of which are hereby waived by the Borrower to the extent permitted by applicable law) suffered by the Borrower that are caused by the Issuing Bank’s failure to exercise due care when determining whether drafts or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due care in each such determination. In furtherance of the foregoing and without limiting the generality thereof, the parties agree that, with respect to documents presented that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27" w:lineRule="exact"/>
        <w:rPr>
          <w:sz w:val="20"/>
          <w:szCs w:val="20"/>
          <w:color w:val="auto"/>
        </w:rPr>
      </w:pPr>
    </w:p>
    <w:p>
      <w:pPr>
        <w:jc w:val="both"/>
        <w:ind w:left="660" w:firstLine="1293"/>
        <w:spacing w:after="0" w:line="297" w:lineRule="auto"/>
        <w:tabs>
          <w:tab w:leader="none" w:pos="2775" w:val="left"/>
        </w:tabs>
        <w:numPr>
          <w:ilvl w:val="0"/>
          <w:numId w:val="71"/>
        </w:numPr>
        <w:rPr>
          <w:rFonts w:ascii="Arial" w:cs="Arial" w:eastAsia="Arial" w:hAnsi="Arial"/>
          <w:sz w:val="16"/>
          <w:szCs w:val="16"/>
          <w:color w:val="auto"/>
        </w:rPr>
      </w:pPr>
      <w:r>
        <w:rPr>
          <w:rFonts w:ascii="Arial" w:cs="Arial" w:eastAsia="Arial" w:hAnsi="Arial"/>
          <w:sz w:val="19"/>
          <w:szCs w:val="19"/>
          <w:color w:val="auto"/>
        </w:rPr>
        <w:t>Unless otherwise expressly agreed by the Issuing Bank and the Borrower when a Letter of Credit is issued and subject to applicable laws, (i) each standby Letter of Credit shall be governed by the “International Standby Practices 1998” (ISP98) (or such later revision as may be published by the Institute of International Banking Law &amp; Practice on any date any Letter of Credit may be issued), (ii) each documentary Letter of Credit shall be governed by the Uniform Customs and Practices for Documentary Credits (2007 Revision), International Chamber of Commerce Publication No. 600 (or such later revision as may be published by the International Chamber of Commerce on any date 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75" w:right="239" w:bottom="1440" w:gutter="0" w:footer="0" w:header="0"/>
        </w:sectPr>
      </w:pPr>
    </w:p>
    <w:bookmarkStart w:id="97" w:name="page98"/>
    <w:bookmarkEnd w:id="97"/>
    <w:p>
      <w:pPr>
        <w:ind w:right="20"/>
        <w:spacing w:after="0" w:line="263" w:lineRule="auto"/>
        <w:rPr>
          <w:sz w:val="20"/>
          <w:szCs w:val="20"/>
          <w:color w:val="auto"/>
        </w:rPr>
      </w:pPr>
      <w:r>
        <w:rPr>
          <w:rFonts w:ascii="Arial" w:cs="Arial" w:eastAsia="Arial" w:hAnsi="Arial"/>
          <w:sz w:val="22"/>
          <w:szCs w:val="22"/>
          <w:color w:val="auto"/>
        </w:rPr>
        <w:t>Letter of Credit may be issued) and (iii) the Borrower shall specify the foregoing in each letter of credit application submitted for the issuance of a Letter of Credit.</w:t>
      </w:r>
    </w:p>
    <w:p>
      <w:pPr>
        <w:spacing w:after="0" w:line="209" w:lineRule="exact"/>
        <w:rPr>
          <w:sz w:val="20"/>
          <w:szCs w:val="20"/>
          <w:color w:val="auto"/>
        </w:rPr>
      </w:pPr>
    </w:p>
    <w:p>
      <w:pPr>
        <w:spacing w:after="0"/>
        <w:tabs>
          <w:tab w:leader="none" w:pos="2440" w:val="left"/>
        </w:tabs>
        <w:rPr>
          <w:sz w:val="20"/>
          <w:szCs w:val="20"/>
          <w:color w:val="auto"/>
        </w:rPr>
      </w:pPr>
      <w:r>
        <w:rPr>
          <w:rFonts w:ascii="Arial" w:cs="Arial" w:eastAsia="Arial" w:hAnsi="Arial"/>
          <w:sz w:val="22"/>
          <w:szCs w:val="22"/>
          <w:b w:val="1"/>
          <w:bCs w:val="1"/>
          <w:color w:val="auto"/>
        </w:rPr>
        <w:t>Section 2.23</w:t>
      </w:r>
      <w:r>
        <w:rPr>
          <w:sz w:val="20"/>
          <w:szCs w:val="20"/>
          <w:color w:val="auto"/>
        </w:rPr>
        <w:tab/>
      </w:r>
      <w:r>
        <w:rPr>
          <w:rFonts w:ascii="Arial" w:cs="Arial" w:eastAsia="Arial" w:hAnsi="Arial"/>
          <w:sz w:val="16"/>
          <w:szCs w:val="16"/>
          <w:b w:val="1"/>
          <w:bCs w:val="1"/>
          <w:u w:val="single" w:color="auto"/>
          <w:color w:val="auto"/>
        </w:rPr>
        <w:t>Increase of Commitments; Additional Lenders</w:t>
      </w:r>
      <w:r>
        <w:rPr>
          <w:rFonts w:ascii="Arial" w:cs="Arial" w:eastAsia="Arial" w:hAnsi="Arial"/>
          <w:sz w:val="16"/>
          <w:szCs w:val="16"/>
          <w:color w:val="auto"/>
        </w:rPr>
        <w:t>.</w:t>
      </w:r>
    </w:p>
    <w:p>
      <w:pPr>
        <w:spacing w:after="0" w:line="253" w:lineRule="exact"/>
        <w:rPr>
          <w:sz w:val="20"/>
          <w:szCs w:val="20"/>
          <w:color w:val="auto"/>
        </w:rPr>
      </w:pPr>
    </w:p>
    <w:p>
      <w:pPr>
        <w:jc w:val="both"/>
        <w:ind w:firstLine="1293"/>
        <w:spacing w:after="0" w:line="270" w:lineRule="auto"/>
        <w:tabs>
          <w:tab w:leader="none" w:pos="2144" w:val="left"/>
        </w:tabs>
        <w:numPr>
          <w:ilvl w:val="0"/>
          <w:numId w:val="72"/>
        </w:numPr>
        <w:rPr>
          <w:rFonts w:ascii="Arial" w:cs="Arial" w:eastAsia="Arial" w:hAnsi="Arial"/>
          <w:sz w:val="17"/>
          <w:szCs w:val="17"/>
          <w:color w:val="auto"/>
        </w:rPr>
      </w:pPr>
      <w:r>
        <w:rPr>
          <w:rFonts w:ascii="Arial" w:cs="Arial" w:eastAsia="Arial" w:hAnsi="Arial"/>
          <w:sz w:val="21"/>
          <w:szCs w:val="21"/>
          <w:color w:val="auto"/>
        </w:rPr>
        <w:t>From time to time after the Closing Date and in accordance with this Section, the Borrower and one or more Increasing Lenders or Additional Lenders (each as defined below) may enter into an agreement to increase the aggregate Revolving Commitments and/or make term loan commitments hereunder (each such increase or term loan commitment, an “</w:t>
      </w:r>
      <w:r>
        <w:rPr>
          <w:rFonts w:ascii="Arial" w:cs="Arial" w:eastAsia="Arial" w:hAnsi="Arial"/>
          <w:sz w:val="21"/>
          <w:szCs w:val="21"/>
          <w:u w:val="single" w:color="auto"/>
          <w:color w:val="auto"/>
        </w:rPr>
        <w:t>Incremental Commitment</w:t>
      </w:r>
      <w:r>
        <w:rPr>
          <w:rFonts w:ascii="Arial" w:cs="Arial" w:eastAsia="Arial" w:hAnsi="Arial"/>
          <w:sz w:val="21"/>
          <w:szCs w:val="21"/>
          <w:color w:val="auto"/>
        </w:rPr>
        <w:t>”) so long as the following conditions are satisfied:</w:t>
      </w:r>
    </w:p>
    <w:p>
      <w:pPr>
        <w:spacing w:after="0" w:line="209" w:lineRule="exact"/>
        <w:rPr>
          <w:rFonts w:ascii="Arial" w:cs="Arial" w:eastAsia="Arial" w:hAnsi="Arial"/>
          <w:sz w:val="17"/>
          <w:szCs w:val="17"/>
          <w:color w:val="auto"/>
        </w:rPr>
      </w:pPr>
    </w:p>
    <w:p>
      <w:pPr>
        <w:jc w:val="both"/>
        <w:ind w:left="640" w:firstLine="1301"/>
        <w:spacing w:after="0" w:line="300" w:lineRule="auto"/>
        <w:tabs>
          <w:tab w:leader="none" w:pos="2755" w:val="left"/>
        </w:tabs>
        <w:numPr>
          <w:ilvl w:val="1"/>
          <w:numId w:val="72"/>
        </w:numPr>
        <w:rPr>
          <w:rFonts w:ascii="Arial" w:cs="Arial" w:eastAsia="Arial" w:hAnsi="Arial"/>
          <w:sz w:val="16"/>
          <w:szCs w:val="16"/>
          <w:color w:val="auto"/>
        </w:rPr>
      </w:pPr>
      <w:r>
        <w:rPr>
          <w:rFonts w:ascii="Arial" w:cs="Arial" w:eastAsia="Arial" w:hAnsi="Arial"/>
          <w:sz w:val="19"/>
          <w:szCs w:val="19"/>
          <w:color w:val="auto"/>
        </w:rPr>
        <w:t>(A) unless otherwise agreed by the Administrative Agent, the Borrower may not deliver more than four (4) requests for Incremental Commitments during the term of this Agreement and each Incremental Commitment pursuant to this Section shall be in an amount not less than $10,000,000, and (B) the aggregate principal amount of all such Incremental Commitments made pursuant to this Section shall not exceed $50,000,000 (the principal amount of each such Incremental Commitment, the “</w:t>
      </w:r>
      <w:r>
        <w:rPr>
          <w:rFonts w:ascii="Arial" w:cs="Arial" w:eastAsia="Arial" w:hAnsi="Arial"/>
          <w:sz w:val="19"/>
          <w:szCs w:val="19"/>
          <w:u w:val="single" w:color="auto"/>
          <w:color w:val="auto"/>
        </w:rPr>
        <w:t>Incremental Commitment Amount</w:t>
      </w:r>
      <w:r>
        <w:rPr>
          <w:rFonts w:ascii="Arial" w:cs="Arial" w:eastAsia="Arial" w:hAnsi="Arial"/>
          <w:sz w:val="19"/>
          <w:szCs w:val="19"/>
          <w:color w:val="auto"/>
        </w:rPr>
        <w:t>”);</w:t>
      </w:r>
    </w:p>
    <w:p>
      <w:pPr>
        <w:spacing w:after="0" w:line="187" w:lineRule="exact"/>
        <w:rPr>
          <w:rFonts w:ascii="Arial" w:cs="Arial" w:eastAsia="Arial" w:hAnsi="Arial"/>
          <w:sz w:val="16"/>
          <w:szCs w:val="16"/>
          <w:color w:val="auto"/>
        </w:rPr>
      </w:pPr>
    </w:p>
    <w:p>
      <w:pPr>
        <w:jc w:val="both"/>
        <w:ind w:left="640" w:right="20" w:firstLine="1301"/>
        <w:spacing w:after="0" w:line="260" w:lineRule="auto"/>
        <w:tabs>
          <w:tab w:leader="none" w:pos="2805" w:val="left"/>
        </w:tabs>
        <w:numPr>
          <w:ilvl w:val="1"/>
          <w:numId w:val="72"/>
        </w:numPr>
        <w:rPr>
          <w:rFonts w:ascii="Arial" w:cs="Arial" w:eastAsia="Arial" w:hAnsi="Arial"/>
          <w:sz w:val="18"/>
          <w:szCs w:val="18"/>
          <w:color w:val="auto"/>
        </w:rPr>
      </w:pPr>
      <w:r>
        <w:rPr>
          <w:rFonts w:ascii="Arial" w:cs="Arial" w:eastAsia="Arial" w:hAnsi="Arial"/>
          <w:sz w:val="22"/>
          <w:szCs w:val="22"/>
          <w:color w:val="auto"/>
        </w:rPr>
        <w:t>the Borrower shall execute and deliver such documents and instruments and take such other actions as may be reasonably required by the Administrative Agent in connection with and at the time of any such proposed increase;</w:t>
      </w:r>
    </w:p>
    <w:p>
      <w:pPr>
        <w:spacing w:after="0" w:line="217" w:lineRule="exact"/>
        <w:rPr>
          <w:rFonts w:ascii="Arial" w:cs="Arial" w:eastAsia="Arial" w:hAnsi="Arial"/>
          <w:sz w:val="18"/>
          <w:szCs w:val="18"/>
          <w:color w:val="auto"/>
        </w:rPr>
      </w:pPr>
    </w:p>
    <w:p>
      <w:pPr>
        <w:jc w:val="both"/>
        <w:ind w:left="640" w:firstLine="1301"/>
        <w:spacing w:after="0" w:line="251" w:lineRule="auto"/>
        <w:tabs>
          <w:tab w:leader="none" w:pos="2855" w:val="left"/>
        </w:tabs>
        <w:numPr>
          <w:ilvl w:val="1"/>
          <w:numId w:val="72"/>
        </w:numPr>
        <w:rPr>
          <w:rFonts w:ascii="Arial" w:cs="Arial" w:eastAsia="Arial" w:hAnsi="Arial"/>
          <w:sz w:val="18"/>
          <w:szCs w:val="18"/>
          <w:color w:val="auto"/>
        </w:rPr>
      </w:pPr>
      <w:r>
        <w:rPr>
          <w:rFonts w:ascii="Arial" w:cs="Arial" w:eastAsia="Arial" w:hAnsi="Arial"/>
          <w:sz w:val="22"/>
          <w:szCs w:val="22"/>
          <w:color w:val="auto"/>
        </w:rPr>
        <w:t>at the time of and immediately after giving effect to any such proposed increase (A) no Default or Event of Default shall exist, and (B)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w:t>
      </w:r>
    </w:p>
    <w:p>
      <w:pPr>
        <w:spacing w:after="0" w:line="230" w:lineRule="exact"/>
        <w:rPr>
          <w:rFonts w:ascii="Arial" w:cs="Arial" w:eastAsia="Arial" w:hAnsi="Arial"/>
          <w:sz w:val="18"/>
          <w:szCs w:val="18"/>
          <w:color w:val="auto"/>
        </w:rPr>
      </w:pPr>
    </w:p>
    <w:p>
      <w:pPr>
        <w:ind w:left="640" w:firstLine="1301"/>
        <w:spacing w:after="0" w:line="276" w:lineRule="auto"/>
        <w:tabs>
          <w:tab w:leader="none" w:pos="2844" w:val="left"/>
        </w:tabs>
        <w:numPr>
          <w:ilvl w:val="1"/>
          <w:numId w:val="72"/>
        </w:numPr>
        <w:rPr>
          <w:rFonts w:ascii="Arial" w:cs="Arial" w:eastAsia="Arial" w:hAnsi="Arial"/>
          <w:sz w:val="18"/>
          <w:szCs w:val="18"/>
          <w:color w:val="auto"/>
        </w:rPr>
      </w:pPr>
      <w:r>
        <w:rPr>
          <w:rFonts w:ascii="Arial" w:cs="Arial" w:eastAsia="Arial" w:hAnsi="Arial"/>
          <w:sz w:val="22"/>
          <w:szCs w:val="22"/>
          <w:color w:val="auto"/>
        </w:rPr>
        <w:t>any incremental term loans made pursuant to this Section (the “</w:t>
      </w:r>
      <w:r>
        <w:rPr>
          <w:rFonts w:ascii="Arial" w:cs="Arial" w:eastAsia="Arial" w:hAnsi="Arial"/>
          <w:sz w:val="22"/>
          <w:szCs w:val="22"/>
          <w:u w:val="single" w:color="auto"/>
          <w:color w:val="auto"/>
        </w:rPr>
        <w:t>Incremental Term Loans</w:t>
      </w:r>
      <w:r>
        <w:rPr>
          <w:rFonts w:ascii="Arial" w:cs="Arial" w:eastAsia="Arial" w:hAnsi="Arial"/>
          <w:sz w:val="22"/>
          <w:szCs w:val="22"/>
          <w:color w:val="auto"/>
        </w:rPr>
        <w:t>”) shall have a maturity date no earlier than the Maturity Date;</w:t>
      </w:r>
    </w:p>
    <w:p>
      <w:pPr>
        <w:spacing w:after="0" w:line="201" w:lineRule="exact"/>
        <w:rPr>
          <w:rFonts w:ascii="Arial" w:cs="Arial" w:eastAsia="Arial" w:hAnsi="Arial"/>
          <w:sz w:val="18"/>
          <w:szCs w:val="18"/>
          <w:color w:val="auto"/>
        </w:rPr>
      </w:pPr>
    </w:p>
    <w:p>
      <w:pPr>
        <w:jc w:val="both"/>
        <w:ind w:left="640" w:firstLine="1301"/>
        <w:spacing w:after="0" w:line="278" w:lineRule="auto"/>
        <w:tabs>
          <w:tab w:leader="none" w:pos="2794" w:val="left"/>
        </w:tabs>
        <w:numPr>
          <w:ilvl w:val="1"/>
          <w:numId w:val="72"/>
        </w:numPr>
        <w:rPr>
          <w:rFonts w:ascii="Arial" w:cs="Arial" w:eastAsia="Arial" w:hAnsi="Arial"/>
          <w:sz w:val="17"/>
          <w:szCs w:val="17"/>
          <w:color w:val="auto"/>
        </w:rPr>
      </w:pPr>
      <w:r>
        <w:rPr>
          <w:rFonts w:ascii="Arial" w:cs="Arial" w:eastAsia="Arial" w:hAnsi="Arial"/>
          <w:sz w:val="21"/>
          <w:szCs w:val="21"/>
          <w:color w:val="auto"/>
        </w:rPr>
        <w:t>any incremental Revolving Commitments provided pursuant to this Section (the “</w:t>
      </w:r>
      <w:r>
        <w:rPr>
          <w:rFonts w:ascii="Arial" w:cs="Arial" w:eastAsia="Arial" w:hAnsi="Arial"/>
          <w:sz w:val="21"/>
          <w:szCs w:val="21"/>
          <w:u w:val="single" w:color="auto"/>
          <w:color w:val="auto"/>
        </w:rPr>
        <w:t>Incremental Revolving Commitments</w:t>
      </w:r>
      <w:r>
        <w:rPr>
          <w:rFonts w:ascii="Arial" w:cs="Arial" w:eastAsia="Arial" w:hAnsi="Arial"/>
          <w:sz w:val="21"/>
          <w:szCs w:val="21"/>
          <w:color w:val="auto"/>
        </w:rPr>
        <w:t>”) shall have the same terms and conditions as the existing Revolving Commitments hereunder including the Revolving Commitment Termination Date and Applicable Margin;</w:t>
      </w:r>
    </w:p>
    <w:p>
      <w:pPr>
        <w:spacing w:after="0" w:line="200" w:lineRule="exact"/>
        <w:rPr>
          <w:rFonts w:ascii="Arial" w:cs="Arial" w:eastAsia="Arial" w:hAnsi="Arial"/>
          <w:sz w:val="17"/>
          <w:szCs w:val="17"/>
          <w:color w:val="auto"/>
        </w:rPr>
      </w:pPr>
    </w:p>
    <w:p>
      <w:pPr>
        <w:jc w:val="both"/>
        <w:ind w:left="640" w:firstLine="1301"/>
        <w:spacing w:after="0" w:line="251" w:lineRule="auto"/>
        <w:tabs>
          <w:tab w:leader="none" w:pos="2844" w:val="left"/>
        </w:tabs>
        <w:numPr>
          <w:ilvl w:val="1"/>
          <w:numId w:val="72"/>
        </w:numPr>
        <w:rPr>
          <w:rFonts w:ascii="Arial" w:cs="Arial" w:eastAsia="Arial" w:hAnsi="Arial"/>
          <w:sz w:val="18"/>
          <w:szCs w:val="18"/>
          <w:color w:val="auto"/>
        </w:rPr>
      </w:pPr>
      <w:r>
        <w:rPr>
          <w:rFonts w:ascii="Arial" w:cs="Arial" w:eastAsia="Arial" w:hAnsi="Arial"/>
          <w:sz w:val="22"/>
          <w:szCs w:val="22"/>
          <w:color w:val="auto"/>
        </w:rPr>
        <w:t xml:space="preserve">Parent and its Subsidiaries shall be in compliance with each of the financial covenants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as of the most recently ended Fiscal Quarter for which financial statements are required to have been delivered, calculated on a Pro Forma Basis and as if all such Incremental Term Loans had been made and all such Incremental Revolving Commitments had been established (and fully funded) as of the first day of the relevant period for testing compliance;</w:t>
      </w:r>
    </w:p>
    <w:p>
      <w:pPr>
        <w:spacing w:after="0" w:line="230" w:lineRule="exact"/>
        <w:rPr>
          <w:rFonts w:ascii="Arial" w:cs="Arial" w:eastAsia="Arial" w:hAnsi="Arial"/>
          <w:sz w:val="18"/>
          <w:szCs w:val="18"/>
          <w:color w:val="auto"/>
        </w:rPr>
      </w:pPr>
    </w:p>
    <w:p>
      <w:pPr>
        <w:jc w:val="both"/>
        <w:ind w:left="640" w:firstLine="1301"/>
        <w:spacing w:after="0" w:line="266" w:lineRule="auto"/>
        <w:tabs>
          <w:tab w:leader="none" w:pos="2894" w:val="left"/>
        </w:tabs>
        <w:numPr>
          <w:ilvl w:val="1"/>
          <w:numId w:val="72"/>
        </w:numPr>
        <w:rPr>
          <w:rFonts w:ascii="Arial" w:cs="Arial" w:eastAsia="Arial" w:hAnsi="Arial"/>
          <w:sz w:val="17"/>
          <w:szCs w:val="17"/>
          <w:color w:val="auto"/>
        </w:rPr>
      </w:pPr>
      <w:r>
        <w:rPr>
          <w:rFonts w:ascii="Arial" w:cs="Arial" w:eastAsia="Arial" w:hAnsi="Arial"/>
          <w:sz w:val="21"/>
          <w:szCs w:val="21"/>
          <w:color w:val="auto"/>
        </w:rPr>
        <w:t xml:space="preserve">if the Initial Yield applicable to any such Incremental Term Loans exceeds by more than 0.50%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the sum of the Applicable Margin then in effect for existing Eurodollar Incremental Term Loans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one fourth of the Up-Front Fees paid in respect of the existing Incremental Term Loans (the “</w:t>
      </w:r>
      <w:r>
        <w:rPr>
          <w:rFonts w:ascii="Arial" w:cs="Arial" w:eastAsia="Arial" w:hAnsi="Arial"/>
          <w:sz w:val="21"/>
          <w:szCs w:val="21"/>
          <w:u w:val="single" w:color="auto"/>
          <w:color w:val="auto"/>
        </w:rPr>
        <w:t>Existing Yield</w:t>
      </w:r>
      <w:r>
        <w:rPr>
          <w:rFonts w:ascii="Arial" w:cs="Arial" w:eastAsia="Arial" w:hAnsi="Arial"/>
          <w:sz w:val="21"/>
          <w:szCs w:val="21"/>
          <w:color w:val="auto"/>
        </w:rPr>
        <w:t xml:space="preserve">”), then the Applicable Margin of the existing Incremental Term Loans shall increase by an amount equal to the difference between the Initial Yield and the Existing Yield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0.50% </w:t>
      </w:r>
      <w:r>
        <w:rPr>
          <w:rFonts w:ascii="Arial" w:cs="Arial" w:eastAsia="Arial" w:hAnsi="Arial"/>
          <w:sz w:val="21"/>
          <w:szCs w:val="21"/>
          <w:i w:val="1"/>
          <w:iCs w:val="1"/>
          <w:color w:val="auto"/>
        </w:rPr>
        <w:t>per annum</w:t>
      </w:r>
      <w:r>
        <w:rPr>
          <w:rFonts w:ascii="Arial" w:cs="Arial" w:eastAsia="Arial" w:hAnsi="Arial"/>
          <w:sz w:val="21"/>
          <w:szCs w:val="21"/>
          <w:color w:val="auto"/>
        </w:rPr>
        <w:t>;</w:t>
      </w:r>
    </w:p>
    <w:p>
      <w:pPr>
        <w:spacing w:after="0" w:line="19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60"/>
          </w:cols>
          <w:pgMar w:left="900" w:top="375" w:right="239" w:bottom="1440" w:gutter="0" w:footer="0" w:header="0"/>
        </w:sectPr>
      </w:pPr>
    </w:p>
    <w:bookmarkStart w:id="98" w:name="page99"/>
    <w:bookmarkEnd w:id="98"/>
    <w:p>
      <w:pPr>
        <w:ind w:left="100" w:right="20" w:firstLine="1301"/>
        <w:spacing w:after="0" w:line="276" w:lineRule="auto"/>
        <w:tabs>
          <w:tab w:leader="none" w:pos="2404" w:val="left"/>
        </w:tabs>
        <w:numPr>
          <w:ilvl w:val="1"/>
          <w:numId w:val="73"/>
        </w:numPr>
        <w:rPr>
          <w:rFonts w:ascii="Arial" w:cs="Arial" w:eastAsia="Arial" w:hAnsi="Arial"/>
          <w:sz w:val="18"/>
          <w:szCs w:val="18"/>
          <w:color w:val="auto"/>
        </w:rPr>
      </w:pPr>
      <w:r>
        <w:rPr>
          <w:rFonts w:ascii="Arial" w:cs="Arial" w:eastAsia="Arial" w:hAnsi="Arial"/>
          <w:sz w:val="22"/>
          <w:szCs w:val="22"/>
          <w:color w:val="auto"/>
        </w:rPr>
        <w:t xml:space="preserve">any collateral securing any such Incremental Commitments and Incremental Term Loans shall also secure all other Obligations on a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basis;</w:t>
      </w:r>
    </w:p>
    <w:p>
      <w:pPr>
        <w:spacing w:after="0" w:line="201" w:lineRule="exact"/>
        <w:rPr>
          <w:rFonts w:ascii="Arial" w:cs="Arial" w:eastAsia="Arial" w:hAnsi="Arial"/>
          <w:sz w:val="18"/>
          <w:szCs w:val="18"/>
          <w:color w:val="auto"/>
        </w:rPr>
      </w:pPr>
    </w:p>
    <w:p>
      <w:pPr>
        <w:jc w:val="both"/>
        <w:ind w:left="100" w:firstLine="1301"/>
        <w:spacing w:after="0" w:line="250" w:lineRule="auto"/>
        <w:tabs>
          <w:tab w:leader="none" w:pos="2304" w:val="left"/>
        </w:tabs>
        <w:numPr>
          <w:ilvl w:val="1"/>
          <w:numId w:val="73"/>
        </w:numPr>
        <w:rPr>
          <w:rFonts w:ascii="Arial" w:cs="Arial" w:eastAsia="Arial" w:hAnsi="Arial"/>
          <w:sz w:val="18"/>
          <w:szCs w:val="18"/>
          <w:color w:val="auto"/>
        </w:rPr>
      </w:pPr>
      <w:r>
        <w:rPr>
          <w:rFonts w:ascii="Arial" w:cs="Arial" w:eastAsia="Arial" w:hAnsi="Arial"/>
          <w:sz w:val="22"/>
          <w:szCs w:val="22"/>
          <w:color w:val="auto"/>
        </w:rPr>
        <w:t>the scheduled amortization installments with respect to any Incremental Term Loans may not be more frequent than quarterly and the aggregate annual amount of scheduled amortization with respect to any Incremental Term Loans may not exceed 10% of the original principal amount of such Incremental Term Loans (it being understood that, subject to this clause (viii), the amortization schedule applicable to (and the effect thereon of any prepayments of) any Incremental Term Loans shall be determined by the Borrower and the applicable Increasing Lenders;</w:t>
      </w:r>
    </w:p>
    <w:p>
      <w:pPr>
        <w:spacing w:after="0" w:line="228" w:lineRule="exact"/>
        <w:rPr>
          <w:rFonts w:ascii="Arial" w:cs="Arial" w:eastAsia="Arial" w:hAnsi="Arial"/>
          <w:sz w:val="18"/>
          <w:szCs w:val="18"/>
          <w:color w:val="auto"/>
        </w:rPr>
      </w:pPr>
    </w:p>
    <w:p>
      <w:pPr>
        <w:jc w:val="both"/>
        <w:ind w:left="100" w:firstLine="1301"/>
        <w:spacing w:after="0" w:line="254" w:lineRule="auto"/>
        <w:tabs>
          <w:tab w:leader="none" w:pos="2254" w:val="left"/>
        </w:tabs>
        <w:numPr>
          <w:ilvl w:val="1"/>
          <w:numId w:val="73"/>
        </w:numPr>
        <w:rPr>
          <w:rFonts w:ascii="Arial" w:cs="Arial" w:eastAsia="Arial" w:hAnsi="Arial"/>
          <w:sz w:val="18"/>
          <w:szCs w:val="18"/>
          <w:color w:val="auto"/>
        </w:rPr>
      </w:pPr>
      <w:r>
        <w:rPr>
          <w:rFonts w:ascii="Arial" w:cs="Arial" w:eastAsia="Arial" w:hAnsi="Arial"/>
          <w:sz w:val="22"/>
          <w:szCs w:val="22"/>
          <w:color w:val="auto"/>
        </w:rPr>
        <w:t>covenants and events of default applicable to any Incremental Term Loan commitments or Incremental Term Loan shall be identical to those applicable to the Revolving Commitments and the Revolving Loans, other than any such covenants and events of default applicable after the Maturity Date in effect on the date of incurrence of such Incremental Term Loans; and</w:t>
      </w:r>
    </w:p>
    <w:p>
      <w:pPr>
        <w:spacing w:after="0" w:line="225" w:lineRule="exact"/>
        <w:rPr>
          <w:rFonts w:ascii="Arial" w:cs="Arial" w:eastAsia="Arial" w:hAnsi="Arial"/>
          <w:sz w:val="18"/>
          <w:szCs w:val="18"/>
          <w:color w:val="auto"/>
        </w:rPr>
      </w:pPr>
    </w:p>
    <w:p>
      <w:pPr>
        <w:jc w:val="both"/>
        <w:ind w:left="100" w:firstLine="1301"/>
        <w:spacing w:after="0" w:line="250" w:lineRule="auto"/>
        <w:tabs>
          <w:tab w:leader="none" w:pos="2304" w:val="left"/>
        </w:tabs>
        <w:numPr>
          <w:ilvl w:val="1"/>
          <w:numId w:val="73"/>
        </w:numPr>
        <w:rPr>
          <w:rFonts w:ascii="Arial" w:cs="Arial" w:eastAsia="Arial" w:hAnsi="Arial"/>
          <w:sz w:val="18"/>
          <w:szCs w:val="18"/>
          <w:color w:val="auto"/>
        </w:rPr>
      </w:pPr>
      <w:r>
        <w:rPr>
          <w:rFonts w:ascii="Arial" w:cs="Arial" w:eastAsia="Arial" w:hAnsi="Arial"/>
          <w:sz w:val="22"/>
          <w:szCs w:val="22"/>
          <w:color w:val="auto"/>
        </w:rPr>
        <w:t xml:space="preserve">except for the terms referred to above and otherwise subject to this </w:t>
      </w:r>
      <w:r>
        <w:rPr>
          <w:rFonts w:ascii="Arial" w:cs="Arial" w:eastAsia="Arial" w:hAnsi="Arial"/>
          <w:sz w:val="22"/>
          <w:szCs w:val="22"/>
          <w:u w:val="single" w:color="auto"/>
          <w:color w:val="auto"/>
        </w:rPr>
        <w:t>Section 2.23</w:t>
      </w:r>
      <w:r>
        <w:rPr>
          <w:rFonts w:ascii="Arial" w:cs="Arial" w:eastAsia="Arial" w:hAnsi="Arial"/>
          <w:sz w:val="22"/>
          <w:szCs w:val="22"/>
          <w:color w:val="auto"/>
        </w:rPr>
        <w:t>, to the extent the terms and conditions of any Incremental Term Loans (other than interest rates (whether fixed or floating), interest margins, benchmark rate floors, upfront fees, original issue discounts and prepayment terms (including “no call” terms and other restrictions thereon) and premiums) are not consistent with those of the Revolving Loans, such differences shall be acceptable to the Administrative Agent (such acceptance not to be unreasonably withheld or delayed).</w:t>
      </w:r>
    </w:p>
    <w:p>
      <w:pPr>
        <w:spacing w:after="0" w:line="228" w:lineRule="exact"/>
        <w:rPr>
          <w:rFonts w:ascii="Arial" w:cs="Arial" w:eastAsia="Arial" w:hAnsi="Arial"/>
          <w:sz w:val="18"/>
          <w:szCs w:val="18"/>
          <w:color w:val="auto"/>
        </w:rPr>
      </w:pPr>
    </w:p>
    <w:p>
      <w:pPr>
        <w:jc w:val="both"/>
        <w:ind w:left="-540" w:firstLine="1293"/>
        <w:spacing w:after="0" w:line="286" w:lineRule="auto"/>
        <w:tabs>
          <w:tab w:leader="none" w:pos="1615" w:val="left"/>
        </w:tabs>
        <w:numPr>
          <w:ilvl w:val="0"/>
          <w:numId w:val="74"/>
        </w:numPr>
        <w:rPr>
          <w:rFonts w:ascii="Arial" w:cs="Arial" w:eastAsia="Arial" w:hAnsi="Arial"/>
          <w:sz w:val="16"/>
          <w:szCs w:val="16"/>
          <w:color w:val="auto"/>
        </w:rPr>
      </w:pPr>
      <w:r>
        <w:rPr>
          <w:rFonts w:ascii="Arial" w:cs="Arial" w:eastAsia="Arial" w:hAnsi="Arial"/>
          <w:sz w:val="19"/>
          <w:szCs w:val="19"/>
          <w:color w:val="auto"/>
        </w:rPr>
        <w:t>The Borrower shall provide at least 30 days’ written notice to the Administrative Agent (who shall promptly provide a copy of such notice to each Lender) of any proposal to establish an Incremental Commitment. The Borrower may also, but is not required to, specify any fees offered to those Lenders (the “</w:t>
      </w:r>
      <w:r>
        <w:rPr>
          <w:rFonts w:ascii="Arial" w:cs="Arial" w:eastAsia="Arial" w:hAnsi="Arial"/>
          <w:sz w:val="19"/>
          <w:szCs w:val="19"/>
          <w:u w:val="single" w:color="auto"/>
          <w:color w:val="auto"/>
        </w:rPr>
        <w:t>Increasing Lenders</w:t>
      </w:r>
      <w:r>
        <w:rPr>
          <w:rFonts w:ascii="Arial" w:cs="Arial" w:eastAsia="Arial" w:hAnsi="Arial"/>
          <w:sz w:val="19"/>
          <w:szCs w:val="19"/>
          <w:color w:val="auto"/>
        </w:rPr>
        <w:t>”) that agree to increase the principal amount of their Revolving Commitments and/or provide Incremental Term Loans, which fees may be variable based upon the amount by which any such Lender is willing to increase the principal amount of its Revolving Commitment and/or provide Incremental Term Loans, as applicable. Each Increasing Lender shall as soon as practicable, and in any case within 15 days following receipt of such notice, specify in a written notice to the Borrower and the Administrative Agent the amount of such proposed Incremental Commitment and/or Incremental Term Loans that it is willing to provide. No Lender (or any successor thereto) shall have any obligation, express or implied, to offer to increase the aggregate principal amount of its Revolving Commitment and/or provide Incremental Term Loans, and any decision by a Lender to increase its Revolving Commitment and/or provide Incremental Term Loans shall be made in its sole discretion independently from any other Lender. Only the consent of each Increasing Lender shall be required for an increase in the aggregate principal amount of the Revolving Commitments and/or the providing of Incremental Term Loans, as applicable, pursuant to this Section. No Lender which declines to increase the principal amount of its Revolving Commitment and/or provide Incremental Term Loans may be replaced with respect to its existing Revolving Commitment and/or any existing Incremental Term Loans, as applicable, as a result thereof without such Lender’s consent. If any Lender shall fail to notify the Borrower and the Administrative Agent in writing about whether it will increase its Revolving Commitment and/or provide Incremental Term Loans within 15 days after receipt of such notice, such Lender shall be deemed to have declined to increase its Revolving Commitment and/or provide Incremental Term Loans, as applicable. The Borrower may designate new lenders that are</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20"/>
          </w:cols>
          <w:pgMar w:left="1440" w:top="631" w:right="239" w:bottom="1440" w:gutter="0" w:footer="0" w:header="0"/>
        </w:sectPr>
      </w:pPr>
    </w:p>
    <w:bookmarkStart w:id="99" w:name="page100"/>
    <w:bookmarkEnd w:id="99"/>
    <w:p>
      <w:pPr>
        <w:jc w:val="both"/>
        <w:spacing w:after="0" w:line="259" w:lineRule="auto"/>
        <w:rPr>
          <w:sz w:val="20"/>
          <w:szCs w:val="20"/>
          <w:color w:val="auto"/>
        </w:rPr>
      </w:pPr>
      <w:r>
        <w:rPr>
          <w:rFonts w:ascii="Arial" w:cs="Arial" w:eastAsia="Arial" w:hAnsi="Arial"/>
          <w:sz w:val="21"/>
          <w:szCs w:val="21"/>
          <w:color w:val="auto"/>
        </w:rPr>
        <w:t>acceptable to the Administrative Agent (such approval not to be unreasonably withheld) as additional Lenders hereunder in accordance with this Section (the “</w:t>
      </w:r>
      <w:r>
        <w:rPr>
          <w:rFonts w:ascii="Arial" w:cs="Arial" w:eastAsia="Arial" w:hAnsi="Arial"/>
          <w:sz w:val="21"/>
          <w:szCs w:val="21"/>
          <w:u w:val="single" w:color="auto"/>
          <w:color w:val="auto"/>
        </w:rPr>
        <w:t>Additional Lenders</w:t>
      </w:r>
      <w:r>
        <w:rPr>
          <w:rFonts w:ascii="Arial" w:cs="Arial" w:eastAsia="Arial" w:hAnsi="Arial"/>
          <w:sz w:val="21"/>
          <w:szCs w:val="21"/>
          <w:color w:val="auto"/>
        </w:rPr>
        <w:t xml:space="preserve">”), which Additional Lenders may assume all or a portion of such Incremental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that none of Parent, its Subsidiaries, or its Affiliates shall be an Additional Lender. The Borrower and the Administrative Agent shall have discretion jointly to adjust the allocation of such Incremental Revolving Commitments and/or such Incremental Term Loans among the Increasing Lenders and the Additional Lenders. The sum of the increase in the Revolving Commitments and the Incremental Term Loans of the Increasing Lenders plus the Revolving Commitments and the Incremental Term Loans of the Additional Lenders shall not in the aggregate exceed the unsubscribed amount of the Incremental Commitment Amount.</w:t>
      </w:r>
    </w:p>
    <w:p>
      <w:pPr>
        <w:spacing w:after="0" w:line="225" w:lineRule="exact"/>
        <w:rPr>
          <w:sz w:val="20"/>
          <w:szCs w:val="20"/>
          <w:color w:val="auto"/>
        </w:rPr>
      </w:pPr>
    </w:p>
    <w:p>
      <w:pPr>
        <w:ind w:firstLine="1293"/>
        <w:spacing w:after="0" w:line="276" w:lineRule="auto"/>
        <w:tabs>
          <w:tab w:leader="none" w:pos="2144" w:val="left"/>
        </w:tabs>
        <w:numPr>
          <w:ilvl w:val="0"/>
          <w:numId w:val="75"/>
        </w:numPr>
        <w:rPr>
          <w:rFonts w:ascii="Arial" w:cs="Arial" w:eastAsia="Arial" w:hAnsi="Arial"/>
          <w:sz w:val="18"/>
          <w:szCs w:val="18"/>
          <w:color w:val="auto"/>
        </w:rPr>
      </w:pPr>
      <w:r>
        <w:rPr>
          <w:rFonts w:ascii="Arial" w:cs="Arial" w:eastAsia="Arial" w:hAnsi="Arial"/>
          <w:sz w:val="22"/>
          <w:szCs w:val="22"/>
          <w:color w:val="auto"/>
        </w:rPr>
        <w:t>Subject to subsections (a) and (b) of this Section, any increase requested by the Borrower shall be effective upon delivery to the Administrative Agent of each of the following documents:</w:t>
      </w:r>
    </w:p>
    <w:p>
      <w:pPr>
        <w:spacing w:after="0" w:line="201" w:lineRule="exact"/>
        <w:rPr>
          <w:rFonts w:ascii="Arial" w:cs="Arial" w:eastAsia="Arial" w:hAnsi="Arial"/>
          <w:sz w:val="18"/>
          <w:szCs w:val="18"/>
          <w:color w:val="auto"/>
        </w:rPr>
      </w:pPr>
    </w:p>
    <w:p>
      <w:pPr>
        <w:jc w:val="both"/>
        <w:ind w:left="640" w:firstLine="1301"/>
        <w:spacing w:after="0" w:line="250" w:lineRule="auto"/>
        <w:tabs>
          <w:tab w:leader="none" w:pos="2755" w:val="left"/>
        </w:tabs>
        <w:numPr>
          <w:ilvl w:val="1"/>
          <w:numId w:val="75"/>
        </w:numPr>
        <w:rPr>
          <w:rFonts w:ascii="Arial" w:cs="Arial" w:eastAsia="Arial" w:hAnsi="Arial"/>
          <w:sz w:val="18"/>
          <w:szCs w:val="18"/>
          <w:color w:val="auto"/>
        </w:rPr>
      </w:pPr>
      <w:r>
        <w:rPr>
          <w:rFonts w:ascii="Arial" w:cs="Arial" w:eastAsia="Arial" w:hAnsi="Arial"/>
          <w:sz w:val="22"/>
          <w:szCs w:val="22"/>
          <w:color w:val="auto"/>
        </w:rPr>
        <w:t>an originally executed copy of an instrument of joinder, in form and substance reasonably acceptable to the Administrative Agent, executed by the Borrower, by each Additional Lender and by each Increasing Lender, setting forth the new Revolving Commitments and/or new Incremental Term Loan commitments, as applicable, of such Lenders, the new outstanding LC Commitment (if applicable), and setting forth the agreement of each Additional Lender to become a party to this Agreement and to be bound by all of the terms and provisions hereof;</w:t>
      </w:r>
    </w:p>
    <w:p>
      <w:pPr>
        <w:spacing w:after="0" w:line="228" w:lineRule="exact"/>
        <w:rPr>
          <w:rFonts w:ascii="Arial" w:cs="Arial" w:eastAsia="Arial" w:hAnsi="Arial"/>
          <w:sz w:val="18"/>
          <w:szCs w:val="18"/>
          <w:color w:val="auto"/>
        </w:rPr>
      </w:pPr>
    </w:p>
    <w:p>
      <w:pPr>
        <w:jc w:val="both"/>
        <w:ind w:left="640" w:firstLine="1301"/>
        <w:spacing w:after="0" w:line="260" w:lineRule="auto"/>
        <w:tabs>
          <w:tab w:leader="none" w:pos="2805" w:val="left"/>
        </w:tabs>
        <w:numPr>
          <w:ilvl w:val="1"/>
          <w:numId w:val="75"/>
        </w:numPr>
        <w:rPr>
          <w:rFonts w:ascii="Arial" w:cs="Arial" w:eastAsia="Arial" w:hAnsi="Arial"/>
          <w:sz w:val="18"/>
          <w:szCs w:val="18"/>
          <w:color w:val="auto"/>
        </w:rPr>
      </w:pPr>
      <w:r>
        <w:rPr>
          <w:rFonts w:ascii="Arial" w:cs="Arial" w:eastAsia="Arial" w:hAnsi="Arial"/>
          <w:sz w:val="22"/>
          <w:szCs w:val="22"/>
          <w:color w:val="auto"/>
        </w:rPr>
        <w:t>such evidence of appropriate corporate authorization on the part of the Borrower with respect to such Incremental Commitment and such opinions of counsel for the Borrower with respect to such Incremental Commitment as the Administrative Agent may reasonably request;</w:t>
      </w:r>
    </w:p>
    <w:p>
      <w:pPr>
        <w:spacing w:after="0" w:line="217" w:lineRule="exact"/>
        <w:rPr>
          <w:rFonts w:ascii="Arial" w:cs="Arial" w:eastAsia="Arial" w:hAnsi="Arial"/>
          <w:sz w:val="18"/>
          <w:szCs w:val="18"/>
          <w:color w:val="auto"/>
        </w:rPr>
      </w:pPr>
    </w:p>
    <w:p>
      <w:pPr>
        <w:jc w:val="both"/>
        <w:ind w:left="640" w:firstLine="1301"/>
        <w:spacing w:after="0" w:line="260" w:lineRule="auto"/>
        <w:tabs>
          <w:tab w:leader="none" w:pos="2855" w:val="left"/>
        </w:tabs>
        <w:numPr>
          <w:ilvl w:val="1"/>
          <w:numId w:val="75"/>
        </w:numPr>
        <w:rPr>
          <w:rFonts w:ascii="Arial" w:cs="Arial" w:eastAsia="Arial" w:hAnsi="Arial"/>
          <w:sz w:val="18"/>
          <w:szCs w:val="18"/>
          <w:color w:val="auto"/>
        </w:rPr>
      </w:pPr>
      <w:r>
        <w:rPr>
          <w:rFonts w:ascii="Arial" w:cs="Arial" w:eastAsia="Arial" w:hAnsi="Arial"/>
          <w:sz w:val="22"/>
          <w:szCs w:val="22"/>
          <w:color w:val="auto"/>
        </w:rPr>
        <w:t>a certificate of the Borrower signed by a Responsible Officer, in form and substance reasonably acceptable to the Administrative Agent, certifying that each of the conditions in subsection (a) of this Section has been satisfied;</w:t>
      </w:r>
    </w:p>
    <w:p>
      <w:pPr>
        <w:spacing w:after="0" w:line="217" w:lineRule="exact"/>
        <w:rPr>
          <w:rFonts w:ascii="Arial" w:cs="Arial" w:eastAsia="Arial" w:hAnsi="Arial"/>
          <w:sz w:val="18"/>
          <w:szCs w:val="18"/>
          <w:color w:val="auto"/>
        </w:rPr>
      </w:pPr>
    </w:p>
    <w:p>
      <w:pPr>
        <w:jc w:val="both"/>
        <w:ind w:left="640" w:firstLine="1301"/>
        <w:spacing w:after="0" w:line="260" w:lineRule="auto"/>
        <w:tabs>
          <w:tab w:leader="none" w:pos="2844" w:val="left"/>
        </w:tabs>
        <w:numPr>
          <w:ilvl w:val="1"/>
          <w:numId w:val="75"/>
        </w:numPr>
        <w:rPr>
          <w:rFonts w:ascii="Arial" w:cs="Arial" w:eastAsia="Arial" w:hAnsi="Arial"/>
          <w:sz w:val="18"/>
          <w:szCs w:val="18"/>
          <w:color w:val="auto"/>
        </w:rPr>
      </w:pPr>
      <w:r>
        <w:rPr>
          <w:rFonts w:ascii="Arial" w:cs="Arial" w:eastAsia="Arial" w:hAnsi="Arial"/>
          <w:sz w:val="22"/>
          <w:szCs w:val="22"/>
          <w:color w:val="auto"/>
        </w:rPr>
        <w:t xml:space="preserve">to the extent requested by any Additional Lender or any Increasing Lender, executed promissory notes evidencing such Incremental Revolving Commitments and/or such Incremental Term Loans, issued by the Borrower in accordance with </w:t>
      </w:r>
      <w:r>
        <w:rPr>
          <w:rFonts w:ascii="Arial" w:cs="Arial" w:eastAsia="Arial" w:hAnsi="Arial"/>
          <w:sz w:val="22"/>
          <w:szCs w:val="22"/>
          <w:u w:val="single" w:color="auto"/>
          <w:color w:val="auto"/>
        </w:rPr>
        <w:t>Section 2.10</w:t>
      </w:r>
      <w:r>
        <w:rPr>
          <w:rFonts w:ascii="Arial" w:cs="Arial" w:eastAsia="Arial" w:hAnsi="Arial"/>
          <w:sz w:val="22"/>
          <w:szCs w:val="22"/>
          <w:color w:val="auto"/>
        </w:rPr>
        <w:t>; and</w:t>
      </w:r>
    </w:p>
    <w:p>
      <w:pPr>
        <w:spacing w:after="0" w:line="217" w:lineRule="exact"/>
        <w:rPr>
          <w:rFonts w:ascii="Arial" w:cs="Arial" w:eastAsia="Arial" w:hAnsi="Arial"/>
          <w:sz w:val="18"/>
          <w:szCs w:val="18"/>
          <w:color w:val="auto"/>
        </w:rPr>
      </w:pPr>
    </w:p>
    <w:p>
      <w:pPr>
        <w:ind w:left="640" w:firstLine="1301"/>
        <w:spacing w:after="0" w:line="276" w:lineRule="auto"/>
        <w:tabs>
          <w:tab w:leader="none" w:pos="2794" w:val="left"/>
        </w:tabs>
        <w:numPr>
          <w:ilvl w:val="1"/>
          <w:numId w:val="75"/>
        </w:numPr>
        <w:rPr>
          <w:rFonts w:ascii="Arial" w:cs="Arial" w:eastAsia="Arial" w:hAnsi="Arial"/>
          <w:sz w:val="18"/>
          <w:szCs w:val="18"/>
          <w:color w:val="auto"/>
        </w:rPr>
      </w:pPr>
      <w:r>
        <w:rPr>
          <w:rFonts w:ascii="Arial" w:cs="Arial" w:eastAsia="Arial" w:hAnsi="Arial"/>
          <w:sz w:val="22"/>
          <w:szCs w:val="22"/>
          <w:color w:val="auto"/>
        </w:rPr>
        <w:t>any other certificates or documents that the Administrative Agent shall reasonably request, in form and substance reasonably satisfactory to the Administrative Agent.</w:t>
      </w:r>
    </w:p>
    <w:p>
      <w:pPr>
        <w:spacing w:after="0" w:line="20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Upon the effectiveness of any such Incremental Commitment, the Commitments and Pro Rata Share of each Lender will be adjusted to give effect to the Incremental Revolving Commitments and/or the Incremental Term Loans, as applicable, the LC Commitment will be increased automatically (if applicable), and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shall automatically be deemed amended accordingly.</w:t>
      </w:r>
    </w:p>
    <w:p>
      <w:pPr>
        <w:spacing w:after="0" w:line="188" w:lineRule="exact"/>
        <w:rPr>
          <w:sz w:val="20"/>
          <w:szCs w:val="20"/>
          <w:color w:val="auto"/>
        </w:rPr>
      </w:pPr>
    </w:p>
    <w:p>
      <w:pPr>
        <w:jc w:val="both"/>
        <w:ind w:firstLine="1293"/>
        <w:spacing w:after="0" w:line="250" w:lineRule="auto"/>
        <w:tabs>
          <w:tab w:leader="none" w:pos="2155" w:val="left"/>
        </w:tabs>
        <w:numPr>
          <w:ilvl w:val="0"/>
          <w:numId w:val="76"/>
        </w:numPr>
        <w:rPr>
          <w:rFonts w:ascii="Arial" w:cs="Arial" w:eastAsia="Arial" w:hAnsi="Arial"/>
          <w:sz w:val="18"/>
          <w:szCs w:val="18"/>
          <w:color w:val="auto"/>
        </w:rPr>
      </w:pPr>
      <w:r>
        <w:rPr>
          <w:rFonts w:ascii="Arial" w:cs="Arial" w:eastAsia="Arial" w:hAnsi="Arial"/>
          <w:sz w:val="22"/>
          <w:szCs w:val="22"/>
          <w:color w:val="auto"/>
        </w:rPr>
        <w:t>All terms of the initial Incremental Term Loan advanced hereunder and any other Incremental Term Loans that are different from the terms outstanding under the Credit Agreement immediately prior to the incurrence of such Incremental Term Loans (any such initial Incremental Term Loan and other Incremental Term Loans, the “</w:t>
      </w:r>
      <w:r>
        <w:rPr>
          <w:rFonts w:ascii="Arial" w:cs="Arial" w:eastAsia="Arial" w:hAnsi="Arial"/>
          <w:sz w:val="22"/>
          <w:szCs w:val="22"/>
          <w:u w:val="single" w:color="auto"/>
          <w:color w:val="auto"/>
        </w:rPr>
        <w:t>Non-Conforming Credit Extensions</w:t>
      </w:r>
      <w:r>
        <w:rPr>
          <w:rFonts w:ascii="Arial" w:cs="Arial" w:eastAsia="Arial" w:hAnsi="Arial"/>
          <w:sz w:val="22"/>
          <w:szCs w:val="22"/>
          <w:color w:val="auto"/>
        </w:rPr>
        <w:t>”) shall be as set forth in a separate assumption agreement among the Borrower, the Lenders providing such Incremental Term Loans and the Administrative Agent, the execution and delivery of which agreement shall be a condition</w:t>
      </w:r>
    </w:p>
    <w:p>
      <w:pPr>
        <w:spacing w:after="0" w:line="20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60"/>
          </w:cols>
          <w:pgMar w:left="900" w:top="375" w:right="239" w:bottom="1440" w:gutter="0" w:footer="0" w:header="0"/>
        </w:sectPr>
      </w:pPr>
    </w:p>
    <w:bookmarkStart w:id="100" w:name="page101"/>
    <w:bookmarkEnd w:id="100"/>
    <w:p>
      <w:pPr>
        <w:jc w:val="both"/>
        <w:ind w:left="660"/>
        <w:spacing w:after="0" w:line="257" w:lineRule="auto"/>
        <w:rPr>
          <w:sz w:val="20"/>
          <w:szCs w:val="20"/>
          <w:color w:val="auto"/>
        </w:rPr>
      </w:pPr>
      <w:r>
        <w:rPr>
          <w:rFonts w:ascii="Arial" w:cs="Arial" w:eastAsia="Arial" w:hAnsi="Arial"/>
          <w:sz w:val="21"/>
          <w:szCs w:val="21"/>
          <w:color w:val="auto"/>
        </w:rPr>
        <w:t xml:space="preserve">to the effectiveness of the Non-Conforming Credit Extensions. The scheduled principal payments on any existing Incremental Term Loans shall be ratably increased after the making of any new Incremental Term Loans (other than Incremental Term Loans that are Non-Conforming Credit Extensions) under this Section by the aggregate principal amount of such Incremental Term Loans. After the incurrence of any Non-Conforming Credit Extensions, all optional prepayments of Incremental Term Loans shall be allocated ratably between the then-outstanding Incremental Term Loans and such Non-Conforming Credit Extensions. Notwithstanding anything to the contrary in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the Administrative Agent is expressly permitted to amend the Loan Documents to the extent necessary to give effect to any increase pursuant to this Section and changes necessary or advisable in connection therewith (including amendments to (i) implement the requirements in the preceding two sentences, (ii) ensure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allocations of Eurodollar Loans and Base Rate Loans between Loans incurred pursuant to this Section and Loans outstanding immediately prior to any such incurrence, (iii) provide optional and mandatory prepayments for any Incremental Term Loans, and (iv) reflect any maturity date after the Maturity Date (including, without limitation, amendments to any provisions of this Credit Agreement affected by such later maturity date).</w:t>
      </w:r>
    </w:p>
    <w:p>
      <w:pPr>
        <w:spacing w:after="0" w:line="231" w:lineRule="exact"/>
        <w:rPr>
          <w:sz w:val="20"/>
          <w:szCs w:val="20"/>
          <w:color w:val="auto"/>
        </w:rPr>
      </w:pPr>
    </w:p>
    <w:p>
      <w:pPr>
        <w:ind w:left="2800" w:hanging="847"/>
        <w:spacing w:after="0"/>
        <w:tabs>
          <w:tab w:leader="none" w:pos="2800" w:val="left"/>
        </w:tabs>
        <w:numPr>
          <w:ilvl w:val="0"/>
          <w:numId w:val="77"/>
        </w:numPr>
        <w:rPr>
          <w:rFonts w:ascii="Arial" w:cs="Arial" w:eastAsia="Arial" w:hAnsi="Arial"/>
          <w:sz w:val="17"/>
          <w:szCs w:val="17"/>
          <w:color w:val="auto"/>
        </w:rPr>
      </w:pPr>
      <w:r>
        <w:rPr>
          <w:rFonts w:ascii="Arial" w:cs="Arial" w:eastAsia="Arial" w:hAnsi="Arial"/>
          <w:sz w:val="21"/>
          <w:szCs w:val="21"/>
          <w:color w:val="auto"/>
        </w:rPr>
        <w:t>For purposes of this Section, the following terms shall have the meanings specified below:</w:t>
      </w:r>
    </w:p>
    <w:p>
      <w:pPr>
        <w:spacing w:after="0" w:line="285" w:lineRule="exact"/>
        <w:rPr>
          <w:rFonts w:ascii="Arial" w:cs="Arial" w:eastAsia="Arial" w:hAnsi="Arial"/>
          <w:sz w:val="17"/>
          <w:szCs w:val="17"/>
          <w:color w:val="auto"/>
        </w:rPr>
      </w:pPr>
    </w:p>
    <w:p>
      <w:pPr>
        <w:jc w:val="both"/>
        <w:ind w:left="1300" w:firstLine="1301"/>
        <w:spacing w:after="0" w:line="264" w:lineRule="auto"/>
        <w:tabs>
          <w:tab w:leader="none" w:pos="3415" w:val="left"/>
        </w:tabs>
        <w:numPr>
          <w:ilvl w:val="1"/>
          <w:numId w:val="77"/>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Yield</w:t>
      </w:r>
      <w:r>
        <w:rPr>
          <w:rFonts w:ascii="Arial" w:cs="Arial" w:eastAsia="Arial" w:hAnsi="Arial"/>
          <w:sz w:val="21"/>
          <w:szCs w:val="21"/>
          <w:color w:val="auto"/>
        </w:rPr>
        <w:t xml:space="preserve">” shall mean, with respect to Incremental Term Loans, the amount (as determined by the Administrative Agent) equal to the sum of (A) the margin above the Eurodollar Rate on such Incremental Term Loans (including as margin the effect of any “LIBO rate floor” applicable on the date of the calculation),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(x) the amount of any Up-Front Fees on such Incremental Term Loans (including any fee or discount received by the Lenders in connection with the initial extension thereof), divided by (y) the lesser of (1) the Weighted Average Life to Maturity of such Incremental Term Loans, and (2) four.</w:t>
      </w:r>
    </w:p>
    <w:p>
      <w:pPr>
        <w:spacing w:after="0" w:line="215" w:lineRule="exact"/>
        <w:rPr>
          <w:rFonts w:ascii="Arial" w:cs="Arial" w:eastAsia="Arial" w:hAnsi="Arial"/>
          <w:sz w:val="17"/>
          <w:szCs w:val="17"/>
          <w:color w:val="auto"/>
        </w:rPr>
      </w:pPr>
    </w:p>
    <w:p>
      <w:pPr>
        <w:jc w:val="both"/>
        <w:ind w:left="1300" w:firstLine="1301"/>
        <w:spacing w:after="0" w:line="254" w:lineRule="auto"/>
        <w:tabs>
          <w:tab w:leader="none" w:pos="3465" w:val="left"/>
        </w:tabs>
        <w:numPr>
          <w:ilvl w:val="1"/>
          <w:numId w:val="7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Up-Front Fees</w:t>
      </w:r>
      <w:r>
        <w:rPr>
          <w:rFonts w:ascii="Arial" w:cs="Arial" w:eastAsia="Arial" w:hAnsi="Arial"/>
          <w:sz w:val="22"/>
          <w:szCs w:val="22"/>
          <w:color w:val="auto"/>
        </w:rPr>
        <w:t>” shall mean the amount of any fees or discounts received by the Lenders in connection with the making of Loans or extensions of credit, expressed as a percentage of such Loan or extension of credit. For the avoidance of doubt, “Up-Front Fees” shall not include any arrangement fee paid to the Left Lead Arranger.</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2.24 </w:t>
      </w:r>
      <w:r>
        <w:rPr>
          <w:rFonts w:ascii="Arial" w:cs="Arial" w:eastAsia="Arial" w:hAnsi="Arial"/>
          <w:sz w:val="21"/>
          <w:szCs w:val="21"/>
          <w:b w:val="1"/>
          <w:bCs w:val="1"/>
          <w:u w:val="single" w:color="auto"/>
          <w:color w:val="auto"/>
        </w:rPr>
        <w:t>Mitigation of Obligations</w:t>
      </w:r>
      <w:r>
        <w:rPr>
          <w:rFonts w:ascii="Arial" w:cs="Arial" w:eastAsia="Arial" w:hAnsi="Arial"/>
          <w:sz w:val="21"/>
          <w:szCs w:val="21"/>
          <w:color w:val="auto"/>
        </w:rPr>
        <w:t>. If any Lender requests compensation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2.18</w:t>
      </w:r>
      <w:r>
        <w:rPr>
          <w:rFonts w:ascii="Arial" w:cs="Arial" w:eastAsia="Arial" w:hAnsi="Arial"/>
          <w:sz w:val="21"/>
          <w:szCs w:val="21"/>
          <w:color w:val="auto"/>
        </w:rPr>
        <w:t>, or if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Borrower is required to pay any additional amount to any Lender or any Governmental Authority for the account of any Lender pursuant to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2.18</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2.20</w:t>
      </w:r>
      <w:r>
        <w:rPr>
          <w:rFonts w:ascii="Arial" w:cs="Arial" w:eastAsia="Arial" w:hAnsi="Arial"/>
          <w:sz w:val="21"/>
          <w:szCs w:val="21"/>
          <w:color w:val="auto"/>
        </w:rPr>
        <w:t>, as the case may be, in the future and (ii) would not subject such Lender to any unreimbursed cost or expense and would not otherwise be disadvantageous to such Lender. The Borrower hereby agrees to pay all costs and expenses incurred by any Lender in connection with such designation or assignment.</w:t>
      </w:r>
    </w:p>
    <w:p>
      <w:pPr>
        <w:spacing w:after="0" w:line="217"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b w:val="1"/>
          <w:bCs w:val="1"/>
          <w:color w:val="auto"/>
        </w:rPr>
        <w:t xml:space="preserve">Section 2.25 </w:t>
      </w:r>
      <w:r>
        <w:rPr>
          <w:rFonts w:ascii="Arial" w:cs="Arial" w:eastAsia="Arial" w:hAnsi="Arial"/>
          <w:sz w:val="22"/>
          <w:szCs w:val="22"/>
          <w:b w:val="1"/>
          <w:bCs w:val="1"/>
          <w:u w:val="single" w:color="auto"/>
          <w:color w:val="auto"/>
        </w:rPr>
        <w:t>Replacement of Lenders</w:t>
      </w:r>
      <w:r>
        <w:rPr>
          <w:rFonts w:ascii="Arial" w:cs="Arial" w:eastAsia="Arial" w:hAnsi="Arial"/>
          <w:sz w:val="22"/>
          <w:szCs w:val="22"/>
          <w:color w:val="auto"/>
        </w:rPr>
        <w:t>. If (a) any Lender requests compensation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2.18</w:t>
      </w:r>
      <w:r>
        <w:rPr>
          <w:rFonts w:ascii="Arial" w:cs="Arial" w:eastAsia="Arial" w:hAnsi="Arial"/>
          <w:sz w:val="22"/>
          <w:szCs w:val="22"/>
          <w:color w:val="auto"/>
        </w:rPr>
        <w:t>, or if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Borrower is required to pay any additional amount to any Lender or any Governmental Authority for the account of any Lender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(b) any Lender is a Defaulting Lender, or (c) in connection with any proposed amendment, modification, termination, waiver or consent with respect to any of the provisions hereof as contemplated by </w:t>
      </w:r>
      <w:r>
        <w:rPr>
          <w:rFonts w:ascii="Arial" w:cs="Arial" w:eastAsia="Arial" w:hAnsi="Arial"/>
          <w:sz w:val="22"/>
          <w:szCs w:val="22"/>
          <w:u w:val="single" w:color="auto"/>
          <w:color w:val="auto"/>
        </w:rPr>
        <w:t>Section 10.2(b)</w:t>
      </w:r>
      <w:r>
        <w:rPr>
          <w:rFonts w:ascii="Arial" w:cs="Arial" w:eastAsia="Arial" w:hAnsi="Arial"/>
          <w:sz w:val="22"/>
          <w:szCs w:val="22"/>
          <w:color w:val="auto"/>
        </w:rPr>
        <w:t>, the consent of Required Lenders shall have been obtained but the consent of one or more of such other Lenders (each a “</w:t>
      </w:r>
      <w:r>
        <w:rPr>
          <w:rFonts w:ascii="Arial" w:cs="Arial" w:eastAsia="Arial" w:hAnsi="Arial"/>
          <w:sz w:val="22"/>
          <w:szCs w:val="22"/>
          <w:u w:val="single" w:color="auto"/>
          <w:color w:val="auto"/>
        </w:rPr>
        <w:t>Non</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Consenting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Lender</w:t>
      </w:r>
      <w:r>
        <w:rPr>
          <w:rFonts w:ascii="Arial" w:cs="Arial" w:eastAsia="Arial" w:hAnsi="Arial"/>
          <w:sz w:val="22"/>
          <w:szCs w:val="22"/>
          <w:color w:val="auto"/>
        </w:rPr>
        <w:t>”) whose consent is required shall not have been obtained, then the Borrower may, at its sole expense and effort, upon notice to such Lender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75" w:right="239" w:bottom="1440" w:gutter="0" w:footer="0" w:header="0"/>
        </w:sectPr>
      </w:pPr>
    </w:p>
    <w:bookmarkStart w:id="101" w:name="page102"/>
    <w:bookmarkEnd w:id="101"/>
    <w:p>
      <w:pPr>
        <w:jc w:val="both"/>
        <w:spacing w:after="0" w:line="258" w:lineRule="exact"/>
        <w:rPr>
          <w:sz w:val="20"/>
          <w:szCs w:val="20"/>
          <w:color w:val="auto"/>
        </w:rPr>
      </w:pPr>
      <w:r>
        <w:rPr>
          <w:rFonts w:ascii="Arial" w:cs="Arial" w:eastAsia="Arial" w:hAnsi="Arial"/>
          <w:sz w:val="19"/>
          <w:szCs w:val="19"/>
          <w:color w:val="auto"/>
        </w:rPr>
        <w:t xml:space="preserve">and the Administrative Agent, require such Lender to assign and delegate, without recourse (in accordance with and subject to the restrictions set forth in </w:t>
      </w:r>
      <w:r>
        <w:rPr>
          <w:rFonts w:ascii="Arial" w:cs="Arial" w:eastAsia="Arial" w:hAnsi="Arial"/>
          <w:sz w:val="19"/>
          <w:szCs w:val="19"/>
          <w:u w:val="single" w:color="auto"/>
          <w:color w:val="auto"/>
        </w:rPr>
        <w:t>Section 10.4(b</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2.20</w:t>
      </w:r>
      <w:r>
        <w:rPr>
          <w:rFonts w:ascii="Arial" w:cs="Arial" w:eastAsia="Arial" w:hAnsi="Arial"/>
          <w:sz w:val="19"/>
          <w:szCs w:val="19"/>
          <w:color w:val="auto"/>
        </w:rPr>
        <w:t>, as applicable) and obligations under this Agreement to an assignee that shall assume such obligations (which assignee may be another Lender) (a “</w:t>
      </w:r>
      <w:r>
        <w:rPr>
          <w:rFonts w:ascii="Arial" w:cs="Arial" w:eastAsia="Arial" w:hAnsi="Arial"/>
          <w:sz w:val="19"/>
          <w:szCs w:val="19"/>
          <w:u w:val="single" w:color="auto"/>
          <w:color w:val="auto"/>
        </w:rPr>
        <w:t>Replacement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received the prior written consent of the Administrative Agent,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(iii) in the case of a claim for compensation under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such assignment will result in a reduction in such compensation or payments, and (iv) in the case of a Non</w:t>
      </w:r>
      <w:r>
        <w:rPr>
          <w:rFonts w:ascii="MS PGothic" w:cs="MS PGothic" w:eastAsia="MS PGothic" w:hAnsi="MS PGothic"/>
          <w:sz w:val="19"/>
          <w:szCs w:val="19"/>
          <w:color w:val="auto"/>
        </w:rPr>
        <w:t>‑</w:t>
      </w:r>
      <w:r>
        <w:rPr>
          <w:rFonts w:ascii="Arial" w:cs="Arial" w:eastAsia="Arial" w:hAnsi="Arial"/>
          <w:sz w:val="19"/>
          <w:szCs w:val="19"/>
          <w:color w:val="auto"/>
        </w:rPr>
        <w:t>Consenting Lender, each Replacement Lender shall consent, at the time of such assignment, to each matter in respect of which such terminated Lender was a Non</w:t>
      </w:r>
      <w:r>
        <w:rPr>
          <w:rFonts w:ascii="MS PGothic" w:cs="MS PGothic" w:eastAsia="MS PGothic" w:hAnsi="MS PGothic"/>
          <w:sz w:val="19"/>
          <w:szCs w:val="19"/>
          <w:color w:val="auto"/>
        </w:rPr>
        <w:t>‑</w:t>
      </w:r>
      <w:r>
        <w:rPr>
          <w:rFonts w:ascii="Arial" w:cs="Arial" w:eastAsia="Arial" w:hAnsi="Arial"/>
          <w:sz w:val="19"/>
          <w:szCs w:val="19"/>
          <w:color w:val="auto"/>
        </w:rPr>
        <w:t>Consenting Lender.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37"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2.26</w:t>
      </w:r>
      <w:r>
        <w:rPr>
          <w:sz w:val="20"/>
          <w:szCs w:val="20"/>
          <w:color w:val="auto"/>
        </w:rPr>
        <w:tab/>
      </w:r>
      <w:r>
        <w:rPr>
          <w:rFonts w:ascii="Arial" w:cs="Arial" w:eastAsia="Arial" w:hAnsi="Arial"/>
          <w:sz w:val="19"/>
          <w:szCs w:val="19"/>
          <w:b w:val="1"/>
          <w:bCs w:val="1"/>
          <w:u w:val="single" w:color="auto"/>
          <w:color w:val="auto"/>
        </w:rPr>
        <w:t>Defaulting Lenders</w:t>
      </w:r>
      <w:r>
        <w:rPr>
          <w:rFonts w:ascii="Arial" w:cs="Arial" w:eastAsia="Arial" w:hAnsi="Arial"/>
          <w:sz w:val="19"/>
          <w:szCs w:val="19"/>
          <w:color w:val="auto"/>
        </w:rPr>
        <w:t>.</w:t>
      </w:r>
    </w:p>
    <w:p>
      <w:pPr>
        <w:spacing w:after="0" w:line="266" w:lineRule="exact"/>
        <w:rPr>
          <w:sz w:val="20"/>
          <w:szCs w:val="20"/>
          <w:color w:val="auto"/>
        </w:rPr>
      </w:pPr>
    </w:p>
    <w:p>
      <w:pPr>
        <w:ind w:left="2800" w:hanging="847"/>
        <w:spacing w:after="0"/>
        <w:tabs>
          <w:tab w:leader="none" w:pos="2800" w:val="left"/>
        </w:tabs>
        <w:numPr>
          <w:ilvl w:val="0"/>
          <w:numId w:val="78"/>
        </w:numPr>
        <w:rPr>
          <w:rFonts w:ascii="Arial" w:cs="Arial" w:eastAsia="Arial" w:hAnsi="Arial"/>
          <w:sz w:val="18"/>
          <w:szCs w:val="18"/>
          <w:color w:val="auto"/>
        </w:rPr>
      </w:pPr>
      <w:r>
        <w:rPr>
          <w:rFonts w:ascii="Arial" w:cs="Arial" w:eastAsia="Arial" w:hAnsi="Arial"/>
          <w:sz w:val="22"/>
          <w:szCs w:val="22"/>
          <w:u w:val="single" w:color="auto"/>
          <w:color w:val="auto"/>
        </w:rPr>
        <w:t>Cash Collateral</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jc w:val="both"/>
        <w:ind w:left="1300" w:firstLine="1301"/>
        <w:spacing w:after="0" w:line="300" w:lineRule="auto"/>
        <w:tabs>
          <w:tab w:leader="none" w:pos="3415" w:val="left"/>
        </w:tabs>
        <w:numPr>
          <w:ilvl w:val="1"/>
          <w:numId w:val="78"/>
        </w:numPr>
        <w:rPr>
          <w:rFonts w:ascii="Arial" w:cs="Arial" w:eastAsia="Arial" w:hAnsi="Arial"/>
          <w:sz w:val="16"/>
          <w:szCs w:val="16"/>
          <w:color w:val="auto"/>
        </w:rPr>
      </w:pPr>
      <w:r>
        <w:rPr>
          <w:rFonts w:ascii="Arial" w:cs="Arial" w:eastAsia="Arial" w:hAnsi="Arial"/>
          <w:sz w:val="19"/>
          <w:szCs w:val="19"/>
          <w:color w:val="auto"/>
        </w:rPr>
        <w:t xml:space="preserve">At any time that there shall exist a Defaulting Lender, within one Business Day following the written request of the Administrative Agent or the Issuing Bank (with a copy to the Administrative Agent) the Borrower shall Cash Collateralize the Issuing Bank’s LC Exposure with respect to such Defaulting Lender (determined after giving effect to </w:t>
      </w:r>
      <w:r>
        <w:rPr>
          <w:rFonts w:ascii="Arial" w:cs="Arial" w:eastAsia="Arial" w:hAnsi="Arial"/>
          <w:sz w:val="19"/>
          <w:szCs w:val="19"/>
          <w:u w:val="single" w:color="auto"/>
          <w:color w:val="auto"/>
        </w:rPr>
        <w:t>Section 2.26(b)(iv)</w:t>
      </w:r>
      <w:r>
        <w:rPr>
          <w:rFonts w:ascii="Arial" w:cs="Arial" w:eastAsia="Arial" w:hAnsi="Arial"/>
          <w:sz w:val="19"/>
          <w:szCs w:val="19"/>
          <w:color w:val="auto"/>
        </w:rPr>
        <w:t xml:space="preserve"> and any Cash Collateral provided by such Defaulting Lender) in an amount not less than 105% of the Issuing Bank’s LC Exposure with respect to such Defaulting Lender.</w:t>
      </w:r>
    </w:p>
    <w:p>
      <w:pPr>
        <w:spacing w:after="0" w:line="187" w:lineRule="exact"/>
        <w:rPr>
          <w:rFonts w:ascii="Arial" w:cs="Arial" w:eastAsia="Arial" w:hAnsi="Arial"/>
          <w:sz w:val="16"/>
          <w:szCs w:val="16"/>
          <w:color w:val="auto"/>
        </w:rPr>
      </w:pPr>
    </w:p>
    <w:p>
      <w:pPr>
        <w:jc w:val="both"/>
        <w:ind w:left="1300" w:firstLine="1301"/>
        <w:spacing w:after="0" w:line="247" w:lineRule="auto"/>
        <w:tabs>
          <w:tab w:leader="none" w:pos="3465" w:val="left"/>
        </w:tabs>
        <w:numPr>
          <w:ilvl w:val="1"/>
          <w:numId w:val="78"/>
        </w:numPr>
        <w:rPr>
          <w:rFonts w:ascii="Arial" w:cs="Arial" w:eastAsia="Arial" w:hAnsi="Arial"/>
          <w:sz w:val="18"/>
          <w:szCs w:val="18"/>
          <w:color w:val="auto"/>
        </w:rPr>
      </w:pPr>
      <w:r>
        <w:rPr>
          <w:rFonts w:ascii="Arial" w:cs="Arial" w:eastAsia="Arial" w:hAnsi="Arial"/>
          <w:sz w:val="22"/>
          <w:szCs w:val="22"/>
          <w:color w:val="auto"/>
        </w:rPr>
        <w:t>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Letters of Credit, to be applied pursuant to clause (iii) below. If at any time the Administrative Agent determines that Cash Collateral is subject to any right or claim of any Person other than the Administrative Agent and the Issuing Bank as herein provided, or that the total amount of such Cash Collateral is less than the minimum amount required pursuant to clause (i) above,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232" w:lineRule="exact"/>
        <w:rPr>
          <w:rFonts w:ascii="Arial" w:cs="Arial" w:eastAsia="Arial" w:hAnsi="Arial"/>
          <w:sz w:val="18"/>
          <w:szCs w:val="18"/>
          <w:color w:val="auto"/>
        </w:rPr>
      </w:pPr>
    </w:p>
    <w:p>
      <w:pPr>
        <w:jc w:val="both"/>
        <w:ind w:left="1300" w:firstLine="1301"/>
        <w:spacing w:after="0" w:line="250" w:lineRule="auto"/>
        <w:tabs>
          <w:tab w:leader="none" w:pos="3515" w:val="left"/>
        </w:tabs>
        <w:numPr>
          <w:ilvl w:val="1"/>
          <w:numId w:val="78"/>
        </w:numPr>
        <w:rPr>
          <w:rFonts w:ascii="Arial" w:cs="Arial" w:eastAsia="Arial" w:hAnsi="Arial"/>
          <w:sz w:val="18"/>
          <w:szCs w:val="18"/>
          <w:color w:val="auto"/>
        </w:rPr>
      </w:pPr>
      <w:r>
        <w:rPr>
          <w:rFonts w:ascii="Arial" w:cs="Arial" w:eastAsia="Arial" w:hAnsi="Arial"/>
          <w:sz w:val="22"/>
          <w:szCs w:val="22"/>
          <w:color w:val="auto"/>
        </w:rPr>
        <w:t xml:space="preserve">Notwithstanding anything to the contrary contained in this Agreement, Cash Collateral provided under this </w:t>
      </w:r>
      <w:r>
        <w:rPr>
          <w:rFonts w:ascii="Arial" w:cs="Arial" w:eastAsia="Arial" w:hAnsi="Arial"/>
          <w:sz w:val="22"/>
          <w:szCs w:val="22"/>
          <w:u w:val="single" w:color="auto"/>
          <w:color w:val="auto"/>
        </w:rPr>
        <w:t>Section 2.26(a)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2.26(b)</w:t>
      </w:r>
      <w:r>
        <w:rPr>
          <w:rFonts w:ascii="Arial" w:cs="Arial" w:eastAsia="Arial" w:hAnsi="Arial"/>
          <w:sz w:val="22"/>
          <w:szCs w:val="22"/>
          <w:color w:val="auto"/>
        </w:rPr>
        <w:t xml:space="preserve"> in respect of Letters of Credit shall be applied to the satisfaction of the Defaulting Lender’s obligation to fund participations in respect of Letters of Credit or LC Disbursements (including, as to Cash Collateral provided by a Defaulting Lender, any interest accrued on such obligation) for which the Cash Collateral was so provided, prior to any other application of such property as may otherwise be provided for herein.</w:t>
      </w:r>
    </w:p>
    <w:p>
      <w:pPr>
        <w:spacing w:after="0" w:line="228" w:lineRule="exact"/>
        <w:rPr>
          <w:rFonts w:ascii="Arial" w:cs="Arial" w:eastAsia="Arial" w:hAnsi="Arial"/>
          <w:sz w:val="18"/>
          <w:szCs w:val="18"/>
          <w:color w:val="auto"/>
        </w:rPr>
      </w:pPr>
    </w:p>
    <w:p>
      <w:pPr>
        <w:ind w:left="1300" w:firstLine="1301"/>
        <w:spacing w:after="0" w:line="276" w:lineRule="auto"/>
        <w:tabs>
          <w:tab w:leader="none" w:pos="3504" w:val="left"/>
        </w:tabs>
        <w:numPr>
          <w:ilvl w:val="1"/>
          <w:numId w:val="78"/>
        </w:numPr>
        <w:rPr>
          <w:rFonts w:ascii="Arial" w:cs="Arial" w:eastAsia="Arial" w:hAnsi="Arial"/>
          <w:sz w:val="18"/>
          <w:szCs w:val="18"/>
          <w:color w:val="auto"/>
        </w:rPr>
      </w:pPr>
      <w:r>
        <w:rPr>
          <w:rFonts w:ascii="Arial" w:cs="Arial" w:eastAsia="Arial" w:hAnsi="Arial"/>
          <w:sz w:val="22"/>
          <w:szCs w:val="22"/>
          <w:color w:val="auto"/>
        </w:rPr>
        <w:t>Cash Collateral (or the appropriate portion thereof) provided to reduce any Issuing Bank’s LC Exposure shall no longer be required to be held as Cash Collateral pursuant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75" w:right="239" w:bottom="1440" w:gutter="0" w:footer="0" w:header="0"/>
        </w:sectPr>
      </w:pPr>
    </w:p>
    <w:bookmarkStart w:id="102" w:name="page103"/>
    <w:bookmarkEnd w:id="102"/>
    <w:p>
      <w:pPr>
        <w:jc w:val="both"/>
        <w:ind w:left="100"/>
        <w:spacing w:after="0" w:line="246" w:lineRule="auto"/>
        <w:rPr>
          <w:sz w:val="20"/>
          <w:szCs w:val="20"/>
          <w:color w:val="auto"/>
        </w:rPr>
      </w:pPr>
      <w:r>
        <w:rPr>
          <w:rFonts w:ascii="Arial" w:cs="Arial" w:eastAsia="Arial" w:hAnsi="Arial"/>
          <w:sz w:val="22"/>
          <w:szCs w:val="22"/>
          <w:color w:val="auto"/>
        </w:rPr>
        <w:t xml:space="preserve">to this </w:t>
      </w:r>
      <w:r>
        <w:rPr>
          <w:rFonts w:ascii="Arial" w:cs="Arial" w:eastAsia="Arial" w:hAnsi="Arial"/>
          <w:sz w:val="22"/>
          <w:szCs w:val="22"/>
          <w:u w:val="single" w:color="auto"/>
          <w:color w:val="auto"/>
        </w:rPr>
        <w:t>Section 2.26(a)</w:t>
      </w:r>
      <w:r>
        <w:rPr>
          <w:rFonts w:ascii="Arial" w:cs="Arial" w:eastAsia="Arial" w:hAnsi="Arial"/>
          <w:sz w:val="22"/>
          <w:szCs w:val="22"/>
          <w:color w:val="auto"/>
        </w:rPr>
        <w:t xml:space="preserve"> following (A) the elimination of the applicable LC Exposure (including by the termination of Defaulting Lender status of the applicable Lender), or (ii) the determination by the Administrative Agent and the Issuing Bank that there exists excess Cash Collateral; provided that, subject to </w:t>
      </w:r>
      <w:r>
        <w:rPr>
          <w:rFonts w:ascii="Arial" w:cs="Arial" w:eastAsia="Arial" w:hAnsi="Arial"/>
          <w:sz w:val="22"/>
          <w:szCs w:val="22"/>
          <w:u w:val="single" w:color="auto"/>
          <w:color w:val="auto"/>
        </w:rPr>
        <w:t>Section 2.26(b)</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(d)</w:t>
      </w:r>
      <w:r>
        <w:rPr>
          <w:rFonts w:ascii="Arial" w:cs="Arial" w:eastAsia="Arial" w:hAnsi="Arial"/>
          <w:sz w:val="22"/>
          <w:szCs w:val="22"/>
          <w:color w:val="auto"/>
        </w:rPr>
        <w:t xml:space="preserve"> the Person providing Cash Collateral and each Issuing Bank may agree that Cash Collateral shall be held to support future anticipated LC Exposure or other obligations and provided further that to the extent that such Cash Collateral was provided by the Borrower, such Cash Collateral shall remain subject to the security interest granted pursuant to the Loan Documents.</w:t>
      </w:r>
    </w:p>
    <w:p>
      <w:pPr>
        <w:spacing w:after="0" w:line="238" w:lineRule="exact"/>
        <w:rPr>
          <w:sz w:val="20"/>
          <w:szCs w:val="20"/>
          <w:color w:val="auto"/>
        </w:rPr>
      </w:pPr>
    </w:p>
    <w:p>
      <w:pPr>
        <w:jc w:val="both"/>
        <w:ind w:left="-540" w:firstLine="1293"/>
        <w:spacing w:after="0" w:line="260" w:lineRule="auto"/>
        <w:tabs>
          <w:tab w:leader="none" w:pos="1615" w:val="left"/>
        </w:tabs>
        <w:numPr>
          <w:ilvl w:val="0"/>
          <w:numId w:val="79"/>
        </w:numPr>
        <w:rPr>
          <w:rFonts w:ascii="Arial" w:cs="Arial" w:eastAsia="Arial" w:hAnsi="Arial"/>
          <w:sz w:val="18"/>
          <w:szCs w:val="18"/>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17" w:lineRule="exact"/>
        <w:rPr>
          <w:rFonts w:ascii="Arial" w:cs="Arial" w:eastAsia="Arial" w:hAnsi="Arial"/>
          <w:sz w:val="18"/>
          <w:szCs w:val="18"/>
          <w:color w:val="auto"/>
        </w:rPr>
      </w:pPr>
    </w:p>
    <w:p>
      <w:pPr>
        <w:jc w:val="both"/>
        <w:ind w:left="100" w:firstLine="1301"/>
        <w:spacing w:after="0" w:line="260" w:lineRule="auto"/>
        <w:tabs>
          <w:tab w:leader="none" w:pos="2215" w:val="left"/>
        </w:tabs>
        <w:numPr>
          <w:ilvl w:val="1"/>
          <w:numId w:val="79"/>
        </w:numPr>
        <w:rPr>
          <w:rFonts w:ascii="Arial" w:cs="Arial" w:eastAsia="Arial" w:hAnsi="Arial"/>
          <w:sz w:val="18"/>
          <w:szCs w:val="18"/>
          <w:color w:val="auto"/>
        </w:rPr>
      </w:pPr>
      <w:r>
        <w:rPr>
          <w:rFonts w:ascii="Arial" w:cs="Arial" w:eastAsia="Arial" w:hAnsi="Arial"/>
          <w:sz w:val="22"/>
          <w:szCs w:val="22"/>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w:t>
      </w:r>
      <w:r>
        <w:rPr>
          <w:rFonts w:ascii="Arial" w:cs="Arial" w:eastAsia="Arial" w:hAnsi="Arial"/>
          <w:sz w:val="22"/>
          <w:szCs w:val="22"/>
          <w:color w:val="auto"/>
        </w:rPr>
        <w:t>.</w:t>
      </w:r>
    </w:p>
    <w:p>
      <w:pPr>
        <w:spacing w:after="0" w:line="217" w:lineRule="exact"/>
        <w:rPr>
          <w:rFonts w:ascii="Arial" w:cs="Arial" w:eastAsia="Arial" w:hAnsi="Arial"/>
          <w:sz w:val="18"/>
          <w:szCs w:val="18"/>
          <w:color w:val="auto"/>
        </w:rPr>
      </w:pPr>
    </w:p>
    <w:p>
      <w:pPr>
        <w:jc w:val="both"/>
        <w:ind w:left="100" w:firstLine="1301"/>
        <w:spacing w:after="0" w:line="284" w:lineRule="auto"/>
        <w:tabs>
          <w:tab w:leader="none" w:pos="2265" w:val="left"/>
        </w:tabs>
        <w:numPr>
          <w:ilvl w:val="1"/>
          <w:numId w:val="79"/>
        </w:numPr>
        <w:rPr>
          <w:rFonts w:ascii="Arial" w:cs="Arial" w:eastAsia="Arial" w:hAnsi="Arial"/>
          <w:sz w:val="16"/>
          <w:szCs w:val="16"/>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on a pro rata basis of any amounts owing by such Defaulting Lender to the Issuing Bank or Swingline Lender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Cash Collateralize the Issuing Bank’s LC Exposure with respect to such Defaulting Lender in accordance with </w:t>
      </w:r>
      <w:r>
        <w:rPr>
          <w:rFonts w:ascii="Arial" w:cs="Arial" w:eastAsia="Arial" w:hAnsi="Arial"/>
          <w:sz w:val="19"/>
          <w:szCs w:val="19"/>
          <w:u w:val="single" w:color="auto"/>
          <w:color w:val="auto"/>
        </w:rPr>
        <w:t>Section 2.26(a)</w:t>
      </w:r>
      <w:r>
        <w:rPr>
          <w:rFonts w:ascii="Arial" w:cs="Arial" w:eastAsia="Arial" w:hAnsi="Arial"/>
          <w:sz w:val="19"/>
          <w:szCs w:val="19"/>
          <w:color w:val="auto"/>
        </w:rPr>
        <w:t xml:space="preserv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2.26(a)</w:t>
      </w:r>
      <w:r>
        <w:rPr>
          <w:rFonts w:ascii="Arial" w:cs="Arial" w:eastAsia="Arial" w:hAnsi="Arial"/>
          <w:sz w:val="19"/>
          <w:szCs w:val="19"/>
          <w:color w:val="auto"/>
        </w:rPr>
        <w:t xml:space="preserve">;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u w:val="single" w:color="auto"/>
          <w:color w:val="auto"/>
        </w:rPr>
        <w:t>eighth</w:t>
      </w:r>
      <w:r>
        <w:rPr>
          <w:rFonts w:ascii="Arial" w:cs="Arial" w:eastAsia="Arial" w:hAnsi="Arial"/>
          <w:sz w:val="19"/>
          <w:szCs w:val="19"/>
          <w:color w:val="auto"/>
        </w:rPr>
        <w:t xml:space="preserve">,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Obligations and Swingline</w:t>
      </w:r>
    </w:p>
    <w:p>
      <w:pPr>
        <w:spacing w:after="0" w:line="200" w:lineRule="exact"/>
        <w:rPr>
          <w:sz w:val="20"/>
          <w:szCs w:val="20"/>
          <w:color w:val="auto"/>
        </w:rPr>
      </w:pPr>
    </w:p>
    <w:p>
      <w:pPr>
        <w:spacing w:after="0" w:line="2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20"/>
          </w:cols>
          <w:pgMar w:left="1440" w:top="375" w:right="239" w:bottom="1440" w:gutter="0" w:footer="0" w:header="0"/>
        </w:sectPr>
      </w:pPr>
    </w:p>
    <w:bookmarkStart w:id="103" w:name="page104"/>
    <w:bookmarkEnd w:id="103"/>
    <w:p>
      <w:pPr>
        <w:jc w:val="both"/>
        <w:ind w:left="100"/>
        <w:spacing w:after="0" w:line="248" w:lineRule="auto"/>
        <w:rPr>
          <w:sz w:val="20"/>
          <w:szCs w:val="20"/>
          <w:color w:val="auto"/>
        </w:rPr>
      </w:pPr>
      <w:r>
        <w:rPr>
          <w:rFonts w:ascii="Arial" w:cs="Arial" w:eastAsia="Arial" w:hAnsi="Arial"/>
          <w:sz w:val="22"/>
          <w:szCs w:val="22"/>
          <w:color w:val="auto"/>
        </w:rPr>
        <w:t xml:space="preserve">Loans are held by the Lenders pro rata in accordance with the Commitments under the applicable Facility without giving effect to sub-section (iv) below. Any payments, prepayments or other amounts paid or payable to a Defaulting Lender that are applied (or held) to pay amounts owed by a Defaulting Lender or to post Cash Collateral pursuant to this </w:t>
      </w:r>
      <w:r>
        <w:rPr>
          <w:rFonts w:ascii="Arial" w:cs="Arial" w:eastAsia="Arial" w:hAnsi="Arial"/>
          <w:sz w:val="22"/>
          <w:szCs w:val="22"/>
          <w:u w:val="single" w:color="auto"/>
          <w:color w:val="auto"/>
        </w:rPr>
        <w:t>Section 2.26(b)(ii)</w:t>
      </w:r>
      <w:r>
        <w:rPr>
          <w:rFonts w:ascii="Arial" w:cs="Arial" w:eastAsia="Arial" w:hAnsi="Arial"/>
          <w:sz w:val="22"/>
          <w:szCs w:val="22"/>
          <w:color w:val="auto"/>
        </w:rPr>
        <w:t xml:space="preserve"> shall be deemed paid to and redirected by such Defaulting Lender, and each Lender irrevocably consents hereto.</w:t>
      </w:r>
    </w:p>
    <w:p>
      <w:pPr>
        <w:spacing w:after="0" w:line="233" w:lineRule="exact"/>
        <w:rPr>
          <w:sz w:val="20"/>
          <w:szCs w:val="20"/>
          <w:color w:val="auto"/>
        </w:rPr>
      </w:pPr>
    </w:p>
    <w:p>
      <w:pPr>
        <w:jc w:val="both"/>
        <w:ind w:left="100" w:firstLine="1301"/>
        <w:spacing w:after="0" w:line="320" w:lineRule="auto"/>
        <w:tabs>
          <w:tab w:leader="none" w:pos="2315" w:val="left"/>
        </w:tabs>
        <w:numPr>
          <w:ilvl w:val="0"/>
          <w:numId w:val="80"/>
        </w:numPr>
        <w:rPr>
          <w:rFonts w:ascii="Arial" w:cs="Arial" w:eastAsia="Arial" w:hAnsi="Arial"/>
          <w:sz w:val="16"/>
          <w:szCs w:val="16"/>
          <w:color w:val="auto"/>
        </w:rPr>
      </w:pPr>
      <w:r>
        <w:rPr>
          <w:rFonts w:ascii="Arial" w:cs="Arial" w:eastAsia="Arial" w:hAnsi="Arial"/>
          <w:sz w:val="19"/>
          <w:szCs w:val="19"/>
          <w:color w:val="auto"/>
        </w:rPr>
        <w:t xml:space="preserve">(A) No Defaulting Lender shall be entitled to receive any commitment fee pursuant to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66" w:lineRule="exact"/>
        <w:rPr>
          <w:sz w:val="20"/>
          <w:szCs w:val="20"/>
          <w:color w:val="auto"/>
        </w:rPr>
      </w:pPr>
    </w:p>
    <w:p>
      <w:pPr>
        <w:jc w:val="both"/>
        <w:ind w:left="100" w:firstLine="1301"/>
        <w:spacing w:after="0" w:line="278" w:lineRule="auto"/>
        <w:tabs>
          <w:tab w:leader="none" w:pos="2285" w:val="left"/>
        </w:tabs>
        <w:numPr>
          <w:ilvl w:val="0"/>
          <w:numId w:val="81"/>
        </w:numPr>
        <w:rPr>
          <w:rFonts w:ascii="Arial" w:cs="Arial" w:eastAsia="Arial" w:hAnsi="Arial"/>
          <w:sz w:val="17"/>
          <w:szCs w:val="17"/>
          <w:color w:val="auto"/>
        </w:rPr>
      </w:pPr>
      <w:r>
        <w:rPr>
          <w:rFonts w:ascii="Arial" w:cs="Arial" w:eastAsia="Arial" w:hAnsi="Arial"/>
          <w:sz w:val="21"/>
          <w:szCs w:val="21"/>
          <w:color w:val="auto"/>
        </w:rPr>
        <w:t xml:space="preserve">Each Defaulting Lender shall be entitled to receive letter of credit fees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2.14(c)</w:t>
      </w:r>
      <w:r>
        <w:rPr>
          <w:rFonts w:ascii="Arial" w:cs="Arial" w:eastAsia="Arial" w:hAnsi="Arial"/>
          <w:sz w:val="21"/>
          <w:szCs w:val="21"/>
          <w:color w:val="auto"/>
        </w:rPr>
        <w:t xml:space="preserve"> for any period during which that Lender is a Defaulting Lender only to the extent allocable to that portion of its LC Exposure for which it has provided Cash Collateral pursuant to </w:t>
      </w:r>
      <w:r>
        <w:rPr>
          <w:rFonts w:ascii="Arial" w:cs="Arial" w:eastAsia="Arial" w:hAnsi="Arial"/>
          <w:sz w:val="21"/>
          <w:szCs w:val="21"/>
          <w:u w:val="single" w:color="auto"/>
          <w:color w:val="auto"/>
        </w:rPr>
        <w:t>Section 2.26(a)</w:t>
      </w:r>
      <w:r>
        <w:rPr>
          <w:rFonts w:ascii="Arial" w:cs="Arial" w:eastAsia="Arial" w:hAnsi="Arial"/>
          <w:sz w:val="21"/>
          <w:szCs w:val="21"/>
          <w:color w:val="auto"/>
        </w:rPr>
        <w:t>.</w:t>
      </w:r>
    </w:p>
    <w:p>
      <w:pPr>
        <w:spacing w:after="0" w:line="200" w:lineRule="exact"/>
        <w:rPr>
          <w:rFonts w:ascii="Arial" w:cs="Arial" w:eastAsia="Arial" w:hAnsi="Arial"/>
          <w:sz w:val="17"/>
          <w:szCs w:val="17"/>
          <w:color w:val="auto"/>
        </w:rPr>
      </w:pPr>
    </w:p>
    <w:p>
      <w:pPr>
        <w:jc w:val="both"/>
        <w:ind w:left="100" w:firstLine="1301"/>
        <w:spacing w:after="0" w:line="261" w:lineRule="auto"/>
        <w:tabs>
          <w:tab w:leader="none" w:pos="2285" w:val="left"/>
        </w:tabs>
        <w:numPr>
          <w:ilvl w:val="0"/>
          <w:numId w:val="81"/>
        </w:numPr>
        <w:rPr>
          <w:rFonts w:ascii="Arial" w:cs="Arial" w:eastAsia="Arial" w:hAnsi="Arial"/>
          <w:sz w:val="17"/>
          <w:szCs w:val="17"/>
          <w:color w:val="auto"/>
        </w:rPr>
      </w:pPr>
      <w:r>
        <w:rPr>
          <w:rFonts w:ascii="Arial" w:cs="Arial" w:eastAsia="Arial" w:hAnsi="Arial"/>
          <w:sz w:val="21"/>
          <w:szCs w:val="21"/>
          <w:color w:val="auto"/>
        </w:rPr>
        <w:t>With respect to any commitment fee or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each Issuing Bank and Swingline Lender, as applicable, the amount of any such fee otherwise payable to such Defaulting Lender to the extent allocable to the Issuing Bank’s LC Exposure or Swingline Lender’s Swingline Exposure with respect to such Defaulting Lender, and (z) not be required to pay the remaining amount of any such fee.</w:t>
      </w:r>
    </w:p>
    <w:p>
      <w:pPr>
        <w:spacing w:after="0" w:line="222" w:lineRule="exact"/>
        <w:rPr>
          <w:sz w:val="20"/>
          <w:szCs w:val="20"/>
          <w:color w:val="auto"/>
        </w:rPr>
      </w:pPr>
    </w:p>
    <w:p>
      <w:pPr>
        <w:jc w:val="both"/>
        <w:ind w:left="100" w:firstLine="1301"/>
        <w:spacing w:after="0" w:line="259" w:lineRule="auto"/>
        <w:tabs>
          <w:tab w:leader="none" w:pos="2304" w:val="left"/>
        </w:tabs>
        <w:numPr>
          <w:ilvl w:val="0"/>
          <w:numId w:val="82"/>
        </w:numPr>
        <w:rPr>
          <w:rFonts w:ascii="Arial" w:cs="Arial" w:eastAsia="Arial" w:hAnsi="Arial"/>
          <w:sz w:val="17"/>
          <w:szCs w:val="17"/>
          <w:color w:val="auto"/>
        </w:rPr>
      </w:pPr>
      <w:r>
        <w:rPr>
          <w:rFonts w:ascii="Arial" w:cs="Arial" w:eastAsia="Arial" w:hAnsi="Arial"/>
          <w:sz w:val="21"/>
          <w:szCs w:val="21"/>
          <w:color w:val="auto"/>
        </w:rPr>
        <w:t xml:space="preserve">All or any part of such Defaulting Lender’s participation in Letters of Credit and Swingline Loans shall be reallocated among the Non-Defaulting Lenders in accordance with their respective Pro Rata Shares of the Revolving Commitments (calculated without regard to such Defaulting Lender’s Revolving Commitment) but only to the extent that (x) the conditions set forth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26" w:lineRule="exact"/>
        <w:rPr>
          <w:rFonts w:ascii="Arial" w:cs="Arial" w:eastAsia="Arial" w:hAnsi="Arial"/>
          <w:sz w:val="17"/>
          <w:szCs w:val="17"/>
          <w:color w:val="auto"/>
        </w:rPr>
      </w:pPr>
    </w:p>
    <w:p>
      <w:pPr>
        <w:jc w:val="both"/>
        <w:ind w:left="100" w:firstLine="1301"/>
        <w:spacing w:after="0" w:line="266" w:lineRule="auto"/>
        <w:tabs>
          <w:tab w:leader="none" w:pos="2254" w:val="left"/>
        </w:tabs>
        <w:numPr>
          <w:ilvl w:val="0"/>
          <w:numId w:val="82"/>
        </w:numPr>
        <w:rPr>
          <w:rFonts w:ascii="Arial" w:cs="Arial" w:eastAsia="Arial" w:hAnsi="Arial"/>
          <w:sz w:val="17"/>
          <w:szCs w:val="17"/>
          <w:color w:val="auto"/>
        </w:rPr>
      </w:pPr>
      <w:r>
        <w:rPr>
          <w:rFonts w:ascii="Arial" w:cs="Arial" w:eastAsia="Arial" w:hAnsi="Arial"/>
          <w:sz w:val="21"/>
          <w:szCs w:val="21"/>
          <w:color w:val="auto"/>
        </w:rPr>
        <w:t xml:space="preserve">If the reallocation described in clause (iv) above cannot, or can only partially, be effected, the Borrower shall, without prejudice to any right or remedy available to it hereunder or under law, (x) first, prepay Swingline Loans in an amount equal to the Swingline Lender’s Swingline Exposure with respect to such Defaulting Lender and (y) second, Cash Collateralize the Issuing Banks’ LC Exposure with respect to such Defaulting Lender in accordance with the procedures set forth in </w:t>
      </w:r>
      <w:r>
        <w:rPr>
          <w:rFonts w:ascii="Arial" w:cs="Arial" w:eastAsia="Arial" w:hAnsi="Arial"/>
          <w:sz w:val="21"/>
          <w:szCs w:val="21"/>
          <w:u w:val="single" w:color="auto"/>
          <w:color w:val="auto"/>
        </w:rPr>
        <w:t>Section 2.26(a)</w:t>
      </w:r>
      <w:r>
        <w:rPr>
          <w:rFonts w:ascii="Arial" w:cs="Arial" w:eastAsia="Arial" w:hAnsi="Arial"/>
          <w:sz w:val="21"/>
          <w:szCs w:val="21"/>
          <w:color w:val="auto"/>
        </w:rPr>
        <w:t>.</w:t>
      </w: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20"/>
          </w:cols>
          <w:pgMar w:left="1440" w:top="375" w:right="239" w:bottom="1440" w:gutter="0" w:footer="0" w:header="0"/>
        </w:sectPr>
      </w:pPr>
    </w:p>
    <w:bookmarkStart w:id="104" w:name="page105"/>
    <w:bookmarkEnd w:id="104"/>
    <w:p>
      <w:pPr>
        <w:jc w:val="both"/>
        <w:ind w:left="660" w:firstLine="1293"/>
        <w:spacing w:after="0" w:line="289" w:lineRule="auto"/>
        <w:tabs>
          <w:tab w:leader="none" w:pos="2804" w:val="left"/>
        </w:tabs>
        <w:numPr>
          <w:ilvl w:val="0"/>
          <w:numId w:val="83"/>
        </w:numPr>
        <w:rPr>
          <w:rFonts w:ascii="Arial" w:cs="Arial" w:eastAsia="Arial" w:hAnsi="Arial"/>
          <w:sz w:val="16"/>
          <w:szCs w:val="16"/>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2.26(b)(iv),</w:t>
      </w:r>
      <w:r>
        <w:rPr>
          <w:rFonts w:ascii="Arial" w:cs="Arial" w:eastAsia="Arial" w:hAnsi="Arial"/>
          <w:sz w:val="19"/>
          <w:szCs w:val="19"/>
          <w:color w:val="auto"/>
        </w:rPr>
        <w:t xml:space="preserve">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jc w:val="both"/>
        <w:ind w:left="660" w:firstLine="1293"/>
        <w:spacing w:after="0" w:line="307" w:lineRule="auto"/>
        <w:tabs>
          <w:tab w:leader="none" w:pos="2815" w:val="left"/>
        </w:tabs>
        <w:numPr>
          <w:ilvl w:val="0"/>
          <w:numId w:val="83"/>
        </w:numPr>
        <w:rPr>
          <w:rFonts w:ascii="Arial" w:cs="Arial" w:eastAsia="Arial" w:hAnsi="Arial"/>
          <w:sz w:val="16"/>
          <w:szCs w:val="16"/>
          <w:color w:val="auto"/>
        </w:rPr>
      </w:pPr>
      <w:r>
        <w:rPr>
          <w:rFonts w:ascii="Arial" w:cs="Arial" w:eastAsia="Arial" w:hAnsi="Arial"/>
          <w:sz w:val="19"/>
          <w:szCs w:val="19"/>
          <w:u w:val="single" w:color="auto"/>
          <w:color w:val="auto"/>
        </w:rPr>
        <w:t>New Swingline Loans/Letters of Credit</w:t>
      </w:r>
      <w:r>
        <w:rPr>
          <w:rFonts w:ascii="Arial" w:cs="Arial" w:eastAsia="Arial" w:hAnsi="Arial"/>
          <w:sz w:val="19"/>
          <w:szCs w:val="19"/>
          <w:color w:val="auto"/>
        </w:rPr>
        <w:t>. So long as any Lender is a Defaulting Lender, (i) the Swingline Lender shall not be required to fund any Swingline Loans unless it is satisfied that it will have no Swingline Exposure after giving effect to such Swingline Loan and (ii) no Issuing Bank shall be required to issue, extend, renew or increase any Letter of Credit unless it is satisfied that it will have no LC Exposure after giving effect thereto.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PRECEDENT TO LOANS AND LETTERS OF CREDIT</w:t>
      </w:r>
    </w:p>
    <w:p>
      <w:pPr>
        <w:spacing w:after="0" w:line="2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3.1 </w:t>
      </w:r>
      <w:r>
        <w:rPr>
          <w:rFonts w:ascii="Arial" w:cs="Arial" w:eastAsia="Arial" w:hAnsi="Arial"/>
          <w:sz w:val="21"/>
          <w:szCs w:val="21"/>
          <w:b w:val="1"/>
          <w:bCs w:val="1"/>
          <w:u w:val="single" w:color="auto"/>
          <w:color w:val="auto"/>
        </w:rPr>
        <w:t>Conditions to Effectiveness</w:t>
      </w:r>
      <w:r>
        <w:rPr>
          <w:rFonts w:ascii="Arial" w:cs="Arial" w:eastAsia="Arial" w:hAnsi="Arial"/>
          <w:sz w:val="21"/>
          <w:szCs w:val="21"/>
          <w:color w:val="auto"/>
        </w:rPr>
        <w:t>. The obligations of the Lenders (including the Swingline Lender)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make Loans and the obligation of the Issuing Bank to issue any Letters of Credit hereunder shall not become effective until the date on which each of the following conditions is satisfied (or waived in accordance with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205" w:lineRule="exact"/>
        <w:rPr>
          <w:sz w:val="20"/>
          <w:szCs w:val="20"/>
          <w:color w:val="auto"/>
        </w:rPr>
      </w:pPr>
    </w:p>
    <w:p>
      <w:pPr>
        <w:jc w:val="both"/>
        <w:ind w:left="660" w:firstLine="1293"/>
        <w:spacing w:after="0" w:line="250" w:lineRule="auto"/>
        <w:tabs>
          <w:tab w:leader="none" w:pos="2804" w:val="left"/>
        </w:tabs>
        <w:numPr>
          <w:ilvl w:val="0"/>
          <w:numId w:val="84"/>
        </w:numPr>
        <w:rPr>
          <w:rFonts w:ascii="Arial" w:cs="Arial" w:eastAsia="Arial" w:hAnsi="Arial"/>
          <w:sz w:val="18"/>
          <w:szCs w:val="18"/>
          <w:color w:val="auto"/>
        </w:rPr>
      </w:pPr>
      <w:r>
        <w:rPr>
          <w:rFonts w:ascii="Arial" w:cs="Arial" w:eastAsia="Arial" w:hAnsi="Arial"/>
          <w:sz w:val="22"/>
          <w:szCs w:val="22"/>
          <w:color w:val="auto"/>
        </w:rPr>
        <w:t>The Administrative Agent shall have received payment of all fees, expenses and other amounts due and payable on or prior to the Closing Date for which invoices have been presented, including, without limitation, reimbursement or payment of all out-of-pocket expenses of the Administrative Agent, the Left Lead Arranger and their respective Affiliates (including reasonable fees, charges and disbursements of counsel to the Administrative Agent) required to be reimbursed or paid by the Borrower hereunder, under any other Loan Document and under any agreement with the Administrative Agent or the Left Lead Arranger.</w:t>
      </w:r>
    </w:p>
    <w:p>
      <w:pPr>
        <w:spacing w:after="0" w:line="228" w:lineRule="exact"/>
        <w:rPr>
          <w:rFonts w:ascii="Arial" w:cs="Arial" w:eastAsia="Arial" w:hAnsi="Arial"/>
          <w:sz w:val="18"/>
          <w:szCs w:val="18"/>
          <w:color w:val="auto"/>
        </w:rPr>
      </w:pPr>
    </w:p>
    <w:p>
      <w:pPr>
        <w:ind w:left="660" w:firstLine="1293"/>
        <w:spacing w:after="0" w:line="276" w:lineRule="auto"/>
        <w:tabs>
          <w:tab w:leader="none" w:pos="2815" w:val="left"/>
        </w:tabs>
        <w:numPr>
          <w:ilvl w:val="0"/>
          <w:numId w:val="84"/>
        </w:numPr>
        <w:rPr>
          <w:rFonts w:ascii="Arial" w:cs="Arial" w:eastAsia="Arial" w:hAnsi="Arial"/>
          <w:sz w:val="18"/>
          <w:szCs w:val="18"/>
          <w:color w:val="auto"/>
        </w:rPr>
      </w:pPr>
      <w:r>
        <w:rPr>
          <w:rFonts w:ascii="Arial" w:cs="Arial" w:eastAsia="Arial" w:hAnsi="Arial"/>
          <w:sz w:val="22"/>
          <w:szCs w:val="22"/>
          <w:color w:val="auto"/>
        </w:rPr>
        <w:t>The Administrative Agent (or its counsel) shall have received the following, each to be in form and substance reasonably satisfactory to the Administrative Agent:</w:t>
      </w:r>
    </w:p>
    <w:p>
      <w:pPr>
        <w:spacing w:after="0" w:line="201" w:lineRule="exact"/>
        <w:rPr>
          <w:rFonts w:ascii="Arial" w:cs="Arial" w:eastAsia="Arial" w:hAnsi="Arial"/>
          <w:sz w:val="18"/>
          <w:szCs w:val="18"/>
          <w:color w:val="auto"/>
        </w:rPr>
      </w:pPr>
    </w:p>
    <w:p>
      <w:pPr>
        <w:ind w:left="3420" w:hanging="819"/>
        <w:spacing w:after="0"/>
        <w:tabs>
          <w:tab w:leader="none" w:pos="3420" w:val="left"/>
        </w:tabs>
        <w:numPr>
          <w:ilvl w:val="1"/>
          <w:numId w:val="84"/>
        </w:numPr>
        <w:rPr>
          <w:rFonts w:ascii="Arial" w:cs="Arial" w:eastAsia="Arial" w:hAnsi="Arial"/>
          <w:sz w:val="18"/>
          <w:szCs w:val="18"/>
          <w:color w:val="auto"/>
        </w:rPr>
      </w:pPr>
      <w:r>
        <w:rPr>
          <w:rFonts w:ascii="Arial" w:cs="Arial" w:eastAsia="Arial" w:hAnsi="Arial"/>
          <w:sz w:val="22"/>
          <w:szCs w:val="22"/>
          <w:color w:val="auto"/>
        </w:rPr>
        <w:t>a counterpart of this Agreement signed by or on behalf of each party hereto;</w:t>
      </w:r>
    </w:p>
    <w:p>
      <w:pPr>
        <w:spacing w:after="0" w:line="273" w:lineRule="exact"/>
        <w:rPr>
          <w:rFonts w:ascii="Arial" w:cs="Arial" w:eastAsia="Arial" w:hAnsi="Arial"/>
          <w:sz w:val="18"/>
          <w:szCs w:val="18"/>
          <w:color w:val="auto"/>
        </w:rPr>
      </w:pPr>
    </w:p>
    <w:p>
      <w:pPr>
        <w:jc w:val="both"/>
        <w:ind w:left="1300" w:firstLine="1301"/>
        <w:spacing w:after="0" w:line="251" w:lineRule="auto"/>
        <w:tabs>
          <w:tab w:leader="none" w:pos="3465" w:val="left"/>
        </w:tabs>
        <w:numPr>
          <w:ilvl w:val="1"/>
          <w:numId w:val="84"/>
        </w:numPr>
        <w:rPr>
          <w:rFonts w:ascii="Arial" w:cs="Arial" w:eastAsia="Arial" w:hAnsi="Arial"/>
          <w:sz w:val="18"/>
          <w:szCs w:val="18"/>
          <w:color w:val="auto"/>
        </w:rPr>
      </w:pPr>
      <w:r>
        <w:rPr>
          <w:rFonts w:ascii="Arial" w:cs="Arial" w:eastAsia="Arial" w:hAnsi="Arial"/>
          <w:sz w:val="22"/>
          <w:szCs w:val="22"/>
          <w:color w:val="auto"/>
        </w:rPr>
        <w:t>a certificate of the Secretary or Assistant Secretary of each Loan Party, attaching and certifying copies of its bylaws, or partnership agreement or limited liability company agreement, and of the resolutions of its board of directors or other equivalent governing body, or comparable organizational documents and authorizations, authorizing the execution, delivery and performance of the Loan Documents to which it is a party and certifying the name,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75" w:right="239" w:bottom="1440" w:gutter="0" w:footer="0" w:header="0"/>
        </w:sectPr>
      </w:pPr>
    </w:p>
    <w:bookmarkStart w:id="105" w:name="page106"/>
    <w:bookmarkEnd w:id="105"/>
    <w:p>
      <w:pPr>
        <w:ind w:left="100"/>
        <w:spacing w:after="0"/>
        <w:rPr>
          <w:sz w:val="20"/>
          <w:szCs w:val="20"/>
          <w:color w:val="auto"/>
        </w:rPr>
      </w:pPr>
      <w:r>
        <w:rPr>
          <w:rFonts w:ascii="Arial" w:cs="Arial" w:eastAsia="Arial" w:hAnsi="Arial"/>
          <w:sz w:val="19"/>
          <w:szCs w:val="19"/>
          <w:color w:val="auto"/>
        </w:rPr>
        <w:t>title and true signature of each officer of such Loan Party executing the Loan Documents to which it is a party;</w:t>
      </w:r>
    </w:p>
    <w:p>
      <w:pPr>
        <w:spacing w:after="0" w:line="295" w:lineRule="exact"/>
        <w:rPr>
          <w:sz w:val="20"/>
          <w:szCs w:val="20"/>
          <w:color w:val="auto"/>
        </w:rPr>
      </w:pPr>
    </w:p>
    <w:p>
      <w:pPr>
        <w:jc w:val="both"/>
        <w:ind w:left="100" w:firstLine="1301"/>
        <w:spacing w:after="0" w:line="264" w:lineRule="auto"/>
        <w:tabs>
          <w:tab w:leader="none" w:pos="2315" w:val="left"/>
        </w:tabs>
        <w:numPr>
          <w:ilvl w:val="1"/>
          <w:numId w:val="85"/>
        </w:numPr>
        <w:rPr>
          <w:rFonts w:ascii="Arial" w:cs="Arial" w:eastAsia="Arial" w:hAnsi="Arial"/>
          <w:sz w:val="17"/>
          <w:szCs w:val="17"/>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5.16</w:t>
      </w:r>
      <w:r>
        <w:rPr>
          <w:rFonts w:ascii="Arial" w:cs="Arial" w:eastAsia="Arial" w:hAnsi="Arial"/>
          <w:sz w:val="21"/>
          <w:szCs w:val="21"/>
          <w:color w:val="auto"/>
        </w:rPr>
        <w:t>, certified copies of the articles or certificate of incorporation, certificate of organization or limited partnership, or other registered organizational documents of each Loan Party, together with certificates of good standing or existence, as may be available from the Secretary of State of the jurisdiction of organization of such Loan Party and each other jurisdiction where such Loan Party is required to be qualified to do business as a foreign corporation where the failure to be so qualified would reasonably be expected to have a Material Adverse Effect;</w:t>
      </w:r>
    </w:p>
    <w:p>
      <w:pPr>
        <w:spacing w:after="0" w:line="215" w:lineRule="exact"/>
        <w:rPr>
          <w:rFonts w:ascii="Arial" w:cs="Arial" w:eastAsia="Arial" w:hAnsi="Arial"/>
          <w:sz w:val="17"/>
          <w:szCs w:val="17"/>
          <w:color w:val="auto"/>
        </w:rPr>
      </w:pPr>
    </w:p>
    <w:p>
      <w:pPr>
        <w:jc w:val="both"/>
        <w:ind w:left="100" w:firstLine="1301"/>
        <w:spacing w:after="0" w:line="266" w:lineRule="auto"/>
        <w:tabs>
          <w:tab w:leader="none" w:pos="2304" w:val="left"/>
        </w:tabs>
        <w:numPr>
          <w:ilvl w:val="1"/>
          <w:numId w:val="85"/>
        </w:numPr>
        <w:rPr>
          <w:rFonts w:ascii="Arial" w:cs="Arial" w:eastAsia="Arial" w:hAnsi="Arial"/>
          <w:sz w:val="17"/>
          <w:szCs w:val="17"/>
          <w:color w:val="auto"/>
        </w:rPr>
      </w:pPr>
      <w:r>
        <w:rPr>
          <w:rFonts w:ascii="Arial" w:cs="Arial" w:eastAsia="Arial" w:hAnsi="Arial"/>
          <w:sz w:val="21"/>
          <w:szCs w:val="21"/>
          <w:color w:val="auto"/>
        </w:rPr>
        <w:t>a written opinion of Sheppard, Mullin, Richter &amp; Hampton LLP, counsel to the Loan Parties, and, if reasonably requested by the Administrative Agent, customary local counsel opinions with respect to the Loan Parties, addressed to the Administrative Agent, the Issuing Bank and each of the Lenders, and covering such matters relating to the Loan Parties, the Loan Documents and the transactions contemplated therein as the Administrative Agent or the Required Lenders shall reasonably request;</w:t>
      </w:r>
    </w:p>
    <w:p>
      <w:pPr>
        <w:spacing w:after="0" w:line="214" w:lineRule="exact"/>
        <w:rPr>
          <w:rFonts w:ascii="Arial" w:cs="Arial" w:eastAsia="Arial" w:hAnsi="Arial"/>
          <w:sz w:val="17"/>
          <w:szCs w:val="17"/>
          <w:color w:val="auto"/>
        </w:rPr>
      </w:pPr>
    </w:p>
    <w:p>
      <w:pPr>
        <w:jc w:val="both"/>
        <w:ind w:left="100" w:firstLine="1301"/>
        <w:spacing w:after="0" w:line="299" w:lineRule="auto"/>
        <w:tabs>
          <w:tab w:leader="none" w:pos="2254" w:val="left"/>
        </w:tabs>
        <w:numPr>
          <w:ilvl w:val="1"/>
          <w:numId w:val="85"/>
        </w:numPr>
        <w:rPr>
          <w:rFonts w:ascii="Arial" w:cs="Arial" w:eastAsia="Arial" w:hAnsi="Arial"/>
          <w:sz w:val="16"/>
          <w:szCs w:val="16"/>
          <w:color w:val="auto"/>
        </w:rPr>
      </w:pPr>
      <w:r>
        <w:rPr>
          <w:rFonts w:ascii="Arial" w:cs="Arial" w:eastAsia="Arial" w:hAnsi="Arial"/>
          <w:sz w:val="19"/>
          <w:szCs w:val="19"/>
          <w:color w:val="auto"/>
        </w:rPr>
        <w:t>a certificate dated the Closing Date and signed by a Responsible Officer, certifying that after giving effect to the funding of the initial Revolving Borrowing, (A) no Default or Event of Default exists and</w:t>
      </w:r>
    </w:p>
    <w:p>
      <w:pPr>
        <w:ind w:left="440" w:hanging="335"/>
        <w:spacing w:after="0"/>
        <w:tabs>
          <w:tab w:leader="none" w:pos="4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all representations and warranties of each Loan Party set forth in the Loan Documents are true and correct;</w:t>
      </w:r>
    </w:p>
    <w:p>
      <w:pPr>
        <w:spacing w:after="0" w:line="276" w:lineRule="exact"/>
        <w:rPr>
          <w:rFonts w:ascii="Arial" w:cs="Arial" w:eastAsia="Arial" w:hAnsi="Arial"/>
          <w:sz w:val="19"/>
          <w:szCs w:val="19"/>
          <w:color w:val="auto"/>
        </w:rPr>
      </w:pPr>
    </w:p>
    <w:p>
      <w:pPr>
        <w:ind w:left="100" w:firstLine="1301"/>
        <w:spacing w:after="0" w:line="276" w:lineRule="auto"/>
        <w:tabs>
          <w:tab w:leader="none" w:pos="2304" w:val="left"/>
        </w:tabs>
        <w:numPr>
          <w:ilvl w:val="1"/>
          <w:numId w:val="86"/>
        </w:numPr>
        <w:rPr>
          <w:rFonts w:ascii="Arial" w:cs="Arial" w:eastAsia="Arial" w:hAnsi="Arial"/>
          <w:sz w:val="18"/>
          <w:szCs w:val="18"/>
          <w:color w:val="auto"/>
        </w:rPr>
      </w:pPr>
      <w:r>
        <w:rPr>
          <w:rFonts w:ascii="Arial" w:cs="Arial" w:eastAsia="Arial" w:hAnsi="Arial"/>
          <w:sz w:val="22"/>
          <w:szCs w:val="22"/>
          <w:color w:val="auto"/>
        </w:rPr>
        <w:t>a duly executed Notice of Borrowing for any initial Revolving Borrowing, together with, if applicable, a report setting forth the sources and uses of the proceeds thereof;</w:t>
      </w:r>
    </w:p>
    <w:p>
      <w:pPr>
        <w:spacing w:after="0" w:line="201" w:lineRule="exact"/>
        <w:rPr>
          <w:rFonts w:ascii="Arial" w:cs="Arial" w:eastAsia="Arial" w:hAnsi="Arial"/>
          <w:sz w:val="18"/>
          <w:szCs w:val="18"/>
          <w:color w:val="auto"/>
        </w:rPr>
      </w:pPr>
    </w:p>
    <w:p>
      <w:pPr>
        <w:jc w:val="both"/>
        <w:ind w:left="100" w:firstLine="1301"/>
        <w:spacing w:after="0" w:line="262" w:lineRule="auto"/>
        <w:tabs>
          <w:tab w:leader="none" w:pos="2354" w:val="left"/>
        </w:tabs>
        <w:numPr>
          <w:ilvl w:val="1"/>
          <w:numId w:val="86"/>
        </w:numPr>
        <w:rPr>
          <w:rFonts w:ascii="Arial" w:cs="Arial" w:eastAsia="Arial" w:hAnsi="Arial"/>
          <w:sz w:val="17"/>
          <w:szCs w:val="17"/>
          <w:color w:val="auto"/>
        </w:rPr>
      </w:pPr>
      <w:r>
        <w:rPr>
          <w:rFonts w:ascii="Arial" w:cs="Arial" w:eastAsia="Arial" w:hAnsi="Arial"/>
          <w:sz w:val="21"/>
          <w:szCs w:val="21"/>
          <w:color w:val="auto"/>
        </w:rPr>
        <w:t>certified copies of all consents, approvals, authorizations, registrations and filings and orders required or advisable to be made or obtained under any Requirement of Law, or by any Contractual Obligation of any Loan Party in connection with the execution, delivery, performance, validity and enforceability of the Loan Documents or any of the transactions contemplated thereby, and such consents, approvals, authorizations, registrations, filings and orders shall be in full force and effect and all applicable waiting periods shall have expired, and no investigation or inquiry by any governmental authority regarding the Commitments or any transaction being financed with the proceeds thereof shall be ongoing;</w:t>
      </w:r>
    </w:p>
    <w:p>
      <w:pPr>
        <w:spacing w:after="0" w:line="220" w:lineRule="exact"/>
        <w:rPr>
          <w:rFonts w:ascii="Arial" w:cs="Arial" w:eastAsia="Arial" w:hAnsi="Arial"/>
          <w:sz w:val="17"/>
          <w:szCs w:val="17"/>
          <w:color w:val="auto"/>
        </w:rPr>
      </w:pPr>
    </w:p>
    <w:p>
      <w:pPr>
        <w:jc w:val="both"/>
        <w:ind w:left="100" w:firstLine="1301"/>
        <w:spacing w:after="0" w:line="254" w:lineRule="auto"/>
        <w:tabs>
          <w:tab w:leader="none" w:pos="2404" w:val="left"/>
        </w:tabs>
        <w:numPr>
          <w:ilvl w:val="1"/>
          <w:numId w:val="86"/>
        </w:numPr>
        <w:rPr>
          <w:rFonts w:ascii="Arial" w:cs="Arial" w:eastAsia="Arial" w:hAnsi="Arial"/>
          <w:sz w:val="18"/>
          <w:szCs w:val="18"/>
          <w:color w:val="auto"/>
        </w:rPr>
      </w:pPr>
      <w:r>
        <w:rPr>
          <w:rFonts w:ascii="Arial" w:cs="Arial" w:eastAsia="Arial" w:hAnsi="Arial"/>
          <w:sz w:val="22"/>
          <w:szCs w:val="22"/>
          <w:color w:val="auto"/>
        </w:rPr>
        <w:t>copies of (A) the internally prepared financial statements of Parent and its Subsidiaries on a consolidated basis for the Fiscal Quarter ended June 30, 2015, and (B) the audited consolidated financial statements for Parent and its Subsidiaries for the Fiscal Years ended December 31, 2012, December 31, 2013, and December 31, 2014;</w:t>
      </w:r>
    </w:p>
    <w:p>
      <w:pPr>
        <w:spacing w:after="0" w:line="225" w:lineRule="exact"/>
        <w:rPr>
          <w:rFonts w:ascii="Arial" w:cs="Arial" w:eastAsia="Arial" w:hAnsi="Arial"/>
          <w:sz w:val="18"/>
          <w:szCs w:val="18"/>
          <w:color w:val="auto"/>
        </w:rPr>
      </w:pPr>
    </w:p>
    <w:p>
      <w:pPr>
        <w:jc w:val="both"/>
        <w:ind w:left="100" w:firstLine="1301"/>
        <w:spacing w:after="0" w:line="254" w:lineRule="auto"/>
        <w:tabs>
          <w:tab w:leader="none" w:pos="2304" w:val="left"/>
        </w:tabs>
        <w:numPr>
          <w:ilvl w:val="1"/>
          <w:numId w:val="86"/>
        </w:numPr>
        <w:rPr>
          <w:rFonts w:ascii="Arial" w:cs="Arial" w:eastAsia="Arial" w:hAnsi="Arial"/>
          <w:sz w:val="18"/>
          <w:szCs w:val="18"/>
          <w:color w:val="auto"/>
        </w:rPr>
      </w:pPr>
      <w:r>
        <w:rPr>
          <w:rFonts w:ascii="Arial" w:cs="Arial" w:eastAsia="Arial" w:hAnsi="Arial"/>
          <w:sz w:val="22"/>
          <w:szCs w:val="22"/>
          <w:color w:val="auto"/>
        </w:rPr>
        <w:t>a certificate, dated the Closing Date and signed by the chief financial officer of Parent, confirming that Parent and its Subsidiaries on a consolidated basis are Solvent before and after giving effect to the funding of the initial Revolving Borrowing and the consummation of the transactions contemplated to occur on the Closing Date;</w:t>
      </w:r>
    </w:p>
    <w:p>
      <w:pPr>
        <w:spacing w:after="0" w:line="225" w:lineRule="exact"/>
        <w:rPr>
          <w:rFonts w:ascii="Arial" w:cs="Arial" w:eastAsia="Arial" w:hAnsi="Arial"/>
          <w:sz w:val="18"/>
          <w:szCs w:val="18"/>
          <w:color w:val="auto"/>
        </w:rPr>
      </w:pPr>
    </w:p>
    <w:p>
      <w:pPr>
        <w:ind w:left="2260" w:hanging="859"/>
        <w:spacing w:after="0"/>
        <w:tabs>
          <w:tab w:leader="none" w:pos="2260" w:val="left"/>
        </w:tabs>
        <w:numPr>
          <w:ilvl w:val="1"/>
          <w:numId w:val="86"/>
        </w:numPr>
        <w:rPr>
          <w:rFonts w:ascii="Arial" w:cs="Arial" w:eastAsia="Arial" w:hAnsi="Arial"/>
          <w:sz w:val="16"/>
          <w:szCs w:val="16"/>
          <w:color w:val="auto"/>
        </w:rPr>
      </w:pPr>
      <w:r>
        <w:rPr>
          <w:rFonts w:ascii="Arial" w:cs="Arial" w:eastAsia="Arial" w:hAnsi="Arial"/>
          <w:sz w:val="19"/>
          <w:szCs w:val="19"/>
          <w:color w:val="auto"/>
        </w:rPr>
        <w:t>the Guaranty and Security Agreement duly executed by each party thereto, together with</w:t>
      </w:r>
    </w:p>
    <w:p>
      <w:pPr>
        <w:spacing w:after="0" w:line="56" w:lineRule="exact"/>
        <w:rPr>
          <w:rFonts w:ascii="Arial" w:cs="Arial" w:eastAsia="Arial" w:hAnsi="Arial"/>
          <w:sz w:val="16"/>
          <w:szCs w:val="16"/>
          <w:color w:val="auto"/>
        </w:rPr>
      </w:pPr>
    </w:p>
    <w:p>
      <w:pPr>
        <w:jc w:val="both"/>
        <w:ind w:left="100" w:right="20" w:firstLine="5"/>
        <w:spacing w:after="0" w:line="251" w:lineRule="auto"/>
        <w:tabs>
          <w:tab w:leader="none" w:pos="5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UCC financing statements and other applicable documents under the laws of all necessary or appropriate jurisdictions with respect to the perfection of the Liens granted under the Collateral Documents, as requested by the Administrative Agent in order to perfect such</w:t>
      </w: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20"/>
          </w:cols>
          <w:pgMar w:left="1440" w:top="375" w:right="239" w:bottom="1440" w:gutter="0" w:footer="0" w:header="0"/>
        </w:sectPr>
      </w:pPr>
    </w:p>
    <w:bookmarkStart w:id="106" w:name="page107"/>
    <w:bookmarkEnd w:id="106"/>
    <w:p>
      <w:pPr>
        <w:jc w:val="both"/>
        <w:ind w:left="1300"/>
        <w:spacing w:after="0" w:line="245" w:lineRule="auto"/>
        <w:rPr>
          <w:sz w:val="20"/>
          <w:szCs w:val="20"/>
          <w:color w:val="auto"/>
        </w:rPr>
      </w:pPr>
      <w:r>
        <w:rPr>
          <w:rFonts w:ascii="Arial" w:cs="Arial" w:eastAsia="Arial" w:hAnsi="Arial"/>
          <w:sz w:val="22"/>
          <w:szCs w:val="22"/>
          <w:color w:val="auto"/>
        </w:rPr>
        <w:t xml:space="preserve">Liens, duly authorized by the Loan Parties, (B) copies of favorable UCC, tax, and judgment lien search reports in all necessary or appropriate jurisdictions and under all legal and trade names of the Loan Parties as requested by the Administrative Agent, indicating that there are no prior Liens on any of the Collateral other than Permitted Encumbrances and Liens to be released on the Closing Date, (C) an Information and Collateral Disclosure Certificate, duly completed and executed by the Loan Parties, (D) duly executed Patent Security Agreements, Trademark Security Agreements and Copyright Security Agreements, (E) subject to </w:t>
      </w:r>
      <w:r>
        <w:rPr>
          <w:rFonts w:ascii="Arial" w:cs="Arial" w:eastAsia="Arial" w:hAnsi="Arial"/>
          <w:sz w:val="22"/>
          <w:szCs w:val="22"/>
          <w:u w:val="single" w:color="auto"/>
          <w:color w:val="auto"/>
        </w:rPr>
        <w:t>Section 5.16</w:t>
      </w:r>
      <w:r>
        <w:rPr>
          <w:rFonts w:ascii="Arial" w:cs="Arial" w:eastAsia="Arial" w:hAnsi="Arial"/>
          <w:sz w:val="22"/>
          <w:szCs w:val="22"/>
          <w:color w:val="auto"/>
        </w:rPr>
        <w:t>, original certificates evidencing all issued and outstanding shares of Capital Stock of all Subsidiaries, owned directly by any Loan Party (or, if the pledge of all of the voting Capital Stock of any Foreign Subsidiary would result in materially adverse tax consequences, limited to 66% of the issued and outstanding voting Capital Stock of such Foreign Subsidiary and 100% of the issued and outstanding non-voting Capital Stock of such Foreign Subsidiary, as applicable) and (F) stock or membership interest powers or other appropriate instruments of transfer executed in blank;</w:t>
      </w:r>
    </w:p>
    <w:p>
      <w:pPr>
        <w:spacing w:after="0" w:line="237" w:lineRule="exact"/>
        <w:rPr>
          <w:sz w:val="20"/>
          <w:szCs w:val="20"/>
          <w:color w:val="auto"/>
        </w:rPr>
      </w:pPr>
    </w:p>
    <w:p>
      <w:pPr>
        <w:ind w:left="1300" w:right="20" w:firstLine="1301"/>
        <w:spacing w:after="0" w:line="276" w:lineRule="auto"/>
        <w:tabs>
          <w:tab w:leader="none" w:pos="3504" w:val="left"/>
        </w:tabs>
        <w:numPr>
          <w:ilvl w:val="0"/>
          <w:numId w:val="88"/>
        </w:numPr>
        <w:rPr>
          <w:rFonts w:ascii="Arial" w:cs="Arial" w:eastAsia="Arial" w:hAnsi="Arial"/>
          <w:sz w:val="18"/>
          <w:szCs w:val="18"/>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5.16</w:t>
      </w:r>
      <w:r>
        <w:rPr>
          <w:rFonts w:ascii="Arial" w:cs="Arial" w:eastAsia="Arial" w:hAnsi="Arial"/>
          <w:sz w:val="22"/>
          <w:szCs w:val="22"/>
          <w:color w:val="auto"/>
        </w:rPr>
        <w:t>, Account Control Agreements, duly executed by each Permitted Third Party Bank and the applicable Loan Party;</w:t>
      </w:r>
    </w:p>
    <w:p>
      <w:pPr>
        <w:spacing w:after="0" w:line="201" w:lineRule="exact"/>
        <w:rPr>
          <w:rFonts w:ascii="Arial" w:cs="Arial" w:eastAsia="Arial" w:hAnsi="Arial"/>
          <w:sz w:val="18"/>
          <w:szCs w:val="18"/>
          <w:color w:val="auto"/>
        </w:rPr>
      </w:pPr>
    </w:p>
    <w:p>
      <w:pPr>
        <w:jc w:val="both"/>
        <w:ind w:left="1300" w:firstLine="1301"/>
        <w:spacing w:after="0" w:line="254" w:lineRule="auto"/>
        <w:tabs>
          <w:tab w:leader="none" w:pos="3554" w:val="left"/>
        </w:tabs>
        <w:numPr>
          <w:ilvl w:val="0"/>
          <w:numId w:val="88"/>
        </w:numPr>
        <w:rPr>
          <w:rFonts w:ascii="Arial" w:cs="Arial" w:eastAsia="Arial" w:hAnsi="Arial"/>
          <w:sz w:val="18"/>
          <w:szCs w:val="18"/>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5.16</w:t>
      </w:r>
      <w:r>
        <w:rPr>
          <w:rFonts w:ascii="Arial" w:cs="Arial" w:eastAsia="Arial" w:hAnsi="Arial"/>
          <w:sz w:val="22"/>
          <w:szCs w:val="22"/>
          <w:color w:val="auto"/>
        </w:rPr>
        <w:t xml:space="preserve">, a Collateral Access Agreement from the landlord of the Borrower’s headquarters location at 11115 Rushmore Drive, Charlotte, NC 28277;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Borrower is unable to deliver such Collateral Access Agreement after using its commercially reasonable efforts to do so, the Administrative Agent shall waive the foregoing requirement;</w:t>
      </w:r>
    </w:p>
    <w:p>
      <w:pPr>
        <w:spacing w:after="0" w:line="225" w:lineRule="exact"/>
        <w:rPr>
          <w:rFonts w:ascii="Arial" w:cs="Arial" w:eastAsia="Arial" w:hAnsi="Arial"/>
          <w:sz w:val="18"/>
          <w:szCs w:val="18"/>
          <w:color w:val="auto"/>
        </w:rPr>
      </w:pPr>
    </w:p>
    <w:p>
      <w:pPr>
        <w:jc w:val="both"/>
        <w:ind w:left="1300" w:firstLine="1301"/>
        <w:spacing w:after="0" w:line="251" w:lineRule="auto"/>
        <w:tabs>
          <w:tab w:leader="none" w:pos="3604" w:val="left"/>
        </w:tabs>
        <w:numPr>
          <w:ilvl w:val="0"/>
          <w:numId w:val="88"/>
        </w:numPr>
        <w:rPr>
          <w:rFonts w:ascii="Arial" w:cs="Arial" w:eastAsia="Arial" w:hAnsi="Arial"/>
          <w:sz w:val="18"/>
          <w:szCs w:val="18"/>
          <w:color w:val="auto"/>
        </w:rPr>
      </w:pPr>
      <w:r>
        <w:rPr>
          <w:rFonts w:ascii="Arial" w:cs="Arial" w:eastAsia="Arial" w:hAnsi="Arial"/>
          <w:sz w:val="22"/>
          <w:szCs w:val="22"/>
          <w:color w:val="auto"/>
        </w:rPr>
        <w:t>certificates of insurance, in form and detail reasonably acceptable to the Administrative Agent, describing the types and amounts of insurance (property and liability) maintained by any of the Loan Parties, in each case naming the Administrative Agent as loss payee or additional insured, as the case may be, together with a lender’s loss payable endorsement and additional insured endorsement in form and substance reasonably satisfactory to the Administrative Agent;</w:t>
      </w:r>
    </w:p>
    <w:p>
      <w:pPr>
        <w:spacing w:after="0" w:line="230" w:lineRule="exact"/>
        <w:rPr>
          <w:rFonts w:ascii="Arial" w:cs="Arial" w:eastAsia="Arial" w:hAnsi="Arial"/>
          <w:sz w:val="18"/>
          <w:szCs w:val="18"/>
          <w:color w:val="auto"/>
        </w:rPr>
      </w:pPr>
    </w:p>
    <w:p>
      <w:pPr>
        <w:jc w:val="both"/>
        <w:ind w:left="1300" w:firstLine="1301"/>
        <w:spacing w:after="0" w:line="270" w:lineRule="auto"/>
        <w:tabs>
          <w:tab w:leader="none" w:pos="3595" w:val="left"/>
        </w:tabs>
        <w:numPr>
          <w:ilvl w:val="0"/>
          <w:numId w:val="88"/>
        </w:numPr>
        <w:rPr>
          <w:rFonts w:ascii="Arial" w:cs="Arial" w:eastAsia="Arial" w:hAnsi="Arial"/>
          <w:sz w:val="17"/>
          <w:szCs w:val="17"/>
          <w:color w:val="auto"/>
        </w:rPr>
      </w:pPr>
      <w:r>
        <w:rPr>
          <w:rFonts w:ascii="Arial" w:cs="Arial" w:eastAsia="Arial" w:hAnsi="Arial"/>
          <w:sz w:val="21"/>
          <w:szCs w:val="21"/>
          <w:color w:val="auto"/>
        </w:rPr>
        <w:t>documentation and information required by regulatory authorities under applicable “know your customer” and anti-money laundering rules and regulations, including the Patriot Act, at least five (5) Business Days prior to the Closing Date to the extent that such documentation and information was requested by Administrative Agent at least ten (10) Business Days prior to the Closing Date; and</w:t>
      </w:r>
    </w:p>
    <w:p>
      <w:pPr>
        <w:spacing w:after="0" w:line="209" w:lineRule="exact"/>
        <w:rPr>
          <w:rFonts w:ascii="Arial" w:cs="Arial" w:eastAsia="Arial" w:hAnsi="Arial"/>
          <w:sz w:val="17"/>
          <w:szCs w:val="17"/>
          <w:color w:val="auto"/>
        </w:rPr>
      </w:pPr>
    </w:p>
    <w:p>
      <w:pPr>
        <w:ind w:left="1300" w:right="20" w:firstLine="1301"/>
        <w:spacing w:after="0" w:line="276" w:lineRule="auto"/>
        <w:tabs>
          <w:tab w:leader="none" w:pos="3545" w:val="left"/>
        </w:tabs>
        <w:numPr>
          <w:ilvl w:val="0"/>
          <w:numId w:val="88"/>
        </w:numPr>
        <w:rPr>
          <w:rFonts w:ascii="Arial" w:cs="Arial" w:eastAsia="Arial" w:hAnsi="Arial"/>
          <w:sz w:val="18"/>
          <w:szCs w:val="18"/>
          <w:color w:val="auto"/>
        </w:rPr>
      </w:pPr>
      <w:r>
        <w:rPr>
          <w:rFonts w:ascii="Arial" w:cs="Arial" w:eastAsia="Arial" w:hAnsi="Arial"/>
          <w:sz w:val="22"/>
          <w:szCs w:val="22"/>
          <w:color w:val="auto"/>
        </w:rPr>
        <w:t>all certificates and other documentation required by Section 2.20 to be delivered by each Lender as of the Closing Date;</w:t>
      </w:r>
    </w:p>
    <w:p>
      <w:pPr>
        <w:spacing w:after="0" w:line="201" w:lineRule="exact"/>
        <w:rPr>
          <w:sz w:val="20"/>
          <w:szCs w:val="20"/>
          <w:color w:val="auto"/>
        </w:rPr>
      </w:pPr>
    </w:p>
    <w:p>
      <w:pPr>
        <w:ind w:left="660" w:firstLine="1293"/>
        <w:spacing w:after="0" w:line="276" w:lineRule="auto"/>
        <w:tabs>
          <w:tab w:leader="none" w:pos="2804" w:val="left"/>
        </w:tabs>
        <w:numPr>
          <w:ilvl w:val="0"/>
          <w:numId w:val="89"/>
        </w:numPr>
        <w:rPr>
          <w:rFonts w:ascii="Arial" w:cs="Arial" w:eastAsia="Arial" w:hAnsi="Arial"/>
          <w:sz w:val="18"/>
          <w:szCs w:val="18"/>
          <w:color w:val="auto"/>
        </w:rPr>
      </w:pPr>
      <w:r>
        <w:rPr>
          <w:rFonts w:ascii="Arial" w:cs="Arial" w:eastAsia="Arial" w:hAnsi="Arial"/>
          <w:sz w:val="22"/>
          <w:szCs w:val="22"/>
          <w:color w:val="auto"/>
        </w:rPr>
        <w:t>The Lenders shall have completed, to their satisfaction, all business, financial, collateral, regulatory and legal due diligence with respect to the Loan Parties and the Subsidiaries.</w:t>
      </w:r>
    </w:p>
    <w:p>
      <w:pPr>
        <w:spacing w:after="0" w:line="20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Without limiting the generality of the provisions of this Section, for purposes of determining compliance with the conditions specified in this Section, each Lender that has signed this Credit Agreement shall be deemed to have consented to, approved of, accepted or been satisfied with each document or other matter required thereunder to be consented to, approved by or acceptable or satisfactory to a Lender unless the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75" w:right="239" w:bottom="1440" w:gutter="0" w:footer="0" w:header="0"/>
        </w:sectPr>
      </w:pPr>
    </w:p>
    <w:bookmarkStart w:id="107" w:name="page108"/>
    <w:bookmarkEnd w:id="107"/>
    <w:p>
      <w:pPr>
        <w:jc w:val="both"/>
        <w:ind w:left="660" w:firstLine="648"/>
        <w:spacing w:after="0" w:line="256" w:lineRule="auto"/>
        <w:rPr>
          <w:sz w:val="20"/>
          <w:szCs w:val="20"/>
          <w:color w:val="auto"/>
        </w:rPr>
      </w:pPr>
      <w:r>
        <w:rPr>
          <w:rFonts w:ascii="Arial" w:cs="Arial" w:eastAsia="Arial" w:hAnsi="Arial"/>
          <w:sz w:val="22"/>
          <w:szCs w:val="22"/>
          <w:b w:val="1"/>
          <w:bCs w:val="1"/>
          <w:color w:val="auto"/>
        </w:rPr>
        <w:t xml:space="preserve">Section 3.2 </w:t>
      </w:r>
      <w:r>
        <w:rPr>
          <w:rFonts w:ascii="Arial" w:cs="Arial" w:eastAsia="Arial" w:hAnsi="Arial"/>
          <w:sz w:val="22"/>
          <w:szCs w:val="22"/>
          <w:b w:val="1"/>
          <w:bCs w:val="1"/>
          <w:u w:val="single" w:color="auto"/>
          <w:color w:val="auto"/>
        </w:rPr>
        <w:t>Conditions to Each Credit Event</w:t>
      </w:r>
      <w:r>
        <w:rPr>
          <w:rFonts w:ascii="Arial" w:cs="Arial" w:eastAsia="Arial" w:hAnsi="Arial"/>
          <w:sz w:val="22"/>
          <w:szCs w:val="22"/>
          <w:color w:val="auto"/>
        </w:rPr>
        <w:t>. The obligation of each Lender to make a Loan on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occasion of any Borrowing and of the Issuing Bank to issue, amend, renew or extend any Letter of Credit is subject to </w:t>
      </w:r>
      <w:r>
        <w:rPr>
          <w:rFonts w:ascii="Arial" w:cs="Arial" w:eastAsia="Arial" w:hAnsi="Arial"/>
          <w:sz w:val="22"/>
          <w:szCs w:val="22"/>
          <w:u w:val="single" w:color="auto"/>
          <w:color w:val="auto"/>
        </w:rPr>
        <w:t>Section 2.26(c)</w:t>
      </w:r>
      <w:r>
        <w:rPr>
          <w:rFonts w:ascii="Arial" w:cs="Arial" w:eastAsia="Arial" w:hAnsi="Arial"/>
          <w:sz w:val="22"/>
          <w:szCs w:val="22"/>
          <w:color w:val="auto"/>
        </w:rPr>
        <w:t xml:space="preserve"> and the satisfaction of the following conditions:</w:t>
      </w:r>
    </w:p>
    <w:p>
      <w:pPr>
        <w:spacing w:after="0" w:line="223" w:lineRule="exact"/>
        <w:rPr>
          <w:sz w:val="20"/>
          <w:szCs w:val="20"/>
          <w:color w:val="auto"/>
        </w:rPr>
      </w:pPr>
    </w:p>
    <w:p>
      <w:pPr>
        <w:ind w:left="660" w:firstLine="1293"/>
        <w:spacing w:after="0" w:line="301" w:lineRule="auto"/>
        <w:tabs>
          <w:tab w:leader="none" w:pos="2804" w:val="left"/>
        </w:tabs>
        <w:numPr>
          <w:ilvl w:val="0"/>
          <w:numId w:val="90"/>
        </w:numPr>
        <w:rPr>
          <w:rFonts w:ascii="Arial" w:cs="Arial" w:eastAsia="Arial" w:hAnsi="Arial"/>
          <w:sz w:val="17"/>
          <w:szCs w:val="17"/>
          <w:color w:val="auto"/>
        </w:rPr>
      </w:pPr>
      <w:r>
        <w:rPr>
          <w:rFonts w:ascii="Arial" w:cs="Arial" w:eastAsia="Arial" w:hAnsi="Arial"/>
          <w:sz w:val="21"/>
          <w:szCs w:val="21"/>
          <w:color w:val="auto"/>
        </w:rPr>
        <w:t>at the time of and immediately after giving effect to such Borrowing or the issuance, amendment, renewal or extension of such Letter of Credit, as applicable, no Default or Event of Default shall exist;</w:t>
      </w:r>
    </w:p>
    <w:p>
      <w:pPr>
        <w:spacing w:after="0" w:line="177" w:lineRule="exact"/>
        <w:rPr>
          <w:rFonts w:ascii="Arial" w:cs="Arial" w:eastAsia="Arial" w:hAnsi="Arial"/>
          <w:sz w:val="17"/>
          <w:szCs w:val="17"/>
          <w:color w:val="auto"/>
        </w:rPr>
      </w:pPr>
    </w:p>
    <w:p>
      <w:pPr>
        <w:jc w:val="both"/>
        <w:ind w:left="660" w:firstLine="1293"/>
        <w:spacing w:after="0" w:line="251" w:lineRule="auto"/>
        <w:tabs>
          <w:tab w:leader="none" w:pos="2815" w:val="left"/>
        </w:tabs>
        <w:numPr>
          <w:ilvl w:val="0"/>
          <w:numId w:val="90"/>
        </w:numPr>
        <w:rPr>
          <w:rFonts w:ascii="Arial" w:cs="Arial" w:eastAsia="Arial" w:hAnsi="Arial"/>
          <w:sz w:val="18"/>
          <w:szCs w:val="18"/>
          <w:color w:val="auto"/>
        </w:rPr>
      </w:pPr>
      <w:r>
        <w:rPr>
          <w:rFonts w:ascii="Arial" w:cs="Arial" w:eastAsia="Arial" w:hAnsi="Arial"/>
          <w:sz w:val="22"/>
          <w:szCs w:val="22"/>
          <w:color w:val="auto"/>
        </w:rPr>
        <w:t>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and</w:t>
      </w:r>
    </w:p>
    <w:p>
      <w:pPr>
        <w:spacing w:after="0" w:line="230" w:lineRule="exact"/>
        <w:rPr>
          <w:rFonts w:ascii="Arial" w:cs="Arial" w:eastAsia="Arial" w:hAnsi="Arial"/>
          <w:sz w:val="18"/>
          <w:szCs w:val="18"/>
          <w:color w:val="auto"/>
        </w:rPr>
      </w:pPr>
    </w:p>
    <w:p>
      <w:pPr>
        <w:ind w:left="2800" w:hanging="847"/>
        <w:spacing w:after="0"/>
        <w:tabs>
          <w:tab w:leader="none" w:pos="2800" w:val="left"/>
        </w:tabs>
        <w:numPr>
          <w:ilvl w:val="0"/>
          <w:numId w:val="90"/>
        </w:numPr>
        <w:rPr>
          <w:rFonts w:ascii="Arial" w:cs="Arial" w:eastAsia="Arial" w:hAnsi="Arial"/>
          <w:sz w:val="18"/>
          <w:szCs w:val="18"/>
          <w:color w:val="auto"/>
        </w:rPr>
      </w:pPr>
      <w:r>
        <w:rPr>
          <w:rFonts w:ascii="Arial" w:cs="Arial" w:eastAsia="Arial" w:hAnsi="Arial"/>
          <w:sz w:val="22"/>
          <w:szCs w:val="22"/>
          <w:color w:val="auto"/>
        </w:rPr>
        <w:t>the Borrower shall have delivered the required Notice of Borrowing.</w:t>
      </w:r>
    </w:p>
    <w:p>
      <w:pPr>
        <w:spacing w:after="0" w:line="2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Each Borrowing and each issuance, amendment, renewal or extension of any Letter of Credit shall be deemed to constitute a representation and warranty by the Borrower on the date thereof as to the matters specified in subsections (a) and (b) of this Section.</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3.3 </w:t>
      </w:r>
      <w:r>
        <w:rPr>
          <w:rFonts w:ascii="Arial" w:cs="Arial" w:eastAsia="Arial" w:hAnsi="Arial"/>
          <w:sz w:val="22"/>
          <w:szCs w:val="22"/>
          <w:b w:val="1"/>
          <w:bCs w:val="1"/>
          <w:u w:val="single" w:color="auto"/>
          <w:color w:val="auto"/>
        </w:rPr>
        <w:t>Delivery of Documents</w:t>
      </w:r>
      <w:r>
        <w:rPr>
          <w:rFonts w:ascii="Arial" w:cs="Arial" w:eastAsia="Arial" w:hAnsi="Arial"/>
          <w:sz w:val="22"/>
          <w:szCs w:val="22"/>
          <w:color w:val="auto"/>
        </w:rPr>
        <w:t>. All of the Loan Documents, certificates, legal opinions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and papers referred to in this Article, unless otherwise specified, shall be delivered to the Administrative Agent for the account of each of the Lenders and in sufficient counterparts or copies for each of the Lenders and shall be in form and substance reasonably satisfactory in all respects to the Administrative Agent.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Parent and the Borrower represent and warrant to the Administrative Agent, each Lender and the Issuing Bank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4.1 </w:t>
      </w:r>
      <w:r>
        <w:rPr>
          <w:rFonts w:ascii="Arial" w:cs="Arial" w:eastAsia="Arial" w:hAnsi="Arial"/>
          <w:sz w:val="21"/>
          <w:szCs w:val="21"/>
          <w:b w:val="1"/>
          <w:bCs w:val="1"/>
          <w:u w:val="single" w:color="auto"/>
          <w:color w:val="auto"/>
        </w:rPr>
        <w:t>Existence; Power</w:t>
      </w:r>
      <w:r>
        <w:rPr>
          <w:rFonts w:ascii="Arial" w:cs="Arial" w:eastAsia="Arial" w:hAnsi="Arial"/>
          <w:sz w:val="21"/>
          <w:szCs w:val="21"/>
          <w:color w:val="auto"/>
        </w:rPr>
        <w:t>. Each of Parent, the Borrower and each of their respective Subsidiaries (i) is</w:t>
      </w:r>
      <w:r>
        <w:rPr>
          <w:rFonts w:ascii="Arial" w:cs="Arial" w:eastAsia="Arial" w:hAnsi="Arial"/>
          <w:sz w:val="21"/>
          <w:szCs w:val="21"/>
          <w:b w:val="1"/>
          <w:bCs w:val="1"/>
          <w:color w:val="auto"/>
        </w:rPr>
        <w:t xml:space="preserve"> </w:t>
      </w:r>
      <w:r>
        <w:rPr>
          <w:rFonts w:ascii="Arial" w:cs="Arial" w:eastAsia="Arial" w:hAnsi="Arial"/>
          <w:sz w:val="21"/>
          <w:szCs w:val="21"/>
          <w:color w:val="auto"/>
        </w:rPr>
        <w:t>duly organized, validly existing and in good standing as a corporation, partnership or limited liability company under the laws of the jurisdiction of its organization, (ii) has all requisite power and authority to carry on its business as now conducted, and (iii) is duly qualified to do business, and is in good standing, in each jurisdiction where such qualification is required, except where a failure to be so qualified would not reasonably be expected to result in a Material Adverse Effect.</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4.2 </w:t>
      </w:r>
      <w:r>
        <w:rPr>
          <w:rFonts w:ascii="Arial" w:cs="Arial" w:eastAsia="Arial" w:hAnsi="Arial"/>
          <w:sz w:val="21"/>
          <w:szCs w:val="21"/>
          <w:b w:val="1"/>
          <w:bCs w:val="1"/>
          <w:u w:val="single" w:color="auto"/>
          <w:color w:val="auto"/>
        </w:rPr>
        <w:t>Organizational Power; Authorization</w:t>
      </w:r>
      <w:r>
        <w:rPr>
          <w:rFonts w:ascii="Arial" w:cs="Arial" w:eastAsia="Arial" w:hAnsi="Arial"/>
          <w:sz w:val="21"/>
          <w:szCs w:val="21"/>
          <w:color w:val="auto"/>
        </w:rPr>
        <w:t>. The execution, delivery and performance by each Loan</w:t>
      </w:r>
      <w:r>
        <w:rPr>
          <w:rFonts w:ascii="Arial" w:cs="Arial" w:eastAsia="Arial" w:hAnsi="Arial"/>
          <w:sz w:val="21"/>
          <w:szCs w:val="21"/>
          <w:b w:val="1"/>
          <w:bCs w:val="1"/>
          <w:color w:val="auto"/>
        </w:rPr>
        <w:t xml:space="preserve"> </w:t>
      </w:r>
      <w:r>
        <w:rPr>
          <w:rFonts w:ascii="Arial" w:cs="Arial" w:eastAsia="Arial" w:hAnsi="Arial"/>
          <w:sz w:val="21"/>
          <w:szCs w:val="21"/>
          <w:color w:val="auto"/>
        </w:rPr>
        <w:t>Party of the Loan Documents to which it is a party are within such Loan Party’s organizational powers and have been duly authorized by all necessary organizational and, if required, shareholder, partner or member action. This Agreement has been duly executed and delivered by Parent and the Borrower and constitutes, and each other Loan Document to which any Loan Party is a party, when executed and delivered by such Loan Party, will constitute, valid and binding obligations of Parent, the Borrower 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9" w:right="239" w:bottom="1440" w:gutter="0" w:footer="0" w:header="0"/>
        </w:sectPr>
      </w:pPr>
    </w:p>
    <w:bookmarkStart w:id="108" w:name="page109"/>
    <w:bookmarkEnd w:id="108"/>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4.3 </w:t>
      </w:r>
      <w:r>
        <w:rPr>
          <w:rFonts w:ascii="Arial" w:cs="Arial" w:eastAsia="Arial" w:hAnsi="Arial"/>
          <w:sz w:val="19"/>
          <w:szCs w:val="19"/>
          <w:b w:val="1"/>
          <w:bCs w:val="1"/>
          <w:u w:val="single" w:color="auto"/>
          <w:color w:val="auto"/>
        </w:rPr>
        <w:t>Governmental Approvals; No Conflicts</w:t>
      </w:r>
      <w:r>
        <w:rPr>
          <w:rFonts w:ascii="Arial" w:cs="Arial" w:eastAsia="Arial" w:hAnsi="Arial"/>
          <w:sz w:val="19"/>
          <w:szCs w:val="19"/>
          <w:color w:val="auto"/>
        </w:rPr>
        <w:t>. The execution, delivery and performance by each</w:t>
      </w:r>
      <w:r>
        <w:rPr>
          <w:rFonts w:ascii="Arial" w:cs="Arial" w:eastAsia="Arial" w:hAnsi="Arial"/>
          <w:sz w:val="19"/>
          <w:szCs w:val="19"/>
          <w:b w:val="1"/>
          <w:bCs w:val="1"/>
          <w:color w:val="auto"/>
        </w:rPr>
        <w:t xml:space="preserve"> </w:t>
      </w:r>
      <w:r>
        <w:rPr>
          <w:rFonts w:ascii="Arial" w:cs="Arial" w:eastAsia="Arial" w:hAnsi="Arial"/>
          <w:sz w:val="19"/>
          <w:szCs w:val="19"/>
          <w:color w:val="auto"/>
        </w:rPr>
        <w:t>Loan Party of the Loan Documents to which it is a party (a) do not require any consent or approval of, registration or filing with, or any action by, any Governmental Authority or any Person with respect to which any Loan Party or any of its Subsidiaries has any Contractual Obligation, except those as have been obtained or made and are in full force and effect and except for filings necessary to perfect or maintain perfection of the Liens created under the Loan Documents, (b) will not violate any Requirement of Law applicable to Parent, the Borrower or any of their respective Subsidiaries or any judgment, order or ruling of any Governmental Authority, (c) will not violate or result in a default under any Contractual Obligation of Parent, the Borrower or any of their respective Subsidiaries or any of their assets or give rise to a right thereunder to require any payment to be made by Parent, the Borrower or any of their respective Subsidiaries and (d) will not result in the creation or imposition of any Lien on any asset of Parent, the Borrower or any of their respective Subsidiaries, except Liens (if any) created under the Loan Documents.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4.4 </w:t>
      </w:r>
      <w:r>
        <w:rPr>
          <w:rFonts w:ascii="Arial" w:cs="Arial" w:eastAsia="Arial" w:hAnsi="Arial"/>
          <w:sz w:val="19"/>
          <w:szCs w:val="19"/>
          <w:b w:val="1"/>
          <w:bCs w:val="1"/>
          <w:u w:val="single" w:color="auto"/>
          <w:color w:val="auto"/>
        </w:rPr>
        <w:t>Financial Statements</w:t>
      </w:r>
      <w:r>
        <w:rPr>
          <w:rFonts w:ascii="Arial" w:cs="Arial" w:eastAsia="Arial" w:hAnsi="Arial"/>
          <w:sz w:val="19"/>
          <w:szCs w:val="19"/>
          <w:color w:val="auto"/>
        </w:rPr>
        <w:t>. The Borrower has furnished to each Lender (i) the audited consolidated</w:t>
      </w:r>
      <w:r>
        <w:rPr>
          <w:rFonts w:ascii="Arial" w:cs="Arial" w:eastAsia="Arial" w:hAnsi="Arial"/>
          <w:sz w:val="19"/>
          <w:szCs w:val="19"/>
          <w:b w:val="1"/>
          <w:bCs w:val="1"/>
          <w:color w:val="auto"/>
        </w:rPr>
        <w:t xml:space="preserve"> </w:t>
      </w:r>
      <w:r>
        <w:rPr>
          <w:rFonts w:ascii="Arial" w:cs="Arial" w:eastAsia="Arial" w:hAnsi="Arial"/>
          <w:sz w:val="19"/>
          <w:szCs w:val="19"/>
          <w:color w:val="auto"/>
        </w:rPr>
        <w:t>balance sheet of Parent and its Subsidiaries as of December 31, 2014, and the related audited consolidated statements of income, shareholders’ equity and cash flows for the Fiscal Year then ended, prepared by PricewaterhouseCoopers LLP and (ii) the unaudited consolidated balance sheet of the Parent and its Subsidiaries as of June 30, 2015, and the related unaudited consolidated statements of income and cash flows for the Fiscal Quarter and year to date period then ended, certified by a Responsible Officer. Such financial statements fairly present the consolidated financial condition of Parent and its Subsidiaries as of such dates and the consolidated results of operations for such periods in conformity with GAAP consistently applied, subject to year-end audit adjustments and the absence of footnotes in the case of the statements referred to in clause (ii). Since December 31, 2014, there have been no changes with respect to Parent and its Subsidiaries which have had or would reasonably be expected to have, either individually or in the aggregate, a Material Adverse Effect.</w:t>
      </w:r>
    </w:p>
    <w:p>
      <w:pPr>
        <w:spacing w:after="0" w:line="192"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4.5</w:t>
      </w:r>
      <w:r>
        <w:rPr>
          <w:sz w:val="20"/>
          <w:szCs w:val="20"/>
          <w:color w:val="auto"/>
        </w:rPr>
        <w:tab/>
      </w:r>
      <w:r>
        <w:rPr>
          <w:rFonts w:ascii="Arial" w:cs="Arial" w:eastAsia="Arial" w:hAnsi="Arial"/>
          <w:sz w:val="19"/>
          <w:szCs w:val="19"/>
          <w:b w:val="1"/>
          <w:bCs w:val="1"/>
          <w:u w:val="single" w:color="auto"/>
          <w:color w:val="auto"/>
        </w:rPr>
        <w:t>Litigation and Environmental Matters</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51" w:lineRule="auto"/>
        <w:tabs>
          <w:tab w:leader="none" w:pos="2804" w:val="left"/>
        </w:tabs>
        <w:numPr>
          <w:ilvl w:val="0"/>
          <w:numId w:val="91"/>
        </w:numPr>
        <w:rPr>
          <w:rFonts w:ascii="Arial" w:cs="Arial" w:eastAsia="Arial" w:hAnsi="Arial"/>
          <w:sz w:val="18"/>
          <w:szCs w:val="18"/>
          <w:color w:val="auto"/>
        </w:rPr>
      </w:pPr>
      <w:r>
        <w:rPr>
          <w:rFonts w:ascii="Arial" w:cs="Arial" w:eastAsia="Arial" w:hAnsi="Arial"/>
          <w:sz w:val="22"/>
          <w:szCs w:val="22"/>
          <w:color w:val="auto"/>
        </w:rPr>
        <w:t>No litigation, investigation or proceeding of or before any arbitra-tors or Governmental Authorities is pending against or, to the knowledge of Parent or the Borrower, threatened against or affecting Parent, the Borrower or any of their respective Subsidiaries (i) that would reasonably be expected to have, either individually or in the aggregate, a Material Adverse Effect or (ii) which in any manner draws into question the validity or enforceability of this Agreement or any other Loan Document.</w:t>
      </w:r>
    </w:p>
    <w:p>
      <w:pPr>
        <w:spacing w:after="0" w:line="230" w:lineRule="exact"/>
        <w:rPr>
          <w:rFonts w:ascii="Arial" w:cs="Arial" w:eastAsia="Arial" w:hAnsi="Arial"/>
          <w:sz w:val="18"/>
          <w:szCs w:val="18"/>
          <w:color w:val="auto"/>
        </w:rPr>
      </w:pPr>
    </w:p>
    <w:p>
      <w:pPr>
        <w:jc w:val="both"/>
        <w:ind w:left="660" w:firstLine="1293"/>
        <w:spacing w:after="0" w:line="300" w:lineRule="auto"/>
        <w:tabs>
          <w:tab w:leader="none" w:pos="2815" w:val="left"/>
        </w:tabs>
        <w:numPr>
          <w:ilvl w:val="0"/>
          <w:numId w:val="91"/>
        </w:numPr>
        <w:rPr>
          <w:rFonts w:ascii="Arial" w:cs="Arial" w:eastAsia="Arial" w:hAnsi="Arial"/>
          <w:sz w:val="16"/>
          <w:szCs w:val="16"/>
          <w:color w:val="auto"/>
        </w:rPr>
      </w:pPr>
      <w:r>
        <w:rPr>
          <w:rFonts w:ascii="Arial" w:cs="Arial" w:eastAsia="Arial" w:hAnsi="Arial"/>
          <w:sz w:val="19"/>
          <w:szCs w:val="19"/>
          <w:color w:val="auto"/>
        </w:rPr>
        <w:t xml:space="preserve">Except for the matters set forth on </w:t>
      </w:r>
      <w:r>
        <w:rPr>
          <w:rFonts w:ascii="Arial" w:cs="Arial" w:eastAsia="Arial" w:hAnsi="Arial"/>
          <w:sz w:val="19"/>
          <w:szCs w:val="19"/>
          <w:u w:val="single" w:color="auto"/>
          <w:color w:val="auto"/>
        </w:rPr>
        <w:t>Schedule 4.5</w:t>
      </w:r>
      <w:r>
        <w:rPr>
          <w:rFonts w:ascii="Arial" w:cs="Arial" w:eastAsia="Arial" w:hAnsi="Arial"/>
          <w:sz w:val="19"/>
          <w:szCs w:val="19"/>
          <w:color w:val="auto"/>
        </w:rPr>
        <w:t>, none of Parent, the Borrower nor any of their respective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in each case, which would reasonably be expected to result in a Material Adverse Effect.</w:t>
      </w:r>
    </w:p>
    <w:p>
      <w:pPr>
        <w:spacing w:after="0" w:line="18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4.6 </w:t>
      </w:r>
      <w:r>
        <w:rPr>
          <w:rFonts w:ascii="Arial" w:cs="Arial" w:eastAsia="Arial" w:hAnsi="Arial"/>
          <w:sz w:val="22"/>
          <w:szCs w:val="22"/>
          <w:b w:val="1"/>
          <w:bCs w:val="1"/>
          <w:u w:val="single" w:color="auto"/>
          <w:color w:val="auto"/>
        </w:rPr>
        <w:t>Compliance with Laws and Agreements</w:t>
      </w:r>
      <w:r>
        <w:rPr>
          <w:rFonts w:ascii="Arial" w:cs="Arial" w:eastAsia="Arial" w:hAnsi="Arial"/>
          <w:sz w:val="22"/>
          <w:szCs w:val="22"/>
          <w:color w:val="auto"/>
        </w:rPr>
        <w:t>. Each of Parent, the Borrower and each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Subsidiaries is in compliance with (a) all Requirements of Law and all judgments, decrees and orders of any Governmental Authority and (b) all indentures, agreements, instruments or other Contractual Obligations binding upon it or its properties, except where non-compliance, either individually or in the aggregate, would not reasonably be expected to result in a Material Adverse Effect.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25" w:right="239" w:bottom="1440" w:gutter="0" w:footer="0" w:header="0"/>
        </w:sectPr>
      </w:pPr>
    </w:p>
    <w:bookmarkStart w:id="109" w:name="page110"/>
    <w:bookmarkEnd w:id="109"/>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4.7</w:t>
      </w:r>
      <w:r>
        <w:rPr>
          <w:sz w:val="20"/>
          <w:szCs w:val="20"/>
          <w:color w:val="auto"/>
        </w:rPr>
        <w:tab/>
      </w:r>
      <w:r>
        <w:rPr>
          <w:rFonts w:ascii="Arial" w:cs="Arial" w:eastAsia="Arial" w:hAnsi="Arial"/>
          <w:sz w:val="19"/>
          <w:szCs w:val="19"/>
          <w:b w:val="1"/>
          <w:bCs w:val="1"/>
          <w:u w:val="single" w:color="auto"/>
          <w:color w:val="auto"/>
        </w:rPr>
        <w:t>Investment Company Act; Other Regulatory Schemes</w:t>
      </w:r>
      <w:r>
        <w:rPr>
          <w:rFonts w:ascii="Arial" w:cs="Arial" w:eastAsia="Arial" w:hAnsi="Arial"/>
          <w:sz w:val="19"/>
          <w:szCs w:val="19"/>
          <w:color w:val="auto"/>
        </w:rPr>
        <w:t>. None of Parent, the Borrower nor any</w:t>
      </w:r>
    </w:p>
    <w:p>
      <w:pPr>
        <w:spacing w:after="0" w:line="2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of their respective Subsidiaries is (a) an “investment company” or is “controlled” by an “investment company”, as such terms are defined in, or subject to regulation under, the Investment Company Act of 1940, as amended and in effect from time to time, or (b) otherwise subject to any other regulatory scheme which prohibits the incurrence of Indebtedness.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4.8 </w:t>
      </w:r>
      <w:r>
        <w:rPr>
          <w:rFonts w:ascii="Arial" w:cs="Arial" w:eastAsia="Arial" w:hAnsi="Arial"/>
          <w:sz w:val="21"/>
          <w:szCs w:val="21"/>
          <w:b w:val="1"/>
          <w:bCs w:val="1"/>
          <w:u w:val="single" w:color="auto"/>
          <w:color w:val="auto"/>
        </w:rPr>
        <w:t>Taxes</w:t>
      </w:r>
      <w:r>
        <w:rPr>
          <w:rFonts w:ascii="Arial" w:cs="Arial" w:eastAsia="Arial" w:hAnsi="Arial"/>
          <w:sz w:val="21"/>
          <w:szCs w:val="21"/>
          <w:color w:val="auto"/>
        </w:rPr>
        <w:t>. Parent, the Borrower and their respective Subsidiaries and each other Person for whose</w:t>
      </w:r>
      <w:r>
        <w:rPr>
          <w:rFonts w:ascii="Arial" w:cs="Arial" w:eastAsia="Arial" w:hAnsi="Arial"/>
          <w:sz w:val="21"/>
          <w:szCs w:val="21"/>
          <w:b w:val="1"/>
          <w:bCs w:val="1"/>
          <w:color w:val="auto"/>
        </w:rPr>
        <w:t xml:space="preserve"> </w:t>
      </w:r>
      <w:r>
        <w:rPr>
          <w:rFonts w:ascii="Arial" w:cs="Arial" w:eastAsia="Arial" w:hAnsi="Arial"/>
          <w:sz w:val="21"/>
          <w:szCs w:val="21"/>
          <w:color w:val="auto"/>
        </w:rPr>
        <w:t>taxes Parent, the Borrower or any of their respective Subsidiaries could become liable have timely filed or caused to be filed all Federal income tax returns and all other material tax returns that are required to be filed by them, and have paid all taxes shown to be due and payable on such returns or on any assessments made against them or their property and all other taxes, fees or other charges imposed on it or any of its property by any Governmental Authority, except where the same are currently being contested in good faith by appropriate proceedings and for which Parent, the Borrower or such Subsidiary, as the case may be, has set aside on its books adequate reserves in accordance with GAAP. The charges, accruals and reserves on the books of Parent, the Borrower and their respective Subsidiaries in respect of such taxes are adequate, and no tax liabilities that could be materially in excess of the amount so provided are anticipated.</w:t>
      </w:r>
    </w:p>
    <w:p>
      <w:pPr>
        <w:spacing w:after="0" w:line="2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4.9 </w:t>
      </w:r>
      <w:r>
        <w:rPr>
          <w:rFonts w:ascii="Arial" w:cs="Arial" w:eastAsia="Arial" w:hAnsi="Arial"/>
          <w:sz w:val="22"/>
          <w:szCs w:val="22"/>
          <w:b w:val="1"/>
          <w:bCs w:val="1"/>
          <w:u w:val="single" w:color="auto"/>
          <w:color w:val="auto"/>
        </w:rPr>
        <w:t>Margin Regulations</w:t>
      </w:r>
      <w:r>
        <w:rPr>
          <w:rFonts w:ascii="Arial" w:cs="Arial" w:eastAsia="Arial" w:hAnsi="Arial"/>
          <w:sz w:val="22"/>
          <w:szCs w:val="22"/>
          <w:color w:val="auto"/>
        </w:rPr>
        <w:t>. None of the pro-ceeds of any of the Loans or Letters of Credit will be used,</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for “purchasing” or “carrying” any “margin stock” within the respective meanings of each of such terms under Regulation U or for any purpose that violates the provisions of Regulation T, Regulation U or Regulation X. None of Parent, the Borrower nor any of their respective Subsidiaries is engaged principally, or as one of its important activities, in the business of extending credit for the purpose of purchasing or carrying “margin stock”.</w:t>
      </w:r>
    </w:p>
    <w:p>
      <w:pPr>
        <w:spacing w:after="0" w:line="2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Section 4.10 </w:t>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 Each Plan is in substantial compliance in form and operation with its terms and with</w:t>
      </w:r>
      <w:r>
        <w:rPr>
          <w:rFonts w:ascii="Arial" w:cs="Arial" w:eastAsia="Arial" w:hAnsi="Arial"/>
          <w:sz w:val="19"/>
          <w:szCs w:val="19"/>
          <w:b w:val="1"/>
          <w:bCs w:val="1"/>
          <w:color w:val="auto"/>
        </w:rPr>
        <w:t xml:space="preserve"> </w:t>
      </w:r>
      <w:r>
        <w:rPr>
          <w:rFonts w:ascii="Arial" w:cs="Arial" w:eastAsia="Arial" w:hAnsi="Arial"/>
          <w:sz w:val="19"/>
          <w:szCs w:val="19"/>
          <w:color w:val="auto"/>
        </w:rPr>
        <w:t>ERISA and the Code (including, without limitation, the Code provisions compliance with which is necessary for any intended favorable tax treatment) and all other applicable laws and regulations. Each Plan (and each related trust, if any) which is intended to be qualified under Section 401(a) of the Code has received a favorable determination letter from the Internal Revenue Service to the effect that it meets the requirements of Sections 401(a) and 501(a) of the Code covering all applicable tax law changes, or is comprised of a master or prototype plan that has received a favorable opinion letter from the Internal Revenue Service, and nothing has occurred since the date of such determination that would adversely affect such determination (or, in the case of a Plan with no determination, nothing has occurred that would adversely affect the issuance of a favorable determination letter or otherwise adversely affect such qualification). No ERISA Event has occurred or is reasonably expected to occur. There exists no Unfunded Pension Liability with respect to any Plan. None of Parent, the Borrower, any of their respective Subsidiaries or any ERISA Affiliate is making or accruing an obligation to make contributions, or has, within any of the five calendar years immediately preceding the date this assurance is given or deemed given, made or accrued an obligation to make, contributions to any Multiemployer Plan. There are no actions, suits or claims pending against or involving a Plan (other than routine claims for benefits) or, to the knowledge of Parent, the Borrower, any of their respective Subsidiaries or any ERISA Affiliate, threatened, which would reasonably be expected to be asserted successfully against any Plan and, if so asserted successfully, would reasonably be expected either singly or in the aggregate to result in liability to the Parent, the Borrower or any of their respective Subsidiaries. Parent, the Borrower, each of their respective Subsidiaries and each ERISA Affiliate have made all contributions to or under each Plan and Multiemployer Plan required by law within the applicable time limits prescribed thereby, by the terms of such Plan or Multiemployer Plan, respectively, or by any contract or agreement requiring contributions to a Plan or Multiemployer Plan. No Plan which is subject to Section 412 of the Code or Section 302 of ERISA has applied for or received an extension of any amortization period within the meaning of Section 412 of the Code or Section 303 or 304 of ERISA. None of Parent, the Borrower, any of their respective Subsidiaries or any ERISA Affiliate have ceased operations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9" w:right="239" w:bottom="1440" w:gutter="0" w:footer="0" w:header="0"/>
        </w:sectPr>
      </w:pPr>
    </w:p>
    <w:bookmarkStart w:id="110" w:name="page111"/>
    <w:bookmarkEnd w:id="110"/>
    <w:p>
      <w:pPr>
        <w:jc w:val="both"/>
        <w:spacing w:after="0" w:line="258" w:lineRule="auto"/>
        <w:rPr>
          <w:sz w:val="20"/>
          <w:szCs w:val="20"/>
          <w:color w:val="auto"/>
        </w:rPr>
      </w:pPr>
      <w:r>
        <w:rPr>
          <w:rFonts w:ascii="Arial" w:cs="Arial" w:eastAsia="Arial" w:hAnsi="Arial"/>
          <w:sz w:val="21"/>
          <w:szCs w:val="21"/>
          <w:color w:val="auto"/>
        </w:rPr>
        <w:t>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Each Non-U.S. Plan has been maintained in compliance with its terms and with the requirements of any and all applicable laws, statutes, rules, regulations and orders and has been maintained, where required, in good standing with applicable regulatory authorities, except as would not reasonably be expected to result in liability to Parent, the Borrower or any of their respective Subsidiaries. All contributions required to be made with respect to a Non-U.S. Plan have been timely made. None of Parent, the Borrower nor any of their respective Subsidiaries has incurred any obligation in connection with the termination of, or withdrawal from, any Non-U.S. Plan. The present value of the accrued benefit liabilities (whether or not vested) under each Non-U.S. Plan, determined as of the end of the Borrower’s most recently ended fiscal year on the basis of reasonable actuarial assumptions, did not exceed the current value of the assets of such Non-U.S. Plan allocable to such benefit liabilities.</w:t>
      </w:r>
    </w:p>
    <w:p>
      <w:pPr>
        <w:spacing w:after="0" w:line="218"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b w:val="1"/>
          <w:bCs w:val="1"/>
          <w:color w:val="auto"/>
        </w:rPr>
        <w:t>Section 4.11</w:t>
      </w:r>
      <w:r>
        <w:rPr>
          <w:sz w:val="20"/>
          <w:szCs w:val="20"/>
          <w:color w:val="auto"/>
        </w:rPr>
        <w:tab/>
      </w:r>
      <w:r>
        <w:rPr>
          <w:rFonts w:ascii="Arial" w:cs="Arial" w:eastAsia="Arial" w:hAnsi="Arial"/>
          <w:sz w:val="19"/>
          <w:szCs w:val="19"/>
          <w:b w:val="1"/>
          <w:bCs w:val="1"/>
          <w:u w:val="single" w:color="auto"/>
          <w:color w:val="auto"/>
        </w:rPr>
        <w:t>Ownership of Property; Insurance</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62" w:lineRule="auto"/>
        <w:tabs>
          <w:tab w:leader="none" w:pos="2804" w:val="left"/>
        </w:tabs>
        <w:numPr>
          <w:ilvl w:val="0"/>
          <w:numId w:val="92"/>
        </w:numPr>
        <w:rPr>
          <w:rFonts w:ascii="Arial" w:cs="Arial" w:eastAsia="Arial" w:hAnsi="Arial"/>
          <w:sz w:val="17"/>
          <w:szCs w:val="17"/>
          <w:color w:val="auto"/>
        </w:rPr>
      </w:pPr>
      <w:r>
        <w:rPr>
          <w:rFonts w:ascii="Arial" w:cs="Arial" w:eastAsia="Arial" w:hAnsi="Arial"/>
          <w:sz w:val="21"/>
          <w:szCs w:val="21"/>
          <w:color w:val="auto"/>
        </w:rPr>
        <w:t xml:space="preserve">Each of Parent, the Borrower and their respective Subsidiaries has good title to, or valid leasehold interests in, all of its real and personal property material to the operation of its business, including all such properties reflected in the most recent audited consolidated balance sheet of the Borrower referred to in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or purported to have been acquired by Parent, the Borrower or any of their respective Subsidiaries after said date (except as sold or otherwise disposed of in the ordinary course of business), in each case free and clear of Liens prohibited by this Agreement. All leases that individually or in the aggregate are material to the business or operations of Parent, the Borrower and their respective Subsidiaries are valid and subsisting and are in full force.</w:t>
      </w:r>
    </w:p>
    <w:p>
      <w:pPr>
        <w:spacing w:after="0" w:line="220" w:lineRule="exact"/>
        <w:rPr>
          <w:rFonts w:ascii="Arial" w:cs="Arial" w:eastAsia="Arial" w:hAnsi="Arial"/>
          <w:sz w:val="17"/>
          <w:szCs w:val="17"/>
          <w:color w:val="auto"/>
        </w:rPr>
      </w:pPr>
    </w:p>
    <w:p>
      <w:pPr>
        <w:jc w:val="both"/>
        <w:ind w:left="660" w:firstLine="1293"/>
        <w:spacing w:after="0" w:line="307" w:lineRule="auto"/>
        <w:tabs>
          <w:tab w:leader="none" w:pos="2815" w:val="left"/>
        </w:tabs>
        <w:numPr>
          <w:ilvl w:val="0"/>
          <w:numId w:val="92"/>
        </w:numPr>
        <w:rPr>
          <w:rFonts w:ascii="Arial" w:cs="Arial" w:eastAsia="Arial" w:hAnsi="Arial"/>
          <w:sz w:val="16"/>
          <w:szCs w:val="16"/>
          <w:color w:val="auto"/>
        </w:rPr>
      </w:pPr>
      <w:r>
        <w:rPr>
          <w:rFonts w:ascii="Arial" w:cs="Arial" w:eastAsia="Arial" w:hAnsi="Arial"/>
          <w:sz w:val="19"/>
          <w:szCs w:val="19"/>
          <w:color w:val="auto"/>
        </w:rPr>
        <w:t>Each of Parent, the Borrower and their respective Subsidiaries owns, or is licensed or otherwise has the right to use, all patents, trademarks, service marks, trade names, copyrights and other intellectual property material to its business, and, to the knowledge of Parent and its Subsidiaries, the use thereof by Parent, the Borrower and their respective Subsidiaries does not infringe in any material respect on the rights of any other Person.</w:t>
      </w:r>
    </w:p>
    <w:p>
      <w:pPr>
        <w:spacing w:after="0" w:line="178" w:lineRule="exact"/>
        <w:rPr>
          <w:rFonts w:ascii="Arial" w:cs="Arial" w:eastAsia="Arial" w:hAnsi="Arial"/>
          <w:sz w:val="16"/>
          <w:szCs w:val="16"/>
          <w:color w:val="auto"/>
        </w:rPr>
      </w:pPr>
    </w:p>
    <w:p>
      <w:pPr>
        <w:ind w:left="660" w:firstLine="1293"/>
        <w:spacing w:after="0" w:line="276" w:lineRule="auto"/>
        <w:tabs>
          <w:tab w:leader="none" w:pos="2804" w:val="left"/>
        </w:tabs>
        <w:numPr>
          <w:ilvl w:val="0"/>
          <w:numId w:val="92"/>
        </w:numPr>
        <w:rPr>
          <w:rFonts w:ascii="Arial" w:cs="Arial" w:eastAsia="Arial" w:hAnsi="Arial"/>
          <w:sz w:val="18"/>
          <w:szCs w:val="18"/>
          <w:color w:val="auto"/>
        </w:rPr>
      </w:pPr>
      <w:r>
        <w:rPr>
          <w:rFonts w:ascii="Arial" w:cs="Arial" w:eastAsia="Arial" w:hAnsi="Arial"/>
          <w:sz w:val="22"/>
          <w:szCs w:val="22"/>
          <w:color w:val="auto"/>
        </w:rPr>
        <w:t>The properties of Parent, the Borrower and their respective Subsidiaries are insured in the manner required by this Agreement.</w:t>
      </w:r>
    </w:p>
    <w:p>
      <w:pPr>
        <w:spacing w:after="0" w:line="201" w:lineRule="exact"/>
        <w:rPr>
          <w:rFonts w:ascii="Arial" w:cs="Arial" w:eastAsia="Arial" w:hAnsi="Arial"/>
          <w:sz w:val="18"/>
          <w:szCs w:val="18"/>
          <w:color w:val="auto"/>
        </w:rPr>
      </w:pPr>
    </w:p>
    <w:p>
      <w:pPr>
        <w:jc w:val="both"/>
        <w:ind w:left="660" w:firstLine="1293"/>
        <w:spacing w:after="0" w:line="260" w:lineRule="auto"/>
        <w:tabs>
          <w:tab w:leader="none" w:pos="2815" w:val="left"/>
        </w:tabs>
        <w:numPr>
          <w:ilvl w:val="0"/>
          <w:numId w:val="92"/>
        </w:numPr>
        <w:rPr>
          <w:rFonts w:ascii="Arial" w:cs="Arial" w:eastAsia="Arial" w:hAnsi="Arial"/>
          <w:sz w:val="18"/>
          <w:szCs w:val="18"/>
          <w:color w:val="auto"/>
        </w:rPr>
      </w:pPr>
      <w:r>
        <w:rPr>
          <w:rFonts w:ascii="Arial" w:cs="Arial" w:eastAsia="Arial" w:hAnsi="Arial"/>
          <w:sz w:val="22"/>
          <w:szCs w:val="22"/>
          <w:color w:val="auto"/>
        </w:rPr>
        <w:t xml:space="preserve">As of the Closing Date, none of Parent, the Borrower nor any of their respective Subsidiaries owns any Real Estate except as set forth on Schedule 2 of the Information and Collateral Disclosure Certificate delivered pursuant to </w:t>
      </w:r>
      <w:r>
        <w:rPr>
          <w:rFonts w:ascii="Arial" w:cs="Arial" w:eastAsia="Arial" w:hAnsi="Arial"/>
          <w:sz w:val="22"/>
          <w:szCs w:val="22"/>
          <w:u w:val="single" w:color="auto"/>
          <w:color w:val="auto"/>
        </w:rPr>
        <w:t>Section 3.1(b)</w:t>
      </w:r>
      <w:r>
        <w:rPr>
          <w:rFonts w:ascii="Arial" w:cs="Arial" w:eastAsia="Arial" w:hAnsi="Arial"/>
          <w:sz w:val="22"/>
          <w:szCs w:val="22"/>
          <w:color w:val="auto"/>
        </w:rPr>
        <w:t xml:space="preserve"> hereof.</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4.12 </w:t>
      </w:r>
      <w:r>
        <w:rPr>
          <w:rFonts w:ascii="Arial" w:cs="Arial" w:eastAsia="Arial" w:hAnsi="Arial"/>
          <w:sz w:val="19"/>
          <w:szCs w:val="19"/>
          <w:b w:val="1"/>
          <w:bCs w:val="1"/>
          <w:u w:val="single" w:color="auto"/>
          <w:color w:val="auto"/>
        </w:rPr>
        <w:t>Disclosure</w:t>
      </w:r>
      <w:r>
        <w:rPr>
          <w:rFonts w:ascii="Arial" w:cs="Arial" w:eastAsia="Arial" w:hAnsi="Arial"/>
          <w:sz w:val="19"/>
          <w:szCs w:val="19"/>
          <w:color w:val="auto"/>
        </w:rPr>
        <w:t>. As of the Closing Date, each of Parent and the Borrower has disclosed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all agreements, instruments, and corporate or other restrictions to which Parent, the Borrower or any of their respective Subsidiaries is subject, and all other matters known to any of them, that, either individually or in the aggregate, would reasonably be expected to result in a Material Adverse Effect. None of the reports (including, without limitation, all reports that Parent, the Borrower or any of their respective Subsidiaries is required to file with the Securities and Exchange Commission), financial statements, certificates or other information furnished by or on behalf of Parent, the Borrower or any of their respective Subsidiaries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75" w:right="239" w:bottom="1440" w:gutter="0" w:footer="0" w:header="0"/>
        </w:sectPr>
      </w:pPr>
    </w:p>
    <w:bookmarkStart w:id="111" w:name="page112"/>
    <w:bookmarkEnd w:id="111"/>
    <w:p>
      <w:pPr>
        <w:jc w:val="both"/>
        <w:ind w:right="20"/>
        <w:spacing w:after="0" w:line="263" w:lineRule="auto"/>
        <w:rPr>
          <w:sz w:val="20"/>
          <w:szCs w:val="20"/>
          <w:color w:val="auto"/>
        </w:rPr>
      </w:pPr>
      <w:r>
        <w:rPr>
          <w:rFonts w:ascii="Arial" w:cs="Arial" w:eastAsia="Arial" w:hAnsi="Arial"/>
          <w:sz w:val="22"/>
          <w:szCs w:val="22"/>
          <w:color w:val="auto"/>
        </w:rPr>
        <w:t xml:space="preserve">misleading;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projected financial information, Parent, the Borrower represents only that such information was prepared in good faith based upon assumptions believed to be reasonable at the time.</w:t>
      </w:r>
    </w:p>
    <w:p>
      <w:pPr>
        <w:spacing w:after="0" w:line="2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Section 4.13 </w:t>
      </w:r>
      <w:r>
        <w:rPr>
          <w:rFonts w:ascii="Arial" w:cs="Arial" w:eastAsia="Arial" w:hAnsi="Arial"/>
          <w:sz w:val="22"/>
          <w:szCs w:val="22"/>
          <w:b w:val="1"/>
          <w:bCs w:val="1"/>
          <w:u w:val="single" w:color="auto"/>
          <w:color w:val="auto"/>
        </w:rPr>
        <w:t>Labor Relations</w:t>
      </w:r>
      <w:r>
        <w:rPr>
          <w:rFonts w:ascii="Arial" w:cs="Arial" w:eastAsia="Arial" w:hAnsi="Arial"/>
          <w:sz w:val="22"/>
          <w:szCs w:val="22"/>
          <w:color w:val="auto"/>
        </w:rPr>
        <w:t>. There are no strikes, lockouts or other material labor disputes or grievances</w:t>
      </w:r>
      <w:r>
        <w:rPr>
          <w:rFonts w:ascii="Arial" w:cs="Arial" w:eastAsia="Arial" w:hAnsi="Arial"/>
          <w:sz w:val="22"/>
          <w:szCs w:val="22"/>
          <w:b w:val="1"/>
          <w:bCs w:val="1"/>
          <w:color w:val="auto"/>
        </w:rPr>
        <w:t xml:space="preserve"> </w:t>
      </w:r>
      <w:r>
        <w:rPr>
          <w:rFonts w:ascii="Arial" w:cs="Arial" w:eastAsia="Arial" w:hAnsi="Arial"/>
          <w:sz w:val="22"/>
          <w:szCs w:val="22"/>
          <w:color w:val="auto"/>
        </w:rPr>
        <w:t>against Parent, the Borrower or any of their respective Subsidiaries, or, to Parent, the Borrower’s knowledge, threatened against or affecting Parent, the Borrower or any of their respective Subsidiaries, and no significant unfair labor practice charges or grievances are pending against Parent, the Borrower or any of their respective Subsidiaries, or, to Parent’ or the Borrower’s knowledge, threatened against any of them before any Governmental Authority. All payments due from the Borrower or any of its Subsidiaries pursuant to the provisions of any collective bargaining agreement have been paid or accrued as a liability on the books of the Parent, the Borrower or any such Subsidiary, except where the failure to do so would not reasonably be expected to have a Material Adverse Effect.</w:t>
      </w:r>
    </w:p>
    <w:p>
      <w:pPr>
        <w:spacing w:after="0" w:line="227"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4.14</w:t>
      </w:r>
      <w:r>
        <w:rPr>
          <w:sz w:val="20"/>
          <w:szCs w:val="20"/>
          <w:color w:val="auto"/>
        </w:rPr>
        <w:tab/>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w:t>
      </w:r>
    </w:p>
    <w:p>
      <w:pPr>
        <w:spacing w:after="0" w:line="266" w:lineRule="exact"/>
        <w:rPr>
          <w:sz w:val="20"/>
          <w:szCs w:val="20"/>
          <w:color w:val="auto"/>
        </w:rPr>
      </w:pPr>
    </w:p>
    <w:p>
      <w:pPr>
        <w:jc w:val="both"/>
        <w:ind w:left="660" w:firstLine="1293"/>
        <w:spacing w:after="0" w:line="260" w:lineRule="auto"/>
        <w:tabs>
          <w:tab w:leader="none" w:pos="2804" w:val="left"/>
        </w:tabs>
        <w:numPr>
          <w:ilvl w:val="0"/>
          <w:numId w:val="93"/>
        </w:numPr>
        <w:rPr>
          <w:rFonts w:ascii="Arial" w:cs="Arial" w:eastAsia="Arial" w:hAnsi="Arial"/>
          <w:sz w:val="18"/>
          <w:szCs w:val="18"/>
          <w:color w:val="auto"/>
        </w:rPr>
      </w:pPr>
      <w:r>
        <w:rPr>
          <w:rFonts w:ascii="Arial" w:cs="Arial" w:eastAsia="Arial" w:hAnsi="Arial"/>
          <w:sz w:val="22"/>
          <w:szCs w:val="22"/>
          <w:u w:val="single" w:color="auto"/>
          <w:color w:val="auto"/>
        </w:rPr>
        <w:t>Schedule 4.14</w:t>
      </w:r>
      <w:r>
        <w:rPr>
          <w:rFonts w:ascii="Arial" w:cs="Arial" w:eastAsia="Arial" w:hAnsi="Arial"/>
          <w:sz w:val="22"/>
          <w:szCs w:val="22"/>
          <w:color w:val="auto"/>
        </w:rPr>
        <w:t xml:space="preserve"> sets forth the name of, the ownership interest of the applicable Loan Party in, the jurisdiction of incorporation or organization of, and the type of each Subsidiary of any Loan Party and identifies each Subsidiary that is a Subsidiary Loan Party, in each case as of the Closing Date.</w:t>
      </w:r>
    </w:p>
    <w:p>
      <w:pPr>
        <w:spacing w:after="0" w:line="217" w:lineRule="exact"/>
        <w:rPr>
          <w:rFonts w:ascii="Arial" w:cs="Arial" w:eastAsia="Arial" w:hAnsi="Arial"/>
          <w:sz w:val="18"/>
          <w:szCs w:val="18"/>
          <w:color w:val="auto"/>
        </w:rPr>
      </w:pPr>
    </w:p>
    <w:p>
      <w:pPr>
        <w:ind w:left="2820" w:hanging="867"/>
        <w:spacing w:after="0"/>
        <w:tabs>
          <w:tab w:leader="none" w:pos="2820" w:val="left"/>
        </w:tabs>
        <w:numPr>
          <w:ilvl w:val="0"/>
          <w:numId w:val="93"/>
        </w:numPr>
        <w:rPr>
          <w:rFonts w:ascii="Arial" w:cs="Arial" w:eastAsia="Arial" w:hAnsi="Arial"/>
          <w:sz w:val="18"/>
          <w:szCs w:val="18"/>
          <w:color w:val="auto"/>
        </w:rPr>
      </w:pPr>
      <w:r>
        <w:rPr>
          <w:rFonts w:ascii="Arial" w:cs="Arial" w:eastAsia="Arial" w:hAnsi="Arial"/>
          <w:sz w:val="22"/>
          <w:szCs w:val="22"/>
          <w:color w:val="auto"/>
        </w:rPr>
        <w:t>Parent has no direct Subsidiaries other than the Borrower.</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4.15 </w:t>
      </w:r>
      <w:r>
        <w:rPr>
          <w:rFonts w:ascii="Arial" w:cs="Arial" w:eastAsia="Arial" w:hAnsi="Arial"/>
          <w:sz w:val="22"/>
          <w:szCs w:val="22"/>
          <w:b w:val="1"/>
          <w:bCs w:val="1"/>
          <w:u w:val="single" w:color="auto"/>
          <w:color w:val="auto"/>
        </w:rPr>
        <w:t>Solvency</w:t>
      </w:r>
      <w:r>
        <w:rPr>
          <w:rFonts w:ascii="Arial" w:cs="Arial" w:eastAsia="Arial" w:hAnsi="Arial"/>
          <w:sz w:val="22"/>
          <w:szCs w:val="22"/>
          <w:color w:val="auto"/>
        </w:rPr>
        <w:t>. After giving effect to the execution and delivery of the Loan Documents, the making</w:t>
      </w:r>
      <w:r>
        <w:rPr>
          <w:rFonts w:ascii="Arial" w:cs="Arial" w:eastAsia="Arial" w:hAnsi="Arial"/>
          <w:sz w:val="22"/>
          <w:szCs w:val="22"/>
          <w:b w:val="1"/>
          <w:bCs w:val="1"/>
          <w:color w:val="auto"/>
        </w:rPr>
        <w:t xml:space="preserve"> </w:t>
      </w:r>
      <w:r>
        <w:rPr>
          <w:rFonts w:ascii="Arial" w:cs="Arial" w:eastAsia="Arial" w:hAnsi="Arial"/>
          <w:sz w:val="22"/>
          <w:szCs w:val="22"/>
          <w:color w:val="auto"/>
        </w:rPr>
        <w:t>of any Loan under this Agreement and the consummation of the other transactions contemplated hereby, Parent and its Subsidiaries on a consolidated basis are Solvent.</w:t>
      </w:r>
    </w:p>
    <w:p>
      <w:pPr>
        <w:spacing w:after="0" w:line="21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4.16 </w:t>
      </w:r>
      <w:r>
        <w:rPr>
          <w:rFonts w:ascii="Arial" w:cs="Arial" w:eastAsia="Arial" w:hAnsi="Arial"/>
          <w:sz w:val="19"/>
          <w:szCs w:val="19"/>
          <w:b w:val="1"/>
          <w:bCs w:val="1"/>
          <w:u w:val="single" w:color="auto"/>
          <w:color w:val="auto"/>
        </w:rPr>
        <w:t>Deposit and Disbursement Accounts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4.16</w:t>
      </w:r>
      <w:r>
        <w:rPr>
          <w:rFonts w:ascii="Arial" w:cs="Arial" w:eastAsia="Arial" w:hAnsi="Arial"/>
          <w:sz w:val="19"/>
          <w:szCs w:val="19"/>
          <w:b w:val="1"/>
          <w:bCs w:val="1"/>
          <w:color w:val="auto"/>
        </w:rPr>
        <w:t xml:space="preserve"> </w:t>
      </w:r>
      <w:r>
        <w:rPr>
          <w:rFonts w:ascii="Arial" w:cs="Arial" w:eastAsia="Arial" w:hAnsi="Arial"/>
          <w:sz w:val="19"/>
          <w:szCs w:val="19"/>
          <w:color w:val="auto"/>
        </w:rPr>
        <w:t>lists all banks and other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institutions at which any Loan Party maintains deposit accounts, lockbox accounts, disbursement accounts, investment accounts or other similar accounts as of the Closing Date, and such Schedule correctly identifies the name, address and telephone number of each financial institution, the name in which the account is held, the type of the account, and the complete account number therefor.</w:t>
      </w:r>
    </w:p>
    <w:p>
      <w:pPr>
        <w:spacing w:after="0" w:line="176"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4.17</w:t>
      </w:r>
      <w:r>
        <w:rPr>
          <w:sz w:val="20"/>
          <w:szCs w:val="20"/>
          <w:color w:val="auto"/>
        </w:rPr>
        <w:tab/>
      </w:r>
      <w:r>
        <w:rPr>
          <w:rFonts w:ascii="Arial" w:cs="Arial" w:eastAsia="Arial" w:hAnsi="Arial"/>
          <w:sz w:val="19"/>
          <w:szCs w:val="19"/>
          <w:b w:val="1"/>
          <w:bCs w:val="1"/>
          <w:u w:val="single" w:color="auto"/>
          <w:color w:val="auto"/>
        </w:rPr>
        <w:t>Collateral Documents</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90" w:lineRule="auto"/>
        <w:tabs>
          <w:tab w:leader="none" w:pos="2804" w:val="left"/>
        </w:tabs>
        <w:numPr>
          <w:ilvl w:val="0"/>
          <w:numId w:val="94"/>
        </w:numPr>
        <w:rPr>
          <w:rFonts w:ascii="Arial" w:cs="Arial" w:eastAsia="Arial" w:hAnsi="Arial"/>
          <w:sz w:val="16"/>
          <w:szCs w:val="16"/>
          <w:color w:val="auto"/>
        </w:rPr>
      </w:pPr>
      <w:r>
        <w:rPr>
          <w:rFonts w:ascii="Arial" w:cs="Arial" w:eastAsia="Arial" w:hAnsi="Arial"/>
          <w:sz w:val="19"/>
          <w:szCs w:val="19"/>
          <w:color w:val="auto"/>
        </w:rPr>
        <w:t xml:space="preserve">The Guaranty and Security Agreement and each other Collateral Document is effective to create in favor of the Administrative Agent for the ratable benefit of the Secured Parties a legal, valid and enforceable security interest in the Collateral (as defined therein), and when UCC financing statements in appropriate form are filed in the offices specified on Schedule 3 to the Guaranty and Security Agreement, the Guaranty and Security Agreement shall constitute a fully perfected Lien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Liens expressly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 When the certificates evidencing all Capital Stock pledged pursuant to the Collateral Documents are delivered to the Administrative Agent, together with appropriate stock powers or other similar instruments of transfer duly executed in blank, the Liens in such Capital Stock shall be fully perfected first priority security interests, perfected by “control” as defined in the UCC.</w:t>
      </w:r>
    </w:p>
    <w:p>
      <w:pPr>
        <w:spacing w:after="0" w:line="196" w:lineRule="exact"/>
        <w:rPr>
          <w:rFonts w:ascii="Arial" w:cs="Arial" w:eastAsia="Arial" w:hAnsi="Arial"/>
          <w:sz w:val="16"/>
          <w:szCs w:val="16"/>
          <w:color w:val="auto"/>
        </w:rPr>
      </w:pPr>
    </w:p>
    <w:p>
      <w:pPr>
        <w:ind w:left="660" w:firstLine="1293"/>
        <w:spacing w:after="0" w:line="276" w:lineRule="auto"/>
        <w:tabs>
          <w:tab w:leader="none" w:pos="2815" w:val="left"/>
        </w:tabs>
        <w:numPr>
          <w:ilvl w:val="0"/>
          <w:numId w:val="94"/>
        </w:numPr>
        <w:rPr>
          <w:rFonts w:ascii="Arial" w:cs="Arial" w:eastAsia="Arial" w:hAnsi="Arial"/>
          <w:sz w:val="18"/>
          <w:szCs w:val="18"/>
          <w:color w:val="auto"/>
        </w:rPr>
      </w:pPr>
      <w:r>
        <w:rPr>
          <w:rFonts w:ascii="Arial" w:cs="Arial" w:eastAsia="Arial" w:hAnsi="Arial"/>
          <w:sz w:val="22"/>
          <w:szCs w:val="22"/>
          <w:color w:val="auto"/>
        </w:rPr>
        <w:t>When the filings in subsection (a) of this Section are made and when, if applicable, the Patent Security Agreements and the Trademark Security Agreements are filed in the United States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75" w:right="239" w:bottom="1440" w:gutter="0" w:footer="0" w:header="0"/>
        </w:sectPr>
      </w:pPr>
    </w:p>
    <w:bookmarkStart w:id="112" w:name="page113"/>
    <w:bookmarkEnd w:id="112"/>
    <w:p>
      <w:pPr>
        <w:jc w:val="both"/>
        <w:ind w:left="660"/>
        <w:spacing w:after="0" w:line="247" w:lineRule="auto"/>
        <w:rPr>
          <w:sz w:val="20"/>
          <w:szCs w:val="20"/>
          <w:color w:val="auto"/>
        </w:rPr>
      </w:pPr>
      <w:r>
        <w:rPr>
          <w:rFonts w:ascii="Arial" w:cs="Arial" w:eastAsia="Arial" w:hAnsi="Arial"/>
          <w:sz w:val="22"/>
          <w:szCs w:val="22"/>
          <w:color w:val="auto"/>
        </w:rPr>
        <w:t>Patent and Trademark Office and the Copyright Security Agreements are filed in the United States Copyright Office, the Guaranty and Security Agreement shall constitute a fully perfected Lien on, and security interest in, all right, title and interest of the Loan Parties in the Patents, Trademarks and Copyrights, if any,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w:t>
      </w:r>
    </w:p>
    <w:p>
      <w:pPr>
        <w:spacing w:after="0" w:line="22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4.18 </w:t>
      </w:r>
      <w:r>
        <w:rPr>
          <w:rFonts w:ascii="Arial" w:cs="Arial" w:eastAsia="Arial" w:hAnsi="Arial"/>
          <w:sz w:val="19"/>
          <w:szCs w:val="19"/>
          <w:b w:val="1"/>
          <w:bCs w:val="1"/>
          <w:u w:val="single" w:color="auto"/>
          <w:color w:val="auto"/>
        </w:rPr>
        <w:t>Anti-Corruption Laws and Sanctions</w:t>
      </w:r>
      <w:r>
        <w:rPr>
          <w:rFonts w:ascii="Arial" w:cs="Arial" w:eastAsia="Arial" w:hAnsi="Arial"/>
          <w:sz w:val="19"/>
          <w:szCs w:val="19"/>
          <w:color w:val="auto"/>
        </w:rPr>
        <w:t>. Each of Parent and the Borrower has implemented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maintains in effect policies and procedures designed to ensure compliance in all material respects by Parent, the Borrower, their respective Subsidiaries and their respective directors, officers, employees and agents with Anti-Corruption Laws and applicable Sanctions, and Parent, the Borrower, their respective Subsidiaries and their respective directors, officers and employees and to the knowledge of Parent, the Borrower and their agents, are in compliance with Anti-Corruption Laws and applicable Sanctions. None of (a) Parent, the Borrower, any Subsidiary or any of their respective directors, officers or employees, or (b) to the knowledge of Parent, the Borrower, any agent of Parent, the Borrower or any Subsidiary that will act in any capacity in connection with or benefit from the credit facilities established hereby, is a Sanctioned Person. No Borrowing or Letter of Credit, use of proceeds or other transaction contemplated hereby will violate Anti-Corruption Laws or applicable Sanctions.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AFFIRMATIVE COVENANTS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Parent and the Borrower covenant and agree that so long as any Lender has a Commitment hereunder or 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Obligation remains unpaid or outstanding:</w:t>
      </w:r>
    </w:p>
    <w:p>
      <w:pPr>
        <w:spacing w:after="0" w:line="196"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21"/>
          <w:szCs w:val="21"/>
          <w:b w:val="1"/>
          <w:bCs w:val="1"/>
          <w:u w:val="single" w:color="auto"/>
          <w:color w:val="auto"/>
        </w:rPr>
        <w:t>Financial Statements and Other Information</w:t>
      </w:r>
      <w:r>
        <w:rPr>
          <w:rFonts w:ascii="Arial" w:cs="Arial" w:eastAsia="Arial" w:hAnsi="Arial"/>
          <w:sz w:val="21"/>
          <w:szCs w:val="21"/>
          <w:color w:val="auto"/>
        </w:rPr>
        <w:t>. Parent and the Borrower will deliver to the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each Lender:</w:t>
      </w:r>
    </w:p>
    <w:p>
      <w:pPr>
        <w:spacing w:after="0" w:line="242" w:lineRule="exact"/>
        <w:rPr>
          <w:sz w:val="20"/>
          <w:szCs w:val="20"/>
          <w:color w:val="auto"/>
        </w:rPr>
      </w:pPr>
    </w:p>
    <w:p>
      <w:pPr>
        <w:jc w:val="both"/>
        <w:ind w:left="660" w:firstLine="1293"/>
        <w:spacing w:after="0" w:line="289" w:lineRule="auto"/>
        <w:tabs>
          <w:tab w:leader="none" w:pos="2804" w:val="left"/>
        </w:tabs>
        <w:numPr>
          <w:ilvl w:val="0"/>
          <w:numId w:val="95"/>
        </w:numPr>
        <w:rPr>
          <w:rFonts w:ascii="Arial" w:cs="Arial" w:eastAsia="Arial" w:hAnsi="Arial"/>
          <w:sz w:val="16"/>
          <w:szCs w:val="16"/>
          <w:color w:val="auto"/>
        </w:rPr>
      </w:pPr>
      <w:r>
        <w:rPr>
          <w:rFonts w:ascii="Arial" w:cs="Arial" w:eastAsia="Arial" w:hAnsi="Arial"/>
          <w:sz w:val="19"/>
          <w:szCs w:val="19"/>
          <w:color w:val="auto"/>
        </w:rPr>
        <w:t>as soon as available and in any event within 90 days after the end of each Fiscal Year of Parent, a copy of the annual audited report for such Fiscal Year for Parent and its Subsidiaries, containing a consolidated balance sheet of Parent and its Subsidiaries as of the end of such Fiscal Year and the related consolidated statements of income, stockholders’ equity and cash flows (together with all footnotes thereto) of Parent and its Subsidiaries for such Fiscal Year, setting forth in each case in comparative form the figures for the previous Fiscal Year, all in reasonable detail and reported on by PricewaterhouseCoopers LLP or, if such auditors are no longer used by Parent, from independent public accountants of nationally recognized standing (without a “going concern” or like qualification, exception or explanation and without any qualification or exception as to the scope of such audit) to the effect that such financial statements present fairly in all material respects the financial condition and the results of operations of Parent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spacing w:after="0" w:line="198" w:lineRule="exact"/>
        <w:rPr>
          <w:rFonts w:ascii="Arial" w:cs="Arial" w:eastAsia="Arial" w:hAnsi="Arial"/>
          <w:sz w:val="16"/>
          <w:szCs w:val="16"/>
          <w:color w:val="auto"/>
        </w:rPr>
      </w:pPr>
    </w:p>
    <w:p>
      <w:pPr>
        <w:jc w:val="both"/>
        <w:ind w:left="660" w:firstLine="1293"/>
        <w:spacing w:after="0" w:line="251" w:lineRule="auto"/>
        <w:tabs>
          <w:tab w:leader="none" w:pos="2815" w:val="left"/>
        </w:tabs>
        <w:numPr>
          <w:ilvl w:val="0"/>
          <w:numId w:val="95"/>
        </w:numPr>
        <w:rPr>
          <w:rFonts w:ascii="Arial" w:cs="Arial" w:eastAsia="Arial" w:hAnsi="Arial"/>
          <w:sz w:val="18"/>
          <w:szCs w:val="18"/>
          <w:color w:val="auto"/>
        </w:rPr>
      </w:pPr>
      <w:r>
        <w:rPr>
          <w:rFonts w:ascii="Arial" w:cs="Arial" w:eastAsia="Arial" w:hAnsi="Arial"/>
          <w:sz w:val="22"/>
          <w:szCs w:val="22"/>
          <w:color w:val="auto"/>
        </w:rPr>
        <w:t>as soon as available and in any event within 45 days after the end of each Fiscal Quarter of Parent, an unaudited consolidated balance sheet of Parent and its Subsidiaries as of the end of such Fiscal Quarter and the related unaudited consolidated statements of income and cash flows of Parent and its Subsidiaries for such Fiscal Quarter and the then elapsed portion of such Fiscal Year, setting forth in each case in comparative form the figures for the corresponding Fiscal Quarter and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75" w:right="239" w:bottom="1440" w:gutter="0" w:footer="0" w:header="0"/>
        </w:sectPr>
      </w:pPr>
    </w:p>
    <w:bookmarkStart w:id="113" w:name="page114"/>
    <w:bookmarkEnd w:id="113"/>
    <w:p>
      <w:pPr>
        <w:ind w:left="660"/>
        <w:spacing w:after="0" w:line="343" w:lineRule="auto"/>
        <w:rPr>
          <w:sz w:val="20"/>
          <w:szCs w:val="20"/>
          <w:color w:val="auto"/>
        </w:rPr>
      </w:pPr>
      <w:r>
        <w:rPr>
          <w:rFonts w:ascii="Arial" w:cs="Arial" w:eastAsia="Arial" w:hAnsi="Arial"/>
          <w:sz w:val="19"/>
          <w:szCs w:val="19"/>
          <w:color w:val="auto"/>
        </w:rPr>
        <w:t>corresponding portion of Parent’ or the Borrower’s, as applicable, previous Fiscal Year and the corresponding figures for the budget for the current Fiscal Year, and together with a management discussion and analysis with respect thereto;</w:t>
      </w:r>
    </w:p>
    <w:p>
      <w:pPr>
        <w:spacing w:after="0" w:line="145" w:lineRule="exact"/>
        <w:rPr>
          <w:sz w:val="20"/>
          <w:szCs w:val="20"/>
          <w:color w:val="auto"/>
        </w:rPr>
      </w:pPr>
    </w:p>
    <w:p>
      <w:pPr>
        <w:jc w:val="both"/>
        <w:ind w:left="660" w:firstLine="1293"/>
        <w:spacing w:after="0" w:line="259" w:lineRule="auto"/>
        <w:tabs>
          <w:tab w:leader="none" w:pos="2804" w:val="left"/>
        </w:tabs>
        <w:numPr>
          <w:ilvl w:val="0"/>
          <w:numId w:val="96"/>
        </w:numPr>
        <w:rPr>
          <w:rFonts w:ascii="Arial" w:cs="Arial" w:eastAsia="Arial" w:hAnsi="Arial"/>
          <w:sz w:val="17"/>
          <w:szCs w:val="17"/>
          <w:color w:val="auto"/>
        </w:rPr>
      </w:pPr>
      <w:r>
        <w:rPr>
          <w:rFonts w:ascii="Arial" w:cs="Arial" w:eastAsia="Arial" w:hAnsi="Arial"/>
          <w:sz w:val="21"/>
          <w:szCs w:val="21"/>
          <w:color w:val="auto"/>
        </w:rPr>
        <w:t xml:space="preserve">concurrently with the delivery of the financial statements referred to in subsections (a) and (b) of this Section, a Compliance Certificate signed by the principal executive officer or the principal financial officer of Parent (i) certifying as to whether there exists a Default or Event of Default on the date of such certificate and, if a Default or an Event of Default then exists, specifying the details thereof and the action which Parent and its Subsidiaries have taken or propose to take with respect thereto, (ii) setting forth in reasonable detail calculations demonstrating compliance with the financial covenants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(iii) specifying any change in the identity of the Subsidiaries as of the end of such Fiscal Year or Fiscal Quarter from the Subsidiaries identified to the Lenders on the Closing Date or as of the most recent Fiscal Year or Fiscal Quarter, as the case may be, and (iv) stating whether any change in GAAP or the application thereof has occurred since the date of the mostly recently delivered audited financial statements of Parent and its Subsidiaries, and, if any change has occurred, specifying the effect of such change on the financial statements accompanying such Compliance Certificate;</w:t>
      </w:r>
    </w:p>
    <w:p>
      <w:pPr>
        <w:spacing w:after="0" w:line="226" w:lineRule="exact"/>
        <w:rPr>
          <w:rFonts w:ascii="Arial" w:cs="Arial" w:eastAsia="Arial" w:hAnsi="Arial"/>
          <w:sz w:val="17"/>
          <w:szCs w:val="17"/>
          <w:color w:val="auto"/>
        </w:rPr>
      </w:pPr>
    </w:p>
    <w:p>
      <w:pPr>
        <w:jc w:val="both"/>
        <w:ind w:left="660" w:firstLine="1293"/>
        <w:spacing w:after="0" w:line="260" w:lineRule="auto"/>
        <w:tabs>
          <w:tab w:leader="none" w:pos="2815" w:val="left"/>
        </w:tabs>
        <w:numPr>
          <w:ilvl w:val="0"/>
          <w:numId w:val="96"/>
        </w:numPr>
        <w:rPr>
          <w:rFonts w:ascii="Arial" w:cs="Arial" w:eastAsia="Arial" w:hAnsi="Arial"/>
          <w:sz w:val="18"/>
          <w:szCs w:val="18"/>
          <w:color w:val="auto"/>
        </w:rPr>
      </w:pPr>
      <w:r>
        <w:rPr>
          <w:rFonts w:ascii="Arial" w:cs="Arial" w:eastAsia="Arial" w:hAnsi="Arial"/>
          <w:sz w:val="22"/>
          <w:szCs w:val="22"/>
          <w:color w:val="auto"/>
        </w:rPr>
        <w:t>as soon as available and in any event within 60 days after the end of the calendar year, forecasts and a pro forma budget for the succeeding Fiscal Year, containing an income statement, balance sheet and statement of cash flow; and</w:t>
      </w:r>
    </w:p>
    <w:p>
      <w:pPr>
        <w:spacing w:after="0" w:line="217" w:lineRule="exact"/>
        <w:rPr>
          <w:rFonts w:ascii="Arial" w:cs="Arial" w:eastAsia="Arial" w:hAnsi="Arial"/>
          <w:sz w:val="18"/>
          <w:szCs w:val="18"/>
          <w:color w:val="auto"/>
        </w:rPr>
      </w:pPr>
    </w:p>
    <w:p>
      <w:pPr>
        <w:jc w:val="both"/>
        <w:ind w:left="660" w:firstLine="1293"/>
        <w:spacing w:after="0" w:line="260" w:lineRule="auto"/>
        <w:tabs>
          <w:tab w:leader="none" w:pos="2804" w:val="left"/>
        </w:tabs>
        <w:numPr>
          <w:ilvl w:val="0"/>
          <w:numId w:val="96"/>
        </w:numPr>
        <w:rPr>
          <w:rFonts w:ascii="Arial" w:cs="Arial" w:eastAsia="Arial" w:hAnsi="Arial"/>
          <w:sz w:val="18"/>
          <w:szCs w:val="18"/>
          <w:color w:val="auto"/>
        </w:rPr>
      </w:pPr>
      <w:r>
        <w:rPr>
          <w:rFonts w:ascii="Arial" w:cs="Arial" w:eastAsia="Arial" w:hAnsi="Arial"/>
          <w:sz w:val="22"/>
          <w:szCs w:val="22"/>
          <w:color w:val="auto"/>
        </w:rPr>
        <w:t>promptly following any request therefor, such other information regarding the results of operations, business affairs and financial condition of the Borrower or any of its Subsidiaries as the Administrative Agent or any Lender may reasonably request.</w:t>
      </w:r>
    </w:p>
    <w:p>
      <w:pPr>
        <w:spacing w:after="0" w:line="21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Information required to be delivered solely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shall be deemed to have been delivered if such information shall have been timely posted on Parent’s website on the internet (currently www.lendingtree.com) or shall be available on the website of the Securities and Exchange Commission at http://www.sec.gov.</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5.2 </w:t>
      </w:r>
      <w:r>
        <w:rPr>
          <w:rFonts w:ascii="Arial" w:cs="Arial" w:eastAsia="Arial" w:hAnsi="Arial"/>
          <w:sz w:val="22"/>
          <w:szCs w:val="22"/>
          <w:b w:val="1"/>
          <w:bCs w:val="1"/>
          <w:u w:val="single" w:color="auto"/>
          <w:color w:val="auto"/>
        </w:rPr>
        <w:t>Notices of Material Events</w:t>
      </w:r>
      <w:r>
        <w:rPr>
          <w:rFonts w:ascii="Arial" w:cs="Arial" w:eastAsia="Arial" w:hAnsi="Arial"/>
          <w:sz w:val="22"/>
          <w:szCs w:val="22"/>
          <w:color w:val="auto"/>
        </w:rPr>
        <w:t>. Parent and the Borrower will furnish to the Administrative Agent</w:t>
      </w:r>
      <w:r>
        <w:rPr>
          <w:rFonts w:ascii="Arial" w:cs="Arial" w:eastAsia="Arial" w:hAnsi="Arial"/>
          <w:sz w:val="22"/>
          <w:szCs w:val="22"/>
          <w:b w:val="1"/>
          <w:bCs w:val="1"/>
          <w:color w:val="auto"/>
        </w:rPr>
        <w:t xml:space="preserve"> </w:t>
      </w:r>
      <w:r>
        <w:rPr>
          <w:rFonts w:ascii="Arial" w:cs="Arial" w:eastAsia="Arial" w:hAnsi="Arial"/>
          <w:sz w:val="22"/>
          <w:szCs w:val="22"/>
          <w:color w:val="auto"/>
        </w:rPr>
        <w:t>and each Lender prompt written notice of the following:</w:t>
      </w:r>
    </w:p>
    <w:p>
      <w:pPr>
        <w:spacing w:after="0" w:line="209" w:lineRule="exact"/>
        <w:rPr>
          <w:sz w:val="20"/>
          <w:szCs w:val="20"/>
          <w:color w:val="auto"/>
        </w:rPr>
      </w:pPr>
    </w:p>
    <w:p>
      <w:pPr>
        <w:ind w:left="2800" w:hanging="847"/>
        <w:spacing w:after="0"/>
        <w:tabs>
          <w:tab w:leader="none" w:pos="2800" w:val="left"/>
        </w:tabs>
        <w:numPr>
          <w:ilvl w:val="0"/>
          <w:numId w:val="97"/>
        </w:numPr>
        <w:rPr>
          <w:rFonts w:ascii="Arial" w:cs="Arial" w:eastAsia="Arial" w:hAnsi="Arial"/>
          <w:sz w:val="18"/>
          <w:szCs w:val="18"/>
          <w:color w:val="auto"/>
        </w:rPr>
      </w:pPr>
      <w:r>
        <w:rPr>
          <w:rFonts w:ascii="Arial" w:cs="Arial" w:eastAsia="Arial" w:hAnsi="Arial"/>
          <w:sz w:val="22"/>
          <w:szCs w:val="22"/>
          <w:color w:val="auto"/>
        </w:rPr>
        <w:t>the occurrence of any Default or Event of Default;</w:t>
      </w:r>
    </w:p>
    <w:p>
      <w:pPr>
        <w:spacing w:after="0" w:line="273" w:lineRule="exact"/>
        <w:rPr>
          <w:rFonts w:ascii="Arial" w:cs="Arial" w:eastAsia="Arial" w:hAnsi="Arial"/>
          <w:sz w:val="18"/>
          <w:szCs w:val="18"/>
          <w:color w:val="auto"/>
        </w:rPr>
      </w:pPr>
    </w:p>
    <w:p>
      <w:pPr>
        <w:jc w:val="both"/>
        <w:ind w:left="660" w:firstLine="1293"/>
        <w:spacing w:after="0" w:line="254" w:lineRule="auto"/>
        <w:tabs>
          <w:tab w:leader="none" w:pos="2815" w:val="left"/>
        </w:tabs>
        <w:numPr>
          <w:ilvl w:val="0"/>
          <w:numId w:val="97"/>
        </w:numPr>
        <w:rPr>
          <w:rFonts w:ascii="Arial" w:cs="Arial" w:eastAsia="Arial" w:hAnsi="Arial"/>
          <w:sz w:val="18"/>
          <w:szCs w:val="18"/>
          <w:color w:val="auto"/>
        </w:rPr>
      </w:pPr>
      <w:r>
        <w:rPr>
          <w:rFonts w:ascii="Arial" w:cs="Arial" w:eastAsia="Arial" w:hAnsi="Arial"/>
          <w:sz w:val="22"/>
          <w:szCs w:val="22"/>
          <w:color w:val="auto"/>
        </w:rPr>
        <w:t>the filing or commencement of, or any material development in, any action, suit or proceeding by or before any arbitrator or Governmental Authority against or, to the knowledge of Parent or the Borrower, affecting Parent or the Borrower or any of their respective Subsidiaries which would reasonably be expected to result in a Material Adverse Effect;</w:t>
      </w:r>
    </w:p>
    <w:p>
      <w:pPr>
        <w:spacing w:after="0" w:line="225" w:lineRule="exact"/>
        <w:rPr>
          <w:rFonts w:ascii="Arial" w:cs="Arial" w:eastAsia="Arial" w:hAnsi="Arial"/>
          <w:sz w:val="18"/>
          <w:szCs w:val="18"/>
          <w:color w:val="auto"/>
        </w:rPr>
      </w:pPr>
    </w:p>
    <w:p>
      <w:pPr>
        <w:jc w:val="both"/>
        <w:ind w:left="660" w:firstLine="1293"/>
        <w:spacing w:after="0" w:line="250" w:lineRule="auto"/>
        <w:tabs>
          <w:tab w:leader="none" w:pos="2804" w:val="left"/>
        </w:tabs>
        <w:numPr>
          <w:ilvl w:val="0"/>
          <w:numId w:val="97"/>
        </w:numPr>
        <w:rPr>
          <w:rFonts w:ascii="Arial" w:cs="Arial" w:eastAsia="Arial" w:hAnsi="Arial"/>
          <w:sz w:val="18"/>
          <w:szCs w:val="18"/>
          <w:color w:val="auto"/>
        </w:rPr>
      </w:pPr>
      <w:r>
        <w:rPr>
          <w:rFonts w:ascii="Arial" w:cs="Arial" w:eastAsia="Arial" w:hAnsi="Arial"/>
          <w:sz w:val="22"/>
          <w:szCs w:val="22"/>
          <w:color w:val="auto"/>
        </w:rPr>
        <w:t>the occurrence of any event or any other development by which Parent or any of its Subsidiaries (i) fails to comply with any Environmental Law or to obtain, maintain or comply with any permit, license or other approval required under any Environmental Law, (ii) becomes subject to any Environmental Liability, (iii) receives notice of any claim with respect to any Environmental Liability, or (iv) becomes aware of any basis for any Environmental Liability, in each case which, either individually or in the aggregate, would reasonably be expected to result in a Material Adverse Effect;</w:t>
      </w:r>
    </w:p>
    <w:p>
      <w:pPr>
        <w:spacing w:after="0" w:line="228" w:lineRule="exact"/>
        <w:rPr>
          <w:rFonts w:ascii="Arial" w:cs="Arial" w:eastAsia="Arial" w:hAnsi="Arial"/>
          <w:sz w:val="18"/>
          <w:szCs w:val="18"/>
          <w:color w:val="auto"/>
        </w:rPr>
      </w:pPr>
    </w:p>
    <w:p>
      <w:pPr>
        <w:ind w:left="660" w:firstLine="1293"/>
        <w:spacing w:after="0" w:line="276" w:lineRule="auto"/>
        <w:tabs>
          <w:tab w:leader="none" w:pos="2815" w:val="left"/>
        </w:tabs>
        <w:numPr>
          <w:ilvl w:val="0"/>
          <w:numId w:val="97"/>
        </w:numPr>
        <w:rPr>
          <w:rFonts w:ascii="Arial" w:cs="Arial" w:eastAsia="Arial" w:hAnsi="Arial"/>
          <w:sz w:val="18"/>
          <w:szCs w:val="18"/>
          <w:color w:val="auto"/>
        </w:rPr>
      </w:pPr>
      <w:r>
        <w:rPr>
          <w:rFonts w:ascii="Arial" w:cs="Arial" w:eastAsia="Arial" w:hAnsi="Arial"/>
          <w:sz w:val="22"/>
          <w:szCs w:val="22"/>
          <w:color w:val="auto"/>
        </w:rPr>
        <w:t>promptly and in any event within 15 days after (i) Parent, any of its Subsidiaries or any ERISA Affiliate knows or has reason to know that any ERISA Event has occurred, a certificate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75" w:right="239" w:bottom="1440" w:gutter="0" w:footer="0" w:header="0"/>
        </w:sectPr>
      </w:pPr>
    </w:p>
    <w:bookmarkStart w:id="114" w:name="page115"/>
    <w:bookmarkEnd w:id="114"/>
    <w:p>
      <w:pPr>
        <w:jc w:val="both"/>
        <w:ind w:left="660"/>
        <w:spacing w:after="0" w:line="288" w:lineRule="auto"/>
        <w:rPr>
          <w:sz w:val="20"/>
          <w:szCs w:val="20"/>
          <w:color w:val="auto"/>
        </w:rPr>
      </w:pPr>
      <w:r>
        <w:rPr>
          <w:rFonts w:ascii="Arial" w:cs="Arial" w:eastAsia="Arial" w:hAnsi="Arial"/>
          <w:sz w:val="19"/>
          <w:szCs w:val="19"/>
          <w:color w:val="auto"/>
        </w:rPr>
        <w:t>of the chief financial officer of Parent describing such ERISA Event and the action, if any, proposed to be taken with respect to such ERISA Event and a copy of any notice filed with the PBGC or the IRS pertaining to such ERISA Event and any notices received by Parent, such Subsidiary or such ERISA Affiliate from the PBGC or any other governmental agency with respect thereto, and (ii)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Parent, any of its Subsidiaries or any ERISA Affiliate, or (4) of the adoption of any amendment to a Plan subject to Section 412 of the Code which results in a material increase in contribution obligations of Parent, any of its Subsidiaries or any ERISA Affiliate, a detailed written description thereof from the chief financial officer of Parent;</w:t>
      </w:r>
    </w:p>
    <w:p>
      <w:pPr>
        <w:spacing w:after="0" w:line="201" w:lineRule="exact"/>
        <w:rPr>
          <w:sz w:val="20"/>
          <w:szCs w:val="20"/>
          <w:color w:val="auto"/>
        </w:rPr>
      </w:pPr>
    </w:p>
    <w:p>
      <w:pPr>
        <w:ind w:left="660" w:firstLine="1293"/>
        <w:spacing w:after="0" w:line="276" w:lineRule="auto"/>
        <w:tabs>
          <w:tab w:leader="none" w:pos="2804" w:val="left"/>
        </w:tabs>
        <w:numPr>
          <w:ilvl w:val="0"/>
          <w:numId w:val="98"/>
        </w:numPr>
        <w:rPr>
          <w:rFonts w:ascii="Arial" w:cs="Arial" w:eastAsia="Arial" w:hAnsi="Arial"/>
          <w:sz w:val="18"/>
          <w:szCs w:val="18"/>
          <w:color w:val="auto"/>
        </w:rPr>
      </w:pPr>
      <w:r>
        <w:rPr>
          <w:rFonts w:ascii="Arial" w:cs="Arial" w:eastAsia="Arial" w:hAnsi="Arial"/>
          <w:sz w:val="22"/>
          <w:szCs w:val="22"/>
          <w:color w:val="auto"/>
        </w:rPr>
        <w:t>the receipt by Parent or any of its Subsidiaries of any written notice of an alleged event of default with respect to any Material Indebtedness of Parent or any of its Subsidiaries; and</w:t>
      </w:r>
    </w:p>
    <w:p>
      <w:pPr>
        <w:spacing w:after="0" w:line="201" w:lineRule="exact"/>
        <w:rPr>
          <w:rFonts w:ascii="Arial" w:cs="Arial" w:eastAsia="Arial" w:hAnsi="Arial"/>
          <w:sz w:val="18"/>
          <w:szCs w:val="18"/>
          <w:color w:val="auto"/>
        </w:rPr>
      </w:pPr>
    </w:p>
    <w:p>
      <w:pPr>
        <w:ind w:left="2780" w:hanging="827"/>
        <w:spacing w:after="0"/>
        <w:tabs>
          <w:tab w:leader="none" w:pos="2780" w:val="left"/>
        </w:tabs>
        <w:numPr>
          <w:ilvl w:val="0"/>
          <w:numId w:val="98"/>
        </w:numPr>
        <w:rPr>
          <w:rFonts w:ascii="Arial" w:cs="Arial" w:eastAsia="Arial" w:hAnsi="Arial"/>
          <w:sz w:val="16"/>
          <w:szCs w:val="16"/>
          <w:color w:val="auto"/>
        </w:rPr>
      </w:pPr>
      <w:r>
        <w:rPr>
          <w:rFonts w:ascii="Arial" w:cs="Arial" w:eastAsia="Arial" w:hAnsi="Arial"/>
          <w:sz w:val="19"/>
          <w:szCs w:val="19"/>
          <w:color w:val="auto"/>
        </w:rPr>
        <w:t>any other development that results in, or would reasonably be expected to result in, a Material</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Adverse Effect.</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Parent and the Borrower will furnish to the Administrative Agent and each Lender the following:</w:t>
      </w:r>
    </w:p>
    <w:p>
      <w:pPr>
        <w:spacing w:after="0" w:line="220" w:lineRule="exact"/>
        <w:rPr>
          <w:sz w:val="20"/>
          <w:szCs w:val="20"/>
          <w:color w:val="auto"/>
        </w:rPr>
      </w:pPr>
    </w:p>
    <w:p>
      <w:pPr>
        <w:jc w:val="both"/>
        <w:ind w:firstLine="1305"/>
        <w:spacing w:after="0" w:line="307" w:lineRule="auto"/>
        <w:tabs>
          <w:tab w:leader="none" w:pos="1783" w:val="left"/>
        </w:tabs>
        <w:numPr>
          <w:ilvl w:val="0"/>
          <w:numId w:val="99"/>
        </w:numPr>
        <w:rPr>
          <w:rFonts w:ascii="Arial" w:cs="Arial" w:eastAsia="Arial" w:hAnsi="Arial"/>
          <w:sz w:val="19"/>
          <w:szCs w:val="19"/>
          <w:color w:val="auto"/>
        </w:rPr>
      </w:pPr>
      <w:r>
        <w:rPr>
          <w:rFonts w:ascii="Arial" w:cs="Arial" w:eastAsia="Arial" w:hAnsi="Arial"/>
          <w:sz w:val="19"/>
          <w:szCs w:val="19"/>
          <w:color w:val="auto"/>
        </w:rPr>
        <w:t>promptly and in any event at least 30 days prior thereto (or such shorter period of time as the Administrative Agent may agree in writing), notice of any change (i) in any Loan Party’s legal name, (ii) in any Loan Party’s chief executive office or its principal place of business, (iii) in any Loan Party’s identity or legal structure, (iv) in any Loan Party’s federal taxpayer identification number or organizational number or (v) in any Loan Party’s jurisdiction of organization; and</w:t>
      </w:r>
    </w:p>
    <w:p>
      <w:pPr>
        <w:spacing w:after="0" w:line="138" w:lineRule="exact"/>
        <w:rPr>
          <w:rFonts w:ascii="Arial" w:cs="Arial" w:eastAsia="Arial" w:hAnsi="Arial"/>
          <w:sz w:val="19"/>
          <w:szCs w:val="19"/>
          <w:color w:val="auto"/>
        </w:rPr>
      </w:pPr>
    </w:p>
    <w:p>
      <w:pPr>
        <w:ind w:firstLine="1305"/>
        <w:spacing w:after="0" w:line="301" w:lineRule="auto"/>
        <w:tabs>
          <w:tab w:leader="none" w:pos="1728" w:val="left"/>
        </w:tabs>
        <w:numPr>
          <w:ilvl w:val="0"/>
          <w:numId w:val="99"/>
        </w:numPr>
        <w:rPr>
          <w:rFonts w:ascii="Arial" w:cs="Arial" w:eastAsia="Arial" w:hAnsi="Arial"/>
          <w:sz w:val="21"/>
          <w:szCs w:val="21"/>
          <w:color w:val="auto"/>
        </w:rPr>
      </w:pPr>
      <w:r>
        <w:rPr>
          <w:rFonts w:ascii="Arial" w:cs="Arial" w:eastAsia="Arial" w:hAnsi="Arial"/>
          <w:sz w:val="21"/>
          <w:szCs w:val="21"/>
          <w:color w:val="auto"/>
        </w:rPr>
        <w:t>as soon as available and in any event within 30 days after receipt thereof, a copy of any environmental report or site assessment obtained by or for Parent or any of its Subsidiaries after the Closing Date on any Real Estate.</w:t>
      </w:r>
    </w:p>
    <w:p>
      <w:pPr>
        <w:spacing w:after="0" w:line="13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Each notice or other document delivered under this Section shall be accompanied by a written statement of a Responsible Officer setting forth the details of the event or development requiring such notice or other document and any action taken or proposed to be taken with respect thereto.</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5.3 </w:t>
      </w:r>
      <w:r>
        <w:rPr>
          <w:rFonts w:ascii="Arial" w:cs="Arial" w:eastAsia="Arial" w:hAnsi="Arial"/>
          <w:sz w:val="22"/>
          <w:szCs w:val="22"/>
          <w:b w:val="1"/>
          <w:bCs w:val="1"/>
          <w:u w:val="single" w:color="auto"/>
          <w:color w:val="auto"/>
        </w:rPr>
        <w:t>Existence; Conduct of Business</w:t>
      </w:r>
      <w:r>
        <w:rPr>
          <w:rFonts w:ascii="Arial" w:cs="Arial" w:eastAsia="Arial" w:hAnsi="Arial"/>
          <w:sz w:val="22"/>
          <w:szCs w:val="22"/>
          <w:color w:val="auto"/>
        </w:rPr>
        <w:t>. Parent and the Borrower will, and will cause each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respective Subsidiaries to, do or cause to be done all things necessary to preserve, renew and maintain in full force and effect its legal existence and its respective rights, licenses, permits, privileges, franchises, patents, copyrights, trademarks and trade names material to the conduct of its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in this Section shall prohibit any merger, consolidation, liquidation or dissolution permitted under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Section 5.4 </w:t>
      </w:r>
      <w:r>
        <w:rPr>
          <w:rFonts w:ascii="Arial" w:cs="Arial" w:eastAsia="Arial" w:hAnsi="Arial"/>
          <w:sz w:val="21"/>
          <w:szCs w:val="21"/>
          <w:b w:val="1"/>
          <w:bCs w:val="1"/>
          <w:u w:val="single" w:color="auto"/>
          <w:color w:val="auto"/>
        </w:rPr>
        <w:t>Compliance with Laws</w:t>
      </w:r>
      <w:r>
        <w:rPr>
          <w:rFonts w:ascii="Arial" w:cs="Arial" w:eastAsia="Arial" w:hAnsi="Arial"/>
          <w:sz w:val="21"/>
          <w:szCs w:val="21"/>
          <w:color w:val="auto"/>
        </w:rPr>
        <w:t>. Parent and the Borrower will, and will cause each of their respective</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to, comply with all laws, rules, regulations and requirements of any Governmental Authority applicable to its business and properties, including, without limitation, all Environmental Laws, ERISA and OSHA, except where the failure to do so, either individually or in the aggregate, would not reasonably be expected to result in a Material Adverse Effect.</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5.5 </w:t>
      </w:r>
      <w:r>
        <w:rPr>
          <w:rFonts w:ascii="Arial" w:cs="Arial" w:eastAsia="Arial" w:hAnsi="Arial"/>
          <w:sz w:val="22"/>
          <w:szCs w:val="22"/>
          <w:b w:val="1"/>
          <w:bCs w:val="1"/>
          <w:u w:val="single" w:color="auto"/>
          <w:color w:val="auto"/>
        </w:rPr>
        <w:t>Payment of Obligations</w:t>
      </w:r>
      <w:r>
        <w:rPr>
          <w:rFonts w:ascii="Arial" w:cs="Arial" w:eastAsia="Arial" w:hAnsi="Arial"/>
          <w:sz w:val="22"/>
          <w:szCs w:val="22"/>
          <w:color w:val="auto"/>
        </w:rPr>
        <w:t>. Parent and the Borrower will, and will cause each of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to, pay and discharge at or before maturity all of its obligations and liabilities (including, without limitation, all taxes, assessments and other governmental charges, levies and all other claims that could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75" w:right="239" w:bottom="1440" w:gutter="0" w:footer="0" w:header="0"/>
        </w:sectPr>
      </w:pPr>
    </w:p>
    <w:bookmarkStart w:id="115" w:name="page116"/>
    <w:bookmarkEnd w:id="115"/>
    <w:p>
      <w:pPr>
        <w:jc w:val="both"/>
        <w:spacing w:after="0" w:line="265" w:lineRule="auto"/>
        <w:rPr>
          <w:sz w:val="20"/>
          <w:szCs w:val="20"/>
          <w:color w:val="auto"/>
        </w:rPr>
      </w:pPr>
      <w:r>
        <w:rPr>
          <w:rFonts w:ascii="Arial" w:cs="Arial" w:eastAsia="Arial" w:hAnsi="Arial"/>
          <w:sz w:val="21"/>
          <w:szCs w:val="21"/>
          <w:color w:val="auto"/>
        </w:rPr>
        <w:t>result in a statutory Lien) before the same shall become delinquent or in default, except where (a) the validity or amount thereof is being contested in good faith by appropriate proceedings, (b) Parent, the Borrower or such Subsidiary has set aside on its books adequate reserves with respect thereto in accordance with GAAP and (c) the failure to make payment pending such contest would not reasonably be expected to result in a Material Adverse Effect.</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Section 5.6 </w:t>
      </w:r>
      <w:r>
        <w:rPr>
          <w:rFonts w:ascii="Arial" w:cs="Arial" w:eastAsia="Arial" w:hAnsi="Arial"/>
          <w:sz w:val="21"/>
          <w:szCs w:val="21"/>
          <w:b w:val="1"/>
          <w:bCs w:val="1"/>
          <w:u w:val="single" w:color="auto"/>
          <w:color w:val="auto"/>
        </w:rPr>
        <w:t>Books and Records</w:t>
      </w:r>
      <w:r>
        <w:rPr>
          <w:rFonts w:ascii="Arial" w:cs="Arial" w:eastAsia="Arial" w:hAnsi="Arial"/>
          <w:sz w:val="21"/>
          <w:szCs w:val="21"/>
          <w:color w:val="auto"/>
        </w:rPr>
        <w:t>. Parent and the Borrower will, and will cause each of their respective</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to, keep proper books of record and account in which full, true and correct (in all material respects) entries shall be made of all dealings and transactions in relation to its business and activities to the extent necessary to prepare the consolidated financial statements of Parent in conformity with GAAP, subject to footnotes and normal year-end adjustments.</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Section 5.7 </w:t>
      </w:r>
      <w:r>
        <w:rPr>
          <w:rFonts w:ascii="Arial" w:cs="Arial" w:eastAsia="Arial" w:hAnsi="Arial"/>
          <w:sz w:val="19"/>
          <w:szCs w:val="19"/>
          <w:b w:val="1"/>
          <w:bCs w:val="1"/>
          <w:u w:val="single" w:color="auto"/>
          <w:color w:val="auto"/>
        </w:rPr>
        <w:t>Visitation and Inspection</w:t>
      </w:r>
      <w:r>
        <w:rPr>
          <w:rFonts w:ascii="Arial" w:cs="Arial" w:eastAsia="Arial" w:hAnsi="Arial"/>
          <w:sz w:val="19"/>
          <w:szCs w:val="19"/>
          <w:color w:val="auto"/>
        </w:rPr>
        <w:t>. Each of Parent and the Borrower will, and will cause each of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respective Subsidiaries to,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all at such reasonable times and as often as the Administrative Agent or any Lender may reasonably request after reasonable prior notice to Parent and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 w:lineRule="exact"/>
        <w:rPr>
          <w:sz w:val="20"/>
          <w:szCs w:val="20"/>
          <w:color w:val="auto"/>
        </w:rPr>
      </w:pPr>
    </w:p>
    <w:p>
      <w:pPr>
        <w:jc w:val="both"/>
        <w:ind w:firstLine="8"/>
        <w:spacing w:after="0" w:line="245" w:lineRule="auto"/>
        <w:tabs>
          <w:tab w:leader="none" w:pos="30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no prior notice shall be required (b) if no Event of Default has occurred and is continuing, the Loan Parties shall only reimburse the Administrative Agent and the Lenders for one such visit per Fiscal Year.</w:t>
      </w:r>
    </w:p>
    <w:p>
      <w:pPr>
        <w:spacing w:after="0" w:line="22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Section 5.8 </w:t>
      </w:r>
      <w:r>
        <w:rPr>
          <w:rFonts w:ascii="Arial" w:cs="Arial" w:eastAsia="Arial" w:hAnsi="Arial"/>
          <w:sz w:val="19"/>
          <w:szCs w:val="19"/>
          <w:b w:val="1"/>
          <w:bCs w:val="1"/>
          <w:u w:val="single" w:color="auto"/>
          <w:color w:val="auto"/>
        </w:rPr>
        <w:t>Maintenance of Properties; Insurance</w:t>
      </w:r>
      <w:r>
        <w:rPr>
          <w:rFonts w:ascii="Arial" w:cs="Arial" w:eastAsia="Arial" w:hAnsi="Arial"/>
          <w:sz w:val="19"/>
          <w:szCs w:val="19"/>
          <w:color w:val="auto"/>
        </w:rPr>
        <w:t>. Each of Parent and the Borrower will, and will cause</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its respective Subsidiaries to, (a) keep and maintain all property material to the conduct of its business in good working order and condition, ordinary wear and tear excepted, (b) maintain with financially sound and reputable insurance companies which are not Affiliates of Parent or the Borrower (i) insurance with respect to its prop-erties and business, and the properties and business of its Subsidiaries, against loss or damage of the kinds customarily insured against by companies in the same or similar businesses operating in the same or similar locations and (ii) all insurance required to be maintained pursuant to the Collateral Documents, and will, upon request of the Administrative Agent, furnish to each Lender at reasonable intervals a certificate of a Responsible Officer setting forth the nature and extent of all insurance maintained by Parent, the Borrower and their respective Subsidiaries in accordance with this Section, and (c) at all times shall name the Administrative Agent as additional insured on all liability policies of Parent, the Borrower and their respective Subsidiaries and as loss payee (pursuant to a loss payee endorsement approved by the Administrative Agent) on all casualty and property insurance policies of Parent, the Borrower and their respective Subsidiaries. It is hereby acknowledged that the insurance maintained by Parent and its Subsidiaries as of the Closing Date complies with the provisions of this Section 5.8.</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Section 5.9 </w:t>
      </w:r>
      <w:r>
        <w:rPr>
          <w:rFonts w:ascii="Arial" w:cs="Arial" w:eastAsia="Arial" w:hAnsi="Arial"/>
          <w:sz w:val="21"/>
          <w:szCs w:val="21"/>
          <w:b w:val="1"/>
          <w:bCs w:val="1"/>
          <w:u w:val="single" w:color="auto"/>
          <w:color w:val="auto"/>
        </w:rPr>
        <w:t>Use of Proceeds; Margin Regulations</w:t>
      </w:r>
      <w:r>
        <w:rPr>
          <w:rFonts w:ascii="Arial" w:cs="Arial" w:eastAsia="Arial" w:hAnsi="Arial"/>
          <w:sz w:val="21"/>
          <w:szCs w:val="21"/>
          <w:color w:val="auto"/>
        </w:rPr>
        <w:t>. The Borrower will use the proceeds of the Revolving</w:t>
      </w:r>
      <w:r>
        <w:rPr>
          <w:rFonts w:ascii="Arial" w:cs="Arial" w:eastAsia="Arial" w:hAnsi="Arial"/>
          <w:sz w:val="21"/>
          <w:szCs w:val="21"/>
          <w:b w:val="1"/>
          <w:bCs w:val="1"/>
          <w:color w:val="auto"/>
        </w:rPr>
        <w:t xml:space="preserve"> </w:t>
      </w:r>
      <w:r>
        <w:rPr>
          <w:rFonts w:ascii="Arial" w:cs="Arial" w:eastAsia="Arial" w:hAnsi="Arial"/>
          <w:sz w:val="21"/>
          <w:szCs w:val="21"/>
          <w:color w:val="auto"/>
        </w:rPr>
        <w:t>Loans and Letters of Credit on and after the Closing Date to finance working capital needs, including, without limitation, Permitted Acquisitions and other growth initiatives, capital expenditures, and for other general corporate purposes of the Borrower and its Subsidiaries. No part of the proceeds of any Loan will be used, whether directly or indirectly, for any purpose that would violate any rule or regulation of the Board of Governors of the Federal Reserve System, including Regulation T, Regulation U or Regulation X. All Letters of Credit will be used for general corporate purposes.</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5.10 </w:t>
      </w:r>
      <w:r>
        <w:rPr>
          <w:rFonts w:ascii="Arial" w:cs="Arial" w:eastAsia="Arial" w:hAnsi="Arial"/>
          <w:sz w:val="22"/>
          <w:szCs w:val="22"/>
          <w:b w:val="1"/>
          <w:bCs w:val="1"/>
          <w:u w:val="single" w:color="auto"/>
          <w:color w:val="auto"/>
        </w:rPr>
        <w:t>Casualty and Condemnation</w:t>
      </w:r>
      <w:r>
        <w:rPr>
          <w:rFonts w:ascii="Arial" w:cs="Arial" w:eastAsia="Arial" w:hAnsi="Arial"/>
          <w:sz w:val="22"/>
          <w:szCs w:val="22"/>
          <w:color w:val="auto"/>
        </w:rPr>
        <w:t>. Parent and the Borrower will furnish to the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Agent and the Lenders prompt written notice of any casualty or other insured damage to any material portion of any Collateral or the commencement of any action or preceding for the taking of any material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75" w:right="239" w:bottom="1440" w:gutter="0" w:footer="0" w:header="0"/>
        </w:sectPr>
      </w:pPr>
    </w:p>
    <w:bookmarkStart w:id="116" w:name="page117"/>
    <w:bookmarkEnd w:id="116"/>
    <w:p>
      <w:pPr>
        <w:ind w:right="20"/>
        <w:spacing w:after="0" w:line="263" w:lineRule="auto"/>
        <w:rPr>
          <w:sz w:val="20"/>
          <w:szCs w:val="20"/>
          <w:color w:val="auto"/>
        </w:rPr>
      </w:pPr>
      <w:r>
        <w:rPr>
          <w:rFonts w:ascii="Arial" w:cs="Arial" w:eastAsia="Arial" w:hAnsi="Arial"/>
          <w:sz w:val="22"/>
          <w:szCs w:val="22"/>
          <w:color w:val="auto"/>
        </w:rPr>
        <w:t>portion of any Collateral or any part thereof or interest therein under power of eminent domain or by condemnation or similar proceeding.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60" w:type="dxa"/>
            <w:vAlign w:val="bottom"/>
          </w:tcPr>
          <w:p>
            <w:pPr>
              <w:ind w:left="660"/>
              <w:spacing w:after="0"/>
              <w:rPr>
                <w:sz w:val="20"/>
                <w:szCs w:val="20"/>
                <w:color w:val="auto"/>
              </w:rPr>
            </w:pPr>
            <w:r>
              <w:rPr>
                <w:rFonts w:ascii="Arial" w:cs="Arial" w:eastAsia="Arial" w:hAnsi="Arial"/>
                <w:sz w:val="22"/>
                <w:szCs w:val="22"/>
                <w:b w:val="1"/>
                <w:bCs w:val="1"/>
                <w:color w:val="auto"/>
              </w:rPr>
              <w:t>Section 5.11</w:t>
            </w:r>
          </w:p>
        </w:tc>
        <w:tc>
          <w:tcPr>
            <w:tcW w:w="8360" w:type="dxa"/>
            <w:vAlign w:val="bottom"/>
            <w:gridSpan w:val="2"/>
          </w:tcPr>
          <w:p>
            <w:pPr>
              <w:spacing w:after="0"/>
              <w:rPr>
                <w:sz w:val="20"/>
                <w:szCs w:val="20"/>
                <w:color w:val="auto"/>
              </w:rPr>
            </w:pPr>
            <w:r>
              <w:rPr>
                <w:rFonts w:ascii="Arial" w:cs="Arial" w:eastAsia="Arial" w:hAnsi="Arial"/>
                <w:sz w:val="22"/>
                <w:szCs w:val="22"/>
                <w:b w:val="1"/>
                <w:bCs w:val="1"/>
                <w:color w:val="auto"/>
                <w:w w:val="91"/>
              </w:rPr>
              <w:t>Cash Management</w:t>
            </w:r>
            <w:r>
              <w:rPr>
                <w:rFonts w:ascii="Arial" w:cs="Arial" w:eastAsia="Arial" w:hAnsi="Arial"/>
                <w:sz w:val="22"/>
                <w:szCs w:val="22"/>
                <w:color w:val="auto"/>
                <w:w w:val="91"/>
              </w:rPr>
              <w:t>. Parent and the Borrower shall, and shall cause their respective Domestic</w:t>
            </w:r>
          </w:p>
        </w:tc>
      </w:tr>
      <w:tr>
        <w:trPr>
          <w:trHeight w:val="287"/>
        </w:trPr>
        <w:tc>
          <w:tcPr>
            <w:tcW w:w="3060" w:type="dxa"/>
            <w:vAlign w:val="bottom"/>
          </w:tcPr>
          <w:p>
            <w:pPr>
              <w:spacing w:after="0"/>
              <w:rPr>
                <w:sz w:val="20"/>
                <w:szCs w:val="20"/>
                <w:color w:val="auto"/>
              </w:rPr>
            </w:pPr>
            <w:r>
              <w:rPr>
                <w:rFonts w:ascii="Arial" w:cs="Arial" w:eastAsia="Arial" w:hAnsi="Arial"/>
                <w:sz w:val="22"/>
                <w:szCs w:val="22"/>
                <w:color w:val="auto"/>
              </w:rPr>
              <w:t>Subsidiaries to:</w:t>
            </w:r>
          </w:p>
        </w:tc>
        <w:tc>
          <w:tcPr>
            <w:tcW w:w="1740" w:type="dxa"/>
            <w:vAlign w:val="bottom"/>
            <w:tcBorders>
              <w:top w:val="single" w:sz="8" w:color="auto"/>
            </w:tcBorders>
          </w:tcPr>
          <w:p>
            <w:pPr>
              <w:spacing w:after="0"/>
              <w:rPr>
                <w:sz w:val="24"/>
                <w:szCs w:val="24"/>
                <w:color w:val="auto"/>
              </w:rPr>
            </w:pPr>
          </w:p>
        </w:tc>
        <w:tc>
          <w:tcPr>
            <w:tcW w:w="6620" w:type="dxa"/>
            <w:vAlign w:val="bottom"/>
          </w:tcPr>
          <w:p>
            <w:pPr>
              <w:spacing w:after="0"/>
              <w:rPr>
                <w:sz w:val="24"/>
                <w:szCs w:val="24"/>
                <w:color w:val="auto"/>
              </w:rPr>
            </w:pPr>
          </w:p>
        </w:tc>
      </w:tr>
    </w:tbl>
    <w:p>
      <w:pPr>
        <w:spacing w:after="0" w:line="239" w:lineRule="exact"/>
        <w:rPr>
          <w:sz w:val="20"/>
          <w:szCs w:val="20"/>
          <w:color w:val="auto"/>
        </w:rPr>
      </w:pPr>
    </w:p>
    <w:p>
      <w:pPr>
        <w:jc w:val="both"/>
        <w:ind w:left="660" w:firstLine="1293"/>
        <w:spacing w:after="0" w:line="261" w:lineRule="auto"/>
        <w:tabs>
          <w:tab w:leader="none" w:pos="2804" w:val="left"/>
        </w:tabs>
        <w:numPr>
          <w:ilvl w:val="0"/>
          <w:numId w:val="101"/>
        </w:numPr>
        <w:rPr>
          <w:rFonts w:ascii="Arial" w:cs="Arial" w:eastAsia="Arial" w:hAnsi="Arial"/>
          <w:sz w:val="17"/>
          <w:szCs w:val="17"/>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5.16</w:t>
      </w:r>
      <w:r>
        <w:rPr>
          <w:rFonts w:ascii="Arial" w:cs="Arial" w:eastAsia="Arial" w:hAnsi="Arial"/>
          <w:sz w:val="21"/>
          <w:szCs w:val="21"/>
          <w:color w:val="auto"/>
        </w:rPr>
        <w:t>, maintain its primary cash management and treasury business with SunTrust Bank or a Permitted Third Party Bank, including, without limitation, all deposit accounts, disbursement accounts, investment accounts and lockbox accounts (other than Excluded Accounts) (each such deposit account, disbursement account, investment account and lockbox account, a “</w:t>
      </w:r>
      <w:r>
        <w:rPr>
          <w:rFonts w:ascii="Arial" w:cs="Arial" w:eastAsia="Arial" w:hAnsi="Arial"/>
          <w:sz w:val="21"/>
          <w:szCs w:val="21"/>
          <w:u w:val="single" w:color="auto"/>
          <w:color w:val="auto"/>
        </w:rPr>
        <w:t>Controlled Account</w:t>
      </w:r>
      <w:r>
        <w:rPr>
          <w:rFonts w:ascii="Arial" w:cs="Arial" w:eastAsia="Arial" w:hAnsi="Arial"/>
          <w:sz w:val="21"/>
          <w:szCs w:val="21"/>
          <w:color w:val="auto"/>
        </w:rPr>
        <w:t>”); each Controlled Account shall be a cash collateral account, with all cash, checks and other similar items of payment in such account securing payment of the Obligations, and in which the Borrower and each of its Subsidiaries shall have granted a first priority Lien to the Administrative Agent, on behalf of the Secured Parties, perfected either automatically under the UCC (with respect to Controlled Accounts at SunTrust Bank) or subject to Account Control Agreements; and</w:t>
      </w:r>
    </w:p>
    <w:p>
      <w:pPr>
        <w:spacing w:after="0" w:line="222" w:lineRule="exact"/>
        <w:rPr>
          <w:rFonts w:ascii="Arial" w:cs="Arial" w:eastAsia="Arial" w:hAnsi="Arial"/>
          <w:sz w:val="17"/>
          <w:szCs w:val="17"/>
          <w:color w:val="auto"/>
        </w:rPr>
      </w:pPr>
    </w:p>
    <w:p>
      <w:pPr>
        <w:jc w:val="both"/>
        <w:ind w:left="660" w:firstLine="1293"/>
        <w:spacing w:after="0" w:line="254" w:lineRule="auto"/>
        <w:tabs>
          <w:tab w:leader="none" w:pos="2815" w:val="left"/>
        </w:tabs>
        <w:numPr>
          <w:ilvl w:val="0"/>
          <w:numId w:val="101"/>
        </w:numPr>
        <w:rPr>
          <w:rFonts w:ascii="Arial" w:cs="Arial" w:eastAsia="Arial" w:hAnsi="Arial"/>
          <w:sz w:val="18"/>
          <w:szCs w:val="18"/>
          <w:color w:val="auto"/>
        </w:rPr>
      </w:pPr>
      <w:r>
        <w:rPr>
          <w:rFonts w:ascii="Arial" w:cs="Arial" w:eastAsia="Arial" w:hAnsi="Arial"/>
          <w:sz w:val="22"/>
          <w:szCs w:val="22"/>
          <w:color w:val="auto"/>
        </w:rPr>
        <w:t>at any time after the occurrence and during the continuance of an Event of Default, at the request of the Required Lenders, each of Parent and the Borrower will, and will cause each other Loan Party to, cause all payments constituting proceeds of accounts or other Collateral to be directed into lockbox accounts under agreements in form and substance reasonably satisfactory to the Administrative Agent.</w:t>
      </w:r>
    </w:p>
    <w:p>
      <w:pPr>
        <w:spacing w:after="0" w:line="220"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5.12</w:t>
      </w:r>
      <w:r>
        <w:rPr>
          <w:sz w:val="20"/>
          <w:szCs w:val="20"/>
          <w:color w:val="auto"/>
        </w:rPr>
        <w:tab/>
      </w:r>
      <w:r>
        <w:rPr>
          <w:rFonts w:ascii="Arial" w:cs="Arial" w:eastAsia="Arial" w:hAnsi="Arial"/>
          <w:sz w:val="19"/>
          <w:szCs w:val="19"/>
          <w:b w:val="1"/>
          <w:bCs w:val="1"/>
          <w:u w:val="single" w:color="auto"/>
          <w:color w:val="auto"/>
        </w:rPr>
        <w:t>Additional Subsidiaries and Collateral</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86" w:lineRule="auto"/>
        <w:tabs>
          <w:tab w:leader="none" w:pos="2804" w:val="left"/>
        </w:tabs>
        <w:numPr>
          <w:ilvl w:val="0"/>
          <w:numId w:val="102"/>
        </w:numPr>
        <w:rPr>
          <w:rFonts w:ascii="Arial" w:cs="Arial" w:eastAsia="Arial" w:hAnsi="Arial"/>
          <w:sz w:val="16"/>
          <w:szCs w:val="16"/>
          <w:color w:val="auto"/>
        </w:rPr>
      </w:pPr>
      <w:r>
        <w:rPr>
          <w:rFonts w:ascii="Arial" w:cs="Arial" w:eastAsia="Arial" w:hAnsi="Arial"/>
          <w:sz w:val="19"/>
          <w:szCs w:val="19"/>
          <w:color w:val="auto"/>
        </w:rPr>
        <w:t xml:space="preserve">In the event that, subsequent to the Closing Date, any Person becomes a Domestic Subsidiary of Parent that is a Material Subsidiary, whether pursuant to formation, acquisition or otherwise, (x) Parent shall promptly notify the Administrative Agent and the Lenders thereof and (y) within 30 days (or such longer period as the Administrative Agent shall permit in writing in its sole discretion) after such Person becomes a Domestic Subsidiary, Parent shall cause such Domestic Subsidiary (i) to become a new Guarantor and to grant Liens in favor of the Administrative Agent in all of its personal property by executing and delivering to the Administrative Agent a supplement to the Guaranty and Security Agreement in form and substance reasonably satisfactory to the Administrative Agent, executing and delivering a Copyright Security Agreement, Patent Security Agreement and Trademark Security Agreement, as applicable, and authorizing and delivering, at the request of the Administrative Agent, such UCC financing statements or similar instruments reasonably required by the Administrative Agent to perfect the Liens in favor of the Administrative Agent and granted under any of the Loan Documents, and (ii) to deliver all such other documentation (including, without limitation, certified organizational documents, resolutions, lien searches, title insurance policies, surveys, environmental reports and legal opinions) and to take all such other actions as such Subsidiary would have been required to deliver and take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if such Subsidiary had been a Loan Party on the Closing Date. In addition, within 30 days (or such longer period as the Administrative Agent shall permit in writing in its sole discretion) after the date any Person becomes a Domestic Subsidiary of Parent, Parent and the Borrower shall, or shall cause the applicable Loan Party to (i) pledge all of the Capital Stock of such Domestic Subsidiary to the Administrative Agent as security for the Obligations by executing and delivering a supplement to the Guaranty and Security Agreement in form and substance reasonably satisfactory to the Administrative Agent, and (ii) deliver the original certificates evidencing such pledged Capital Stock to the Administrative Agent, together with appropriate powers executed in blank.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75" w:right="239" w:bottom="1440" w:gutter="0" w:footer="0" w:header="0"/>
        </w:sectPr>
      </w:pPr>
    </w:p>
    <w:bookmarkStart w:id="117" w:name="page118"/>
    <w:bookmarkEnd w:id="117"/>
    <w:p>
      <w:pPr>
        <w:jc w:val="both"/>
        <w:ind w:left="660" w:firstLine="1293"/>
        <w:spacing w:after="0" w:line="288" w:lineRule="auto"/>
        <w:tabs>
          <w:tab w:leader="none" w:pos="2815" w:val="left"/>
        </w:tabs>
        <w:numPr>
          <w:ilvl w:val="0"/>
          <w:numId w:val="103"/>
        </w:numPr>
        <w:rPr>
          <w:rFonts w:ascii="Arial" w:cs="Arial" w:eastAsia="Arial" w:hAnsi="Arial"/>
          <w:sz w:val="16"/>
          <w:szCs w:val="16"/>
          <w:color w:val="auto"/>
        </w:rPr>
      </w:pPr>
      <w:r>
        <w:rPr>
          <w:rFonts w:ascii="Arial" w:cs="Arial" w:eastAsia="Arial" w:hAnsi="Arial"/>
          <w:sz w:val="19"/>
          <w:szCs w:val="19"/>
          <w:color w:val="auto"/>
        </w:rPr>
        <w:t>In the event that, subsequent to the Closing Date, any Person becomes a Foreign Subsidiary, whether pursuant to formation, acquisition or otherwise, (x) Parent shall promptly notify the Administrative Agent and the Lenders thereof and (y) to the extent such Foreign Subsidiary is owned directly by any Loan Party, within 60 days (or such longer period as the Administrative Agent shall permit in writing in its sole discretion) after such Person becomes a Foreign Subsidiary, Parent and the Borrower shall, or shall cause the applicable Loan Party to (i) pledge all of the Capital Stock of such Foreign Subsidiary (or, if the pledge of all of the voting Capital Stock of such Foreign Subsidiary would result in materially adverse tax consequences, then such pledge shall be limited to 66% of the issued and outstanding voting Capital Stock and 100% of the issued and outstanding non-voting Capital Stock of such Foreign Subsidiary, as applicable) to the Administrative Agent as security for the Obligations pursuant to a pledge agreement in form and substance reasonably satisfactory to the Administrative Agent, (ii) deliver the original certificates evidencing such pledged Capital Stock to the Administrative Agent, together with appropriate powers executed in blank and (iii) deliver all such other documentation (including, without limitation, certified organizational documents, resolutions, lien searches and legal opinions) and to take all such other actions as the Administrative Agent may reasonably request.</w:t>
      </w:r>
    </w:p>
    <w:p>
      <w:pPr>
        <w:spacing w:after="0" w:line="197" w:lineRule="exact"/>
        <w:rPr>
          <w:rFonts w:ascii="Arial" w:cs="Arial" w:eastAsia="Arial" w:hAnsi="Arial"/>
          <w:sz w:val="16"/>
          <w:szCs w:val="16"/>
          <w:color w:val="auto"/>
        </w:rPr>
      </w:pPr>
    </w:p>
    <w:p>
      <w:pPr>
        <w:jc w:val="both"/>
        <w:ind w:left="660" w:firstLine="1293"/>
        <w:spacing w:after="0" w:line="262" w:lineRule="auto"/>
        <w:tabs>
          <w:tab w:leader="none" w:pos="2804" w:val="left"/>
        </w:tabs>
        <w:numPr>
          <w:ilvl w:val="0"/>
          <w:numId w:val="103"/>
        </w:numPr>
        <w:rPr>
          <w:rFonts w:ascii="Arial" w:cs="Arial" w:eastAsia="Arial" w:hAnsi="Arial"/>
          <w:sz w:val="17"/>
          <w:szCs w:val="17"/>
          <w:color w:val="auto"/>
        </w:rPr>
      </w:pPr>
      <w:r>
        <w:rPr>
          <w:rFonts w:ascii="Arial" w:cs="Arial" w:eastAsia="Arial" w:hAnsi="Arial"/>
          <w:sz w:val="21"/>
          <w:szCs w:val="21"/>
          <w:color w:val="auto"/>
        </w:rPr>
        <w:t xml:space="preserve">Each of Parent and the Borrower agrees that, following the delivery of any Collateral Documents required to be executed and delivered by this Section, the Administrative Agent shall have a valid and enforceable, first priority perfected Lien on the property required to be pledged pursuant to subsections (a) and (b) of this Section (to the extent that such Lien can be perfected by execution, delivery and/or recording of the Collateral Documents or UCC financing statements, or possession of such Collateral), free and clear of all Liens other than Liens expressly permitted by </w:t>
      </w:r>
      <w:r>
        <w:rPr>
          <w:rFonts w:ascii="Arial" w:cs="Arial" w:eastAsia="Arial" w:hAnsi="Arial"/>
          <w:sz w:val="21"/>
          <w:szCs w:val="21"/>
          <w:u w:val="single" w:color="auto"/>
          <w:color w:val="auto"/>
        </w:rPr>
        <w:t>Section 7.2</w:t>
      </w:r>
      <w:r>
        <w:rPr>
          <w:rFonts w:ascii="Arial" w:cs="Arial" w:eastAsia="Arial" w:hAnsi="Arial"/>
          <w:sz w:val="21"/>
          <w:szCs w:val="21"/>
          <w:color w:val="auto"/>
        </w:rPr>
        <w:t>. All actions to be taken pursuant to this Section shall be at the expense of the Loan Parties, and shall be taken to the reasonable satisfaction of the Administrative Agent.</w:t>
      </w:r>
    </w:p>
    <w:p>
      <w:pPr>
        <w:spacing w:after="0" w:line="21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5.13 </w:t>
      </w:r>
      <w:r>
        <w:rPr>
          <w:rFonts w:ascii="Arial" w:cs="Arial" w:eastAsia="Arial" w:hAnsi="Arial"/>
          <w:sz w:val="19"/>
          <w:szCs w:val="19"/>
          <w:b w:val="1"/>
          <w:bCs w:val="1"/>
          <w:u w:val="single" w:color="auto"/>
          <w:color w:val="auto"/>
        </w:rPr>
        <w:t>Leased Locations</w:t>
      </w:r>
      <w:r>
        <w:rPr>
          <w:rFonts w:ascii="Arial" w:cs="Arial" w:eastAsia="Arial" w:hAnsi="Arial"/>
          <w:sz w:val="19"/>
          <w:szCs w:val="19"/>
          <w:color w:val="auto"/>
        </w:rPr>
        <w:t>. To the extent otherwise permitted hereunder, if Parent, the Borrower 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Subsidiary Loan Party proposes to lease any Real Estate that is a headquarters location or is the primary location where material books or records will be stored, it shall first provide to the Administrative Agent a Collateral Access Agreement from the landlord of such leased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Borrower is unable to deliver such Collateral Access Agreement after using its commercially reasonable efforts to do so, the Administrative Agent shall waive the foregoing requirement.</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5.14 </w:t>
      </w:r>
      <w:r>
        <w:rPr>
          <w:rFonts w:ascii="Arial" w:cs="Arial" w:eastAsia="Arial" w:hAnsi="Arial"/>
          <w:sz w:val="19"/>
          <w:szCs w:val="19"/>
          <w:b w:val="1"/>
          <w:bCs w:val="1"/>
          <w:u w:val="single" w:color="auto"/>
          <w:color w:val="auto"/>
        </w:rPr>
        <w:t>Further Assurances</w:t>
      </w:r>
      <w:r>
        <w:rPr>
          <w:rFonts w:ascii="Arial" w:cs="Arial" w:eastAsia="Arial" w:hAnsi="Arial"/>
          <w:sz w:val="19"/>
          <w:szCs w:val="19"/>
          <w:color w:val="auto"/>
        </w:rPr>
        <w:t>. Parent and the Borrower will, and will cause each Subsidiary Loan Party</w:t>
      </w:r>
      <w:r>
        <w:rPr>
          <w:rFonts w:ascii="Arial" w:cs="Arial" w:eastAsia="Arial" w:hAnsi="Arial"/>
          <w:sz w:val="19"/>
          <w:szCs w:val="19"/>
          <w:b w:val="1"/>
          <w:bCs w:val="1"/>
          <w:color w:val="auto"/>
        </w:rPr>
        <w:t xml:space="preserve"> </w:t>
      </w:r>
      <w:r>
        <w:rPr>
          <w:rFonts w:ascii="Arial" w:cs="Arial" w:eastAsia="Arial" w:hAnsi="Arial"/>
          <w:sz w:val="19"/>
          <w:szCs w:val="19"/>
          <w:color w:val="auto"/>
        </w:rPr>
        <w:t>to,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by the Collateral Documents or the validity or priority of any such Lien, all at the expense of the Loan Parties. Parent and the Borrower also agree to provide to the Administrative Agent, from time to time upon request, evidence reasonably satisfactory to the Administrative Agent as to the perfection and priority of the Liens created or intended to be created by the Collateral Documents.</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Section 5.15 </w:t>
      </w:r>
      <w:r>
        <w:rPr>
          <w:rFonts w:ascii="Arial" w:cs="Arial" w:eastAsia="Arial" w:hAnsi="Arial"/>
          <w:sz w:val="19"/>
          <w:szCs w:val="19"/>
          <w:b w:val="1"/>
          <w:bCs w:val="1"/>
          <w:u w:val="single" w:color="auto"/>
          <w:color w:val="auto"/>
        </w:rPr>
        <w:t>Anti-Corruption Laws; Sanctions</w:t>
      </w:r>
      <w:r>
        <w:rPr>
          <w:rFonts w:ascii="Arial" w:cs="Arial" w:eastAsia="Arial" w:hAnsi="Arial"/>
          <w:sz w:val="19"/>
          <w:szCs w:val="19"/>
          <w:color w:val="auto"/>
        </w:rPr>
        <w:t>. The Borrower will not request any Borrowing or Letter of</w:t>
      </w:r>
      <w:r>
        <w:rPr>
          <w:rFonts w:ascii="Arial" w:cs="Arial" w:eastAsia="Arial" w:hAnsi="Arial"/>
          <w:sz w:val="19"/>
          <w:szCs w:val="19"/>
          <w:b w:val="1"/>
          <w:bCs w:val="1"/>
          <w:color w:val="auto"/>
        </w:rPr>
        <w:t xml:space="preserve"> </w:t>
      </w:r>
      <w:r>
        <w:rPr>
          <w:rFonts w:ascii="Arial" w:cs="Arial" w:eastAsia="Arial" w:hAnsi="Arial"/>
          <w:sz w:val="19"/>
          <w:szCs w:val="19"/>
          <w:color w:val="auto"/>
        </w:rPr>
        <w:t>Credit, and Parent and the Borrower shall ensure that their respective subsidiaries and their respective directors, officers, employees and agents shall not use, the proceeds of any borrower or Letter of Credit (i) in furtherance of an offer, payment, promise to pay, or authorization of the payment of giving of money, or anything else of value, to any person in violation of any Anti-Corruption Laws,</w:t>
      </w:r>
    </w:p>
    <w:p>
      <w:pPr>
        <w:spacing w:after="0" w:line="2" w:lineRule="exact"/>
        <w:rPr>
          <w:sz w:val="20"/>
          <w:szCs w:val="20"/>
          <w:color w:val="auto"/>
        </w:rPr>
      </w:pPr>
    </w:p>
    <w:p>
      <w:pPr>
        <w:ind w:firstLine="8"/>
        <w:spacing w:after="0" w:line="323" w:lineRule="auto"/>
        <w:tabs>
          <w:tab w:leader="none" w:pos="32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75" w:right="239" w:bottom="1440" w:gutter="0" w:footer="0" w:header="0"/>
        </w:sectPr>
      </w:pPr>
    </w:p>
    <w:bookmarkStart w:id="118" w:name="page119"/>
    <w:bookmarkEnd w:id="118"/>
    <w:p>
      <w:pPr>
        <w:jc w:val="both"/>
        <w:spacing w:after="0" w:line="292" w:lineRule="auto"/>
        <w:rPr>
          <w:sz w:val="20"/>
          <w:szCs w:val="20"/>
          <w:color w:val="auto"/>
        </w:rPr>
      </w:pPr>
      <w:r>
        <w:rPr>
          <w:rFonts w:ascii="Arial" w:cs="Arial" w:eastAsia="Arial" w:hAnsi="Arial"/>
          <w:sz w:val="19"/>
          <w:szCs w:val="19"/>
          <w:color w:val="auto"/>
        </w:rPr>
        <w:t>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None of (a) any Loan Party, any Subsidiary or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5.16 </w:t>
      </w:r>
      <w:r>
        <w:rPr>
          <w:rFonts w:ascii="Arial" w:cs="Arial" w:eastAsia="Arial" w:hAnsi="Arial"/>
          <w:sz w:val="22"/>
          <w:szCs w:val="22"/>
          <w:b w:val="1"/>
          <w:bCs w:val="1"/>
          <w:u w:val="single" w:color="auto"/>
          <w:color w:val="auto"/>
        </w:rPr>
        <w:t>Post-Closing Covenants</w:t>
      </w:r>
      <w:r>
        <w:rPr>
          <w:rFonts w:ascii="Arial" w:cs="Arial" w:eastAsia="Arial" w:hAnsi="Arial"/>
          <w:sz w:val="22"/>
          <w:szCs w:val="22"/>
          <w:color w:val="auto"/>
        </w:rPr>
        <w:t>. Parent and the Borrower will, and will cause their Subsidiaries to,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applicable, not later than the dates specified therefor on </w:t>
      </w:r>
      <w:r>
        <w:rPr>
          <w:rFonts w:ascii="Arial" w:cs="Arial" w:eastAsia="Arial" w:hAnsi="Arial"/>
          <w:sz w:val="22"/>
          <w:szCs w:val="22"/>
          <w:u w:val="single" w:color="auto"/>
          <w:color w:val="auto"/>
        </w:rPr>
        <w:t>Schedule 5.16</w:t>
      </w:r>
      <w:r>
        <w:rPr>
          <w:rFonts w:ascii="Arial" w:cs="Arial" w:eastAsia="Arial" w:hAnsi="Arial"/>
          <w:sz w:val="22"/>
          <w:szCs w:val="22"/>
          <w:color w:val="auto"/>
        </w:rPr>
        <w:t xml:space="preserve"> (or such later dates as the Administrative Agent may agree in writing in its sole discretion), satisfy each of the requirements set forth on </w:t>
      </w:r>
      <w:r>
        <w:rPr>
          <w:rFonts w:ascii="Arial" w:cs="Arial" w:eastAsia="Arial" w:hAnsi="Arial"/>
          <w:sz w:val="22"/>
          <w:szCs w:val="22"/>
          <w:u w:val="single" w:color="auto"/>
          <w:color w:val="auto"/>
        </w:rPr>
        <w:t>Schedule 5.16</w:t>
      </w:r>
      <w:r>
        <w:rPr>
          <w:rFonts w:ascii="Arial" w:cs="Arial" w:eastAsia="Arial" w:hAnsi="Arial"/>
          <w:sz w:val="22"/>
          <w:szCs w:val="22"/>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FINANCIAL COVENANTS</w:t>
      </w:r>
    </w:p>
    <w:p>
      <w:pPr>
        <w:spacing w:after="0" w:line="2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Parent and the Borrower covenant and agree that so long as any Lender has a Commitment hereunder or any</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Obligation remains unpaid or outstanding:</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6.1 </w:t>
      </w:r>
      <w:r>
        <w:rPr>
          <w:rFonts w:ascii="Arial" w:cs="Arial" w:eastAsia="Arial" w:hAnsi="Arial"/>
          <w:sz w:val="22"/>
          <w:szCs w:val="22"/>
          <w:b w:val="1"/>
          <w:bCs w:val="1"/>
          <w:u w:val="single" w:color="auto"/>
          <w:color w:val="auto"/>
        </w:rPr>
        <w:t>Consolidated Leverage Ratio</w:t>
      </w:r>
      <w:r>
        <w:rPr>
          <w:rFonts w:ascii="Arial" w:cs="Arial" w:eastAsia="Arial" w:hAnsi="Arial"/>
          <w:sz w:val="22"/>
          <w:szCs w:val="22"/>
          <w:color w:val="auto"/>
        </w:rPr>
        <w:t>. Parent and the Borrower shall not permit the Consolidated</w:t>
      </w:r>
      <w:r>
        <w:rPr>
          <w:rFonts w:ascii="Arial" w:cs="Arial" w:eastAsia="Arial" w:hAnsi="Arial"/>
          <w:sz w:val="22"/>
          <w:szCs w:val="22"/>
          <w:b w:val="1"/>
          <w:bCs w:val="1"/>
          <w:color w:val="auto"/>
        </w:rPr>
        <w:t xml:space="preserve"> </w:t>
      </w:r>
      <w:r>
        <w:rPr>
          <w:rFonts w:ascii="Arial" w:cs="Arial" w:eastAsia="Arial" w:hAnsi="Arial"/>
          <w:sz w:val="22"/>
          <w:szCs w:val="22"/>
          <w:color w:val="auto"/>
        </w:rPr>
        <w:t>Leverage Ratio as of the end of any Fiscal Quarter to be greater than (a) for each Fiscal Quarter ending on or prior to June 30, 2017, 3.50 to 1.00, and (b) for each Fiscal Quarter ending thereafter, 3.25 to 1.00.</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6.2 </w:t>
      </w:r>
      <w:r>
        <w:rPr>
          <w:rFonts w:ascii="Arial" w:cs="Arial" w:eastAsia="Arial" w:hAnsi="Arial"/>
          <w:sz w:val="22"/>
          <w:szCs w:val="22"/>
          <w:b w:val="1"/>
          <w:bCs w:val="1"/>
          <w:u w:val="single" w:color="auto"/>
          <w:color w:val="auto"/>
        </w:rPr>
        <w:t>Interest Coverage Ratio</w:t>
      </w:r>
      <w:r>
        <w:rPr>
          <w:rFonts w:ascii="Arial" w:cs="Arial" w:eastAsia="Arial" w:hAnsi="Arial"/>
          <w:sz w:val="22"/>
          <w:szCs w:val="22"/>
          <w:color w:val="auto"/>
        </w:rPr>
        <w:t>. Parent and the Borrower shall not permit the Interest Coverage Ratio</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end of any Fiscal Quarter to be less than (a) for each Fiscal Quarter ending on or prior to June 30, 2017, 2.00 to 1.00, and (b) for each Fiscal Quarter ending thereafter, 2.50 to 1.00.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NEGATIVE COVENANTS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Parent and the Borrower covenant and agree that so long as any Lender has a Commitment hereunder or 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Obligation remains outstanding:</w:t>
      </w:r>
    </w:p>
    <w:p>
      <w:pPr>
        <w:spacing w:after="0" w:line="196"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9"/>
          <w:szCs w:val="19"/>
          <w:b w:val="1"/>
          <w:bCs w:val="1"/>
          <w:u w:val="single" w:color="auto"/>
          <w:color w:val="auto"/>
        </w:rPr>
        <w:t>Indebtedness and Disqualified Capital Stock</w:t>
      </w:r>
      <w:r>
        <w:rPr>
          <w:rFonts w:ascii="Arial" w:cs="Arial" w:eastAsia="Arial" w:hAnsi="Arial"/>
          <w:sz w:val="19"/>
          <w:szCs w:val="19"/>
          <w:color w:val="auto"/>
        </w:rPr>
        <w:t>. Parent and the Borrower will not, and will not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permit any of their respective Subsidiaries to, create, incur, assume or suffer to exist any Indebtedness, except:</w:t>
      </w:r>
    </w:p>
    <w:p>
      <w:pPr>
        <w:spacing w:after="0" w:line="242" w:lineRule="exact"/>
        <w:rPr>
          <w:sz w:val="20"/>
          <w:szCs w:val="20"/>
          <w:color w:val="auto"/>
        </w:rPr>
      </w:pPr>
    </w:p>
    <w:p>
      <w:pPr>
        <w:ind w:left="2800" w:hanging="847"/>
        <w:spacing w:after="0"/>
        <w:tabs>
          <w:tab w:leader="none" w:pos="2800" w:val="left"/>
        </w:tabs>
        <w:numPr>
          <w:ilvl w:val="0"/>
          <w:numId w:val="105"/>
        </w:numPr>
        <w:rPr>
          <w:rFonts w:ascii="Arial" w:cs="Arial" w:eastAsia="Arial" w:hAnsi="Arial"/>
          <w:sz w:val="18"/>
          <w:szCs w:val="18"/>
          <w:color w:val="auto"/>
        </w:rPr>
      </w:pPr>
      <w:r>
        <w:rPr>
          <w:rFonts w:ascii="Arial" w:cs="Arial" w:eastAsia="Arial" w:hAnsi="Arial"/>
          <w:sz w:val="22"/>
          <w:szCs w:val="22"/>
          <w:color w:val="auto"/>
        </w:rPr>
        <w:t>Indebtedness created pursuant to the Loan Documents;</w:t>
      </w:r>
    </w:p>
    <w:p>
      <w:pPr>
        <w:spacing w:after="0" w:line="273" w:lineRule="exact"/>
        <w:rPr>
          <w:rFonts w:ascii="Arial" w:cs="Arial" w:eastAsia="Arial" w:hAnsi="Arial"/>
          <w:sz w:val="18"/>
          <w:szCs w:val="18"/>
          <w:color w:val="auto"/>
        </w:rPr>
      </w:pPr>
    </w:p>
    <w:p>
      <w:pPr>
        <w:jc w:val="both"/>
        <w:ind w:left="660" w:firstLine="1293"/>
        <w:spacing w:after="0" w:line="254" w:lineRule="auto"/>
        <w:tabs>
          <w:tab w:leader="none" w:pos="2815" w:val="left"/>
        </w:tabs>
        <w:numPr>
          <w:ilvl w:val="0"/>
          <w:numId w:val="105"/>
        </w:numPr>
        <w:rPr>
          <w:rFonts w:ascii="Arial" w:cs="Arial" w:eastAsia="Arial" w:hAnsi="Arial"/>
          <w:sz w:val="18"/>
          <w:szCs w:val="18"/>
          <w:color w:val="auto"/>
        </w:rPr>
      </w:pPr>
      <w:r>
        <w:rPr>
          <w:rFonts w:ascii="Arial" w:cs="Arial" w:eastAsia="Arial" w:hAnsi="Arial"/>
          <w:sz w:val="22"/>
          <w:szCs w:val="22"/>
          <w:color w:val="auto"/>
        </w:rPr>
        <w:t xml:space="preserve">Indebtedness of Parent and its Subsidiaries existing on the date hereof and set forth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7.1</w:t>
      </w:r>
      <w:r>
        <w:rPr>
          <w:rFonts w:ascii="Arial" w:cs="Arial" w:eastAsia="Arial" w:hAnsi="Arial"/>
          <w:sz w:val="22"/>
          <w:szCs w:val="22"/>
          <w:color w:val="auto"/>
        </w:rPr>
        <w:t xml:space="preserve"> and extensions, renewals and replacements of any such Indebtedness that do not increase the outstanding principal amount thereof (immediately prior to giving effect to such extension, renewal or replacement) or shorten the maturity or the weighted average life thereof;</w:t>
      </w:r>
    </w:p>
    <w:p>
      <w:pPr>
        <w:spacing w:after="0" w:line="225" w:lineRule="exact"/>
        <w:rPr>
          <w:rFonts w:ascii="Arial" w:cs="Arial" w:eastAsia="Arial" w:hAnsi="Arial"/>
          <w:sz w:val="18"/>
          <w:szCs w:val="18"/>
          <w:color w:val="auto"/>
        </w:rPr>
      </w:pPr>
    </w:p>
    <w:p>
      <w:pPr>
        <w:jc w:val="both"/>
        <w:ind w:left="660" w:firstLine="1293"/>
        <w:spacing w:after="0" w:line="260" w:lineRule="auto"/>
        <w:tabs>
          <w:tab w:leader="none" w:pos="2804" w:val="left"/>
        </w:tabs>
        <w:numPr>
          <w:ilvl w:val="0"/>
          <w:numId w:val="105"/>
        </w:numPr>
        <w:rPr>
          <w:rFonts w:ascii="Arial" w:cs="Arial" w:eastAsia="Arial" w:hAnsi="Arial"/>
          <w:sz w:val="18"/>
          <w:szCs w:val="18"/>
          <w:color w:val="auto"/>
        </w:rPr>
      </w:pPr>
      <w:r>
        <w:rPr>
          <w:rFonts w:ascii="Arial" w:cs="Arial" w:eastAsia="Arial" w:hAnsi="Arial"/>
          <w:sz w:val="22"/>
          <w:szCs w:val="22"/>
          <w:color w:val="auto"/>
        </w:rPr>
        <w:t>Indebtedness of Parent or any of its Subsidiaries incurred to finance the acquisition, construction or improvement of any fixed or capital assets, including Capital Lease Obligations, and any Indebtedness assumed in connection with the acquisition of any such assets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75" w:right="239" w:bottom="1440" w:gutter="0" w:footer="0" w:header="0"/>
        </w:sectPr>
      </w:pPr>
    </w:p>
    <w:bookmarkStart w:id="119" w:name="page120"/>
    <w:bookmarkEnd w:id="119"/>
    <w:p>
      <w:pPr>
        <w:jc w:val="both"/>
        <w:spacing w:after="0" w:line="288" w:lineRule="auto"/>
        <w:rPr>
          <w:sz w:val="20"/>
          <w:szCs w:val="20"/>
          <w:color w:val="auto"/>
        </w:rPr>
      </w:pPr>
      <w:r>
        <w:rPr>
          <w:rFonts w:ascii="Arial" w:cs="Arial" w:eastAsia="Arial" w:hAnsi="Arial"/>
          <w:sz w:val="19"/>
          <w:szCs w:val="19"/>
          <w:color w:val="auto"/>
        </w:rPr>
        <w:t>secured by a Lien on any such assets prior to the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 incurred prior to or within 180 days after such acquisition or the completion of such construction or improvements), and extensions, renewals or replacements of any such Indebtedness that do not increase the outstanding principal amount thereof (immediately prior to giving effect to such extension, renewal or replacement) or shorten the maturity or the weighted average life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at the time of the incurrence thereof, no Event of Default has occurred and is continuing, (ii) after giving effect to such incurrence, Parent is in compliance with the financial covenants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calculated on a Pro Forma Basis as of the last day of the most recently ended Fiscal Quarter for which financial statements are required to have been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(iii) the aggregate outstanding principal amount of Indebtedness incurred pursuant to this clause (c) does not exceed the greater of (A) $2,500,000 and (B) 5% of Consolidated EBITDA for the most recently ended four Fiscal Quarter period for which financial statements are required to have been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200" w:lineRule="exact"/>
        <w:rPr>
          <w:sz w:val="20"/>
          <w:szCs w:val="20"/>
          <w:color w:val="auto"/>
        </w:rPr>
      </w:pPr>
    </w:p>
    <w:p>
      <w:pPr>
        <w:spacing w:after="0" w:line="257" w:lineRule="exact"/>
        <w:rPr>
          <w:sz w:val="20"/>
          <w:szCs w:val="20"/>
          <w:color w:val="auto"/>
        </w:rPr>
      </w:pPr>
    </w:p>
    <w:p>
      <w:pPr>
        <w:jc w:val="both"/>
        <w:ind w:firstLine="1293"/>
        <w:spacing w:after="0" w:line="260" w:lineRule="auto"/>
        <w:tabs>
          <w:tab w:leader="none" w:pos="2155" w:val="left"/>
        </w:tabs>
        <w:numPr>
          <w:ilvl w:val="0"/>
          <w:numId w:val="106"/>
        </w:numPr>
        <w:rPr>
          <w:rFonts w:ascii="Arial" w:cs="Arial" w:eastAsia="Arial" w:hAnsi="Arial"/>
          <w:sz w:val="18"/>
          <w:szCs w:val="18"/>
          <w:color w:val="auto"/>
        </w:rPr>
      </w:pPr>
      <w:r>
        <w:rPr>
          <w:rFonts w:ascii="Arial" w:cs="Arial" w:eastAsia="Arial" w:hAnsi="Arial"/>
          <w:sz w:val="22"/>
          <w:szCs w:val="22"/>
          <w:color w:val="auto"/>
        </w:rPr>
        <w:t xml:space="preserve">Indebtedness of Parent owing to any Subsidiary of Parent and of any Subsidiary of Parent owing to Parent or any other Subsidiary of Parent;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Indebtedness that is owed by a Subsidiary of Parent that is not a Subsidiary Loan Party shall be subject to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217" w:lineRule="exact"/>
        <w:rPr>
          <w:rFonts w:ascii="Arial" w:cs="Arial" w:eastAsia="Arial" w:hAnsi="Arial"/>
          <w:sz w:val="18"/>
          <w:szCs w:val="18"/>
          <w:color w:val="auto"/>
        </w:rPr>
      </w:pPr>
    </w:p>
    <w:p>
      <w:pPr>
        <w:jc w:val="both"/>
        <w:ind w:firstLine="1293"/>
        <w:spacing w:after="0" w:line="278" w:lineRule="auto"/>
        <w:tabs>
          <w:tab w:leader="none" w:pos="2144" w:val="left"/>
        </w:tabs>
        <w:numPr>
          <w:ilvl w:val="0"/>
          <w:numId w:val="106"/>
        </w:numPr>
        <w:rPr>
          <w:rFonts w:ascii="Arial" w:cs="Arial" w:eastAsia="Arial" w:hAnsi="Arial"/>
          <w:sz w:val="17"/>
          <w:szCs w:val="17"/>
          <w:color w:val="auto"/>
        </w:rPr>
      </w:pPr>
      <w:r>
        <w:rPr>
          <w:rFonts w:ascii="Arial" w:cs="Arial" w:eastAsia="Arial" w:hAnsi="Arial"/>
          <w:sz w:val="21"/>
          <w:szCs w:val="21"/>
          <w:color w:val="auto"/>
        </w:rPr>
        <w:t xml:space="preserve">Guarantees by Parent of Indebtedness of any Subsidiary of Parent and by any Subsidiary of Parent of Indebtedness of Parent or any other Subsidiary of Parent;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Guarantees by any Loan Party of Indebtedness of any Subsidiary of Parent that is not a Subsidiary Loan Party shall be subject to </w:t>
      </w:r>
      <w:r>
        <w:rPr>
          <w:rFonts w:ascii="Arial" w:cs="Arial" w:eastAsia="Arial" w:hAnsi="Arial"/>
          <w:sz w:val="21"/>
          <w:szCs w:val="21"/>
          <w:u w:val="single" w:color="auto"/>
          <w:color w:val="auto"/>
        </w:rPr>
        <w:t>Section 7.4</w:t>
      </w:r>
      <w:r>
        <w:rPr>
          <w:rFonts w:ascii="Arial" w:cs="Arial" w:eastAsia="Arial" w:hAnsi="Arial"/>
          <w:sz w:val="21"/>
          <w:szCs w:val="21"/>
          <w:color w:val="auto"/>
        </w:rPr>
        <w:t>;</w:t>
      </w:r>
    </w:p>
    <w:p>
      <w:pPr>
        <w:spacing w:after="0" w:line="200" w:lineRule="exact"/>
        <w:rPr>
          <w:rFonts w:ascii="Arial" w:cs="Arial" w:eastAsia="Arial" w:hAnsi="Arial"/>
          <w:sz w:val="17"/>
          <w:szCs w:val="17"/>
          <w:color w:val="auto"/>
        </w:rPr>
      </w:pPr>
    </w:p>
    <w:p>
      <w:pPr>
        <w:jc w:val="both"/>
        <w:ind w:firstLine="1293"/>
        <w:spacing w:after="0" w:line="264" w:lineRule="auto"/>
        <w:tabs>
          <w:tab w:leader="none" w:pos="2125" w:val="left"/>
        </w:tabs>
        <w:numPr>
          <w:ilvl w:val="0"/>
          <w:numId w:val="106"/>
        </w:numPr>
        <w:rPr>
          <w:rFonts w:ascii="Arial" w:cs="Arial" w:eastAsia="Arial" w:hAnsi="Arial"/>
          <w:sz w:val="17"/>
          <w:szCs w:val="17"/>
          <w:color w:val="auto"/>
        </w:rPr>
      </w:pPr>
      <w:r>
        <w:rPr>
          <w:rFonts w:ascii="Arial" w:cs="Arial" w:eastAsia="Arial" w:hAnsi="Arial"/>
          <w:sz w:val="21"/>
          <w:szCs w:val="21"/>
          <w:color w:val="auto"/>
        </w:rPr>
        <w:t xml:space="preserve">Indebtedness of any Person which becomes a Subsidiary of Parent after the date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Indebtedness exists at the time that such Person becomes a Subsidiary of Parent and is not created in contemplation of or in connection with such Person becoming a Subsidiary of Parent and (ii) the aggregate outstanding principal amount of such Indebtedness permitted under this clause (f) shall not exceed the greater of (A) $2,500,000 and (B) 5% of Consolidated EBITDA for the most recently ended four Fiscal Quarter period for which financial statements are required to have been delivered pursuant to </w:t>
      </w:r>
      <w:r>
        <w:rPr>
          <w:rFonts w:ascii="Arial" w:cs="Arial" w:eastAsia="Arial" w:hAnsi="Arial"/>
          <w:sz w:val="21"/>
          <w:szCs w:val="21"/>
          <w:u w:val="single" w:color="auto"/>
          <w:color w:val="auto"/>
        </w:rPr>
        <w:t>Section 5.1(a)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w:t>
      </w:r>
    </w:p>
    <w:p>
      <w:pPr>
        <w:spacing w:after="0" w:line="215" w:lineRule="exact"/>
        <w:rPr>
          <w:rFonts w:ascii="Arial" w:cs="Arial" w:eastAsia="Arial" w:hAnsi="Arial"/>
          <w:sz w:val="17"/>
          <w:szCs w:val="17"/>
          <w:color w:val="auto"/>
        </w:rPr>
      </w:pPr>
    </w:p>
    <w:p>
      <w:pPr>
        <w:ind w:left="2160" w:hanging="867"/>
        <w:spacing w:after="0"/>
        <w:tabs>
          <w:tab w:leader="none" w:pos="2160" w:val="left"/>
        </w:tabs>
        <w:numPr>
          <w:ilvl w:val="0"/>
          <w:numId w:val="106"/>
        </w:numPr>
        <w:rPr>
          <w:rFonts w:ascii="Arial" w:cs="Arial" w:eastAsia="Arial" w:hAnsi="Arial"/>
          <w:sz w:val="18"/>
          <w:szCs w:val="18"/>
          <w:color w:val="auto"/>
        </w:rPr>
      </w:pPr>
      <w:r>
        <w:rPr>
          <w:rFonts w:ascii="Arial" w:cs="Arial" w:eastAsia="Arial" w:hAnsi="Arial"/>
          <w:sz w:val="22"/>
          <w:szCs w:val="22"/>
          <w:color w:val="auto"/>
        </w:rPr>
        <w:t xml:space="preserve">Hedging Obligations permitted by </w:t>
      </w:r>
      <w:r>
        <w:rPr>
          <w:rFonts w:ascii="Arial" w:cs="Arial" w:eastAsia="Arial" w:hAnsi="Arial"/>
          <w:sz w:val="22"/>
          <w:szCs w:val="22"/>
          <w:u w:val="single" w:color="auto"/>
          <w:color w:val="auto"/>
        </w:rPr>
        <w:t>Section 7.10</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ind w:left="2160" w:hanging="867"/>
        <w:spacing w:after="0"/>
        <w:tabs>
          <w:tab w:leader="none" w:pos="2160" w:val="left"/>
        </w:tabs>
        <w:numPr>
          <w:ilvl w:val="0"/>
          <w:numId w:val="106"/>
        </w:numPr>
        <w:rPr>
          <w:rFonts w:ascii="Arial" w:cs="Arial" w:eastAsia="Arial" w:hAnsi="Arial"/>
          <w:sz w:val="16"/>
          <w:szCs w:val="16"/>
          <w:color w:val="auto"/>
        </w:rPr>
      </w:pPr>
      <w:r>
        <w:rPr>
          <w:rFonts w:ascii="Arial" w:cs="Arial" w:eastAsia="Arial" w:hAnsi="Arial"/>
          <w:sz w:val="19"/>
          <w:szCs w:val="19"/>
          <w:color w:val="auto"/>
        </w:rPr>
        <w:t>Indebtedness consisting of the financing of insurance premiums incurred in the ordinary course of</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business;</w:t>
      </w:r>
    </w:p>
    <w:p>
      <w:pPr>
        <w:spacing w:after="0" w:line="255" w:lineRule="exact"/>
        <w:rPr>
          <w:rFonts w:ascii="Arial" w:cs="Arial" w:eastAsia="Arial" w:hAnsi="Arial"/>
          <w:sz w:val="16"/>
          <w:szCs w:val="16"/>
          <w:color w:val="auto"/>
        </w:rPr>
      </w:pPr>
    </w:p>
    <w:p>
      <w:pPr>
        <w:ind w:left="2120" w:hanging="827"/>
        <w:spacing w:after="0"/>
        <w:tabs>
          <w:tab w:leader="none" w:pos="2120" w:val="left"/>
        </w:tabs>
        <w:numPr>
          <w:ilvl w:val="0"/>
          <w:numId w:val="106"/>
        </w:numPr>
        <w:rPr>
          <w:rFonts w:ascii="Arial" w:cs="Arial" w:eastAsia="Arial" w:hAnsi="Arial"/>
          <w:sz w:val="16"/>
          <w:szCs w:val="16"/>
          <w:color w:val="auto"/>
        </w:rPr>
      </w:pPr>
      <w:r>
        <w:rPr>
          <w:rFonts w:ascii="Arial" w:cs="Arial" w:eastAsia="Arial" w:hAnsi="Arial"/>
          <w:sz w:val="19"/>
          <w:szCs w:val="19"/>
          <w:color w:val="auto"/>
        </w:rPr>
        <w:t>Indebtedness representing deferred compensation to employees incurred in the ordinary course of</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business;</w:t>
      </w:r>
    </w:p>
    <w:p>
      <w:pPr>
        <w:spacing w:after="0" w:line="255" w:lineRule="exact"/>
        <w:rPr>
          <w:rFonts w:ascii="Arial" w:cs="Arial" w:eastAsia="Arial" w:hAnsi="Arial"/>
          <w:sz w:val="16"/>
          <w:szCs w:val="16"/>
          <w:color w:val="auto"/>
        </w:rPr>
      </w:pPr>
    </w:p>
    <w:p>
      <w:pPr>
        <w:jc w:val="both"/>
        <w:ind w:firstLine="1293"/>
        <w:spacing w:after="0" w:line="307" w:lineRule="auto"/>
        <w:tabs>
          <w:tab w:leader="none" w:pos="2115" w:val="left"/>
        </w:tabs>
        <w:numPr>
          <w:ilvl w:val="0"/>
          <w:numId w:val="106"/>
        </w:numPr>
        <w:rPr>
          <w:rFonts w:ascii="Arial" w:cs="Arial" w:eastAsia="Arial" w:hAnsi="Arial"/>
          <w:sz w:val="16"/>
          <w:szCs w:val="16"/>
          <w:color w:val="auto"/>
        </w:rPr>
      </w:pPr>
      <w:r>
        <w:rPr>
          <w:rFonts w:ascii="Arial" w:cs="Arial" w:eastAsia="Arial" w:hAnsi="Arial"/>
          <w:sz w:val="19"/>
          <w:szCs w:val="19"/>
          <w:color w:val="auto"/>
        </w:rPr>
        <w:t>Indebtedness consisting of any purchase price adjustment, earnout or deferred payment of a similar nature incurred in connection with any investment by Parent or any of its Subsidiaries, but only to the extent that no payment has at the time accrued pursuant to such purchase price adjustment, earnout or deferred payment obligation, or of any indemnification obligation arising in connection with any investment by Parent or any of its Subsidiaries;</w:t>
      </w:r>
    </w:p>
    <w:p>
      <w:pPr>
        <w:spacing w:after="0" w:line="178" w:lineRule="exact"/>
        <w:rPr>
          <w:rFonts w:ascii="Arial" w:cs="Arial" w:eastAsia="Arial" w:hAnsi="Arial"/>
          <w:sz w:val="16"/>
          <w:szCs w:val="16"/>
          <w:color w:val="auto"/>
        </w:rPr>
      </w:pPr>
    </w:p>
    <w:p>
      <w:pPr>
        <w:jc w:val="both"/>
        <w:ind w:firstLine="1293"/>
        <w:spacing w:after="0" w:line="278" w:lineRule="auto"/>
        <w:tabs>
          <w:tab w:leader="none" w:pos="2155" w:val="left"/>
        </w:tabs>
        <w:numPr>
          <w:ilvl w:val="0"/>
          <w:numId w:val="106"/>
        </w:numPr>
        <w:rPr>
          <w:rFonts w:ascii="Arial" w:cs="Arial" w:eastAsia="Arial" w:hAnsi="Arial"/>
          <w:sz w:val="17"/>
          <w:szCs w:val="17"/>
          <w:color w:val="auto"/>
        </w:rPr>
      </w:pPr>
      <w:r>
        <w:rPr>
          <w:rFonts w:ascii="Arial" w:cs="Arial" w:eastAsia="Arial" w:hAnsi="Arial"/>
          <w:sz w:val="21"/>
          <w:szCs w:val="21"/>
          <w:color w:val="auto"/>
        </w:rPr>
        <w:t>Indebtedness arising under any bid, performance or surety bond (including any consumer protection bond or any performance bond posted in respect of contested tax assessments), completion bond or similar obligation, in each case incurred in the ordinary course of business and not supporting Indebtedness;</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760"/>
          </w:cols>
          <w:pgMar w:left="900" w:top="375" w:right="239" w:bottom="1440" w:gutter="0" w:footer="0" w:header="0"/>
        </w:sectPr>
      </w:pPr>
    </w:p>
    <w:bookmarkStart w:id="120" w:name="page121"/>
    <w:bookmarkEnd w:id="120"/>
    <w:p>
      <w:pPr>
        <w:ind w:left="2780" w:hanging="827"/>
        <w:spacing w:after="0"/>
        <w:tabs>
          <w:tab w:leader="none" w:pos="2780" w:val="left"/>
        </w:tabs>
        <w:numPr>
          <w:ilvl w:val="0"/>
          <w:numId w:val="107"/>
        </w:numPr>
        <w:rPr>
          <w:rFonts w:ascii="Arial" w:cs="Arial" w:eastAsia="Arial" w:hAnsi="Arial"/>
          <w:sz w:val="18"/>
          <w:szCs w:val="18"/>
          <w:color w:val="auto"/>
        </w:rPr>
      </w:pPr>
      <w:r>
        <w:rPr>
          <w:rFonts w:ascii="Arial" w:cs="Arial" w:eastAsia="Arial" w:hAnsi="Arial"/>
          <w:sz w:val="22"/>
          <w:szCs w:val="22"/>
          <w:color w:val="auto"/>
        </w:rPr>
        <w:t>overdrafts of such Subsidiary (or Parent) incurred in the ordinary course of business;</w:t>
      </w:r>
    </w:p>
    <w:p>
      <w:pPr>
        <w:spacing w:after="0" w:line="273" w:lineRule="exact"/>
        <w:rPr>
          <w:rFonts w:ascii="Arial" w:cs="Arial" w:eastAsia="Arial" w:hAnsi="Arial"/>
          <w:sz w:val="18"/>
          <w:szCs w:val="18"/>
          <w:color w:val="auto"/>
        </w:rPr>
      </w:pPr>
    </w:p>
    <w:p>
      <w:pPr>
        <w:ind w:left="660" w:firstLine="1293"/>
        <w:spacing w:after="0" w:line="276" w:lineRule="auto"/>
        <w:tabs>
          <w:tab w:leader="none" w:pos="2865" w:val="left"/>
        </w:tabs>
        <w:numPr>
          <w:ilvl w:val="0"/>
          <w:numId w:val="107"/>
        </w:numPr>
        <w:rPr>
          <w:rFonts w:ascii="Arial" w:cs="Arial" w:eastAsia="Arial" w:hAnsi="Arial"/>
          <w:sz w:val="18"/>
          <w:szCs w:val="18"/>
          <w:color w:val="auto"/>
        </w:rPr>
      </w:pPr>
      <w:r>
        <w:rPr>
          <w:rFonts w:ascii="Arial" w:cs="Arial" w:eastAsia="Arial" w:hAnsi="Arial"/>
          <w:sz w:val="22"/>
          <w:szCs w:val="22"/>
          <w:color w:val="auto"/>
        </w:rPr>
        <w:t>all premium (if any), interest (including post-petition interest), fees, expenses, charges and additional or contingent interest on obligations described in the foregoing clauses of this Section;</w:t>
      </w:r>
    </w:p>
    <w:p>
      <w:pPr>
        <w:spacing w:after="0" w:line="201" w:lineRule="exact"/>
        <w:rPr>
          <w:rFonts w:ascii="Arial" w:cs="Arial" w:eastAsia="Arial" w:hAnsi="Arial"/>
          <w:sz w:val="18"/>
          <w:szCs w:val="18"/>
          <w:color w:val="auto"/>
        </w:rPr>
      </w:pPr>
    </w:p>
    <w:p>
      <w:pPr>
        <w:jc w:val="both"/>
        <w:ind w:left="660" w:firstLine="1293"/>
        <w:spacing w:after="0" w:line="250" w:lineRule="auto"/>
        <w:tabs>
          <w:tab w:leader="none" w:pos="2815" w:val="left"/>
        </w:tabs>
        <w:numPr>
          <w:ilvl w:val="0"/>
          <w:numId w:val="107"/>
        </w:numPr>
        <w:rPr>
          <w:rFonts w:ascii="Arial" w:cs="Arial" w:eastAsia="Arial" w:hAnsi="Arial"/>
          <w:sz w:val="18"/>
          <w:szCs w:val="18"/>
          <w:color w:val="auto"/>
        </w:rPr>
      </w:pPr>
      <w:r>
        <w:rPr>
          <w:rFonts w:ascii="Arial" w:cs="Arial" w:eastAsia="Arial" w:hAnsi="Arial"/>
          <w:sz w:val="22"/>
          <w:szCs w:val="22"/>
          <w:color w:val="auto"/>
        </w:rPr>
        <w:t xml:space="preserve">Indebtedness consisting of promissory notes issued to current or former officers, directors and employees of Parent or any of its Subsidiaries, their respective estates, spouses or former spouses issued in exchange for the purchase or redemption by Parent or such Subsidiary of its Equity Interests (other than Disqualified Capital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aggregate principal amount of such Indebtedness permitted by this clause (n) shall not exceed $1,000,000 at any time outstanding and (ii) any Restricted Payments made in connection with such Indebtedness are permitted under </w:t>
      </w:r>
      <w:r>
        <w:rPr>
          <w:rFonts w:ascii="Arial" w:cs="Arial" w:eastAsia="Arial" w:hAnsi="Arial"/>
          <w:sz w:val="22"/>
          <w:szCs w:val="22"/>
          <w:u w:val="single" w:color="auto"/>
          <w:color w:val="auto"/>
        </w:rPr>
        <w:t>Section 7.5</w:t>
      </w:r>
      <w:r>
        <w:rPr>
          <w:rFonts w:ascii="Arial" w:cs="Arial" w:eastAsia="Arial" w:hAnsi="Arial"/>
          <w:sz w:val="22"/>
          <w:szCs w:val="22"/>
          <w:color w:val="auto"/>
        </w:rPr>
        <w:t>;</w:t>
      </w:r>
    </w:p>
    <w:p>
      <w:pPr>
        <w:spacing w:after="0" w:line="228" w:lineRule="exact"/>
        <w:rPr>
          <w:rFonts w:ascii="Arial" w:cs="Arial" w:eastAsia="Arial" w:hAnsi="Arial"/>
          <w:sz w:val="18"/>
          <w:szCs w:val="18"/>
          <w:color w:val="auto"/>
        </w:rPr>
      </w:pPr>
    </w:p>
    <w:p>
      <w:pPr>
        <w:jc w:val="both"/>
        <w:ind w:left="660" w:firstLine="1293"/>
        <w:spacing w:after="0" w:line="300" w:lineRule="auto"/>
        <w:tabs>
          <w:tab w:leader="none" w:pos="2815" w:val="left"/>
        </w:tabs>
        <w:numPr>
          <w:ilvl w:val="0"/>
          <w:numId w:val="107"/>
        </w:numPr>
        <w:rPr>
          <w:rFonts w:ascii="Arial" w:cs="Arial" w:eastAsia="Arial" w:hAnsi="Arial"/>
          <w:sz w:val="16"/>
          <w:szCs w:val="16"/>
          <w:color w:val="auto"/>
        </w:rPr>
      </w:pPr>
      <w:r>
        <w:rPr>
          <w:rFonts w:ascii="Arial" w:cs="Arial" w:eastAsia="Arial" w:hAnsi="Arial"/>
          <w:sz w:val="19"/>
          <w:szCs w:val="19"/>
          <w:color w:val="auto"/>
        </w:rPr>
        <w:t xml:space="preserve">other unsecured Indebtedness of Parent and its Subsidiaries so long as, at the time of the incurrence thereof, (i) no Default or Event of Default has occurred and is continuing and (ii) after giving effect to such incurrence, the Consolidated Leverage Ratio is less than the applicable Consolidated Leverage Ratio covenant level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minus 0.25, calculated on a Pro Forma Basis as of the last day of the most recently ended Fiscal Quarter for which financial statements are required to have been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87" w:lineRule="exact"/>
        <w:rPr>
          <w:rFonts w:ascii="Arial" w:cs="Arial" w:eastAsia="Arial" w:hAnsi="Arial"/>
          <w:sz w:val="16"/>
          <w:szCs w:val="16"/>
          <w:color w:val="auto"/>
        </w:rPr>
      </w:pPr>
    </w:p>
    <w:p>
      <w:pPr>
        <w:jc w:val="both"/>
        <w:ind w:left="660" w:firstLine="1293"/>
        <w:spacing w:after="0" w:line="278" w:lineRule="auto"/>
        <w:tabs>
          <w:tab w:leader="none" w:pos="2815" w:val="left"/>
        </w:tabs>
        <w:numPr>
          <w:ilvl w:val="0"/>
          <w:numId w:val="107"/>
        </w:numPr>
        <w:rPr>
          <w:rFonts w:ascii="Arial" w:cs="Arial" w:eastAsia="Arial" w:hAnsi="Arial"/>
          <w:sz w:val="17"/>
          <w:szCs w:val="17"/>
          <w:color w:val="auto"/>
        </w:rPr>
      </w:pPr>
      <w:r>
        <w:rPr>
          <w:rFonts w:ascii="Arial" w:cs="Arial" w:eastAsia="Arial" w:hAnsi="Arial"/>
          <w:sz w:val="21"/>
          <w:szCs w:val="21"/>
          <w:color w:val="auto"/>
        </w:rPr>
        <w:t>Indebtedness to current and former employees of Parent or any of its Subsidiaries incurred in the ordinary course of business or existing on the Closing Date arising from (A) deferred compensation, severance obligations or similar obligations or (B) health and welfare retirement benefits or similar obligations;</w:t>
      </w:r>
    </w:p>
    <w:p>
      <w:pPr>
        <w:spacing w:after="0" w:line="200" w:lineRule="exact"/>
        <w:rPr>
          <w:rFonts w:ascii="Arial" w:cs="Arial" w:eastAsia="Arial" w:hAnsi="Arial"/>
          <w:sz w:val="17"/>
          <w:szCs w:val="17"/>
          <w:color w:val="auto"/>
        </w:rPr>
      </w:pPr>
    </w:p>
    <w:p>
      <w:pPr>
        <w:ind w:left="660" w:firstLine="1293"/>
        <w:spacing w:after="0" w:line="276" w:lineRule="auto"/>
        <w:tabs>
          <w:tab w:leader="none" w:pos="2815" w:val="left"/>
        </w:tabs>
        <w:numPr>
          <w:ilvl w:val="0"/>
          <w:numId w:val="107"/>
        </w:numPr>
        <w:rPr>
          <w:rFonts w:ascii="Arial" w:cs="Arial" w:eastAsia="Arial" w:hAnsi="Arial"/>
          <w:sz w:val="18"/>
          <w:szCs w:val="18"/>
          <w:color w:val="auto"/>
        </w:rPr>
      </w:pPr>
      <w:r>
        <w:rPr>
          <w:rFonts w:ascii="Arial" w:cs="Arial" w:eastAsia="Arial" w:hAnsi="Arial"/>
          <w:sz w:val="22"/>
          <w:szCs w:val="22"/>
          <w:color w:val="auto"/>
        </w:rPr>
        <w:t>Indebtedness representing installment insurance premiums of Parent or any of its Subsidiaries owing to insurance companies in the ordinary course of business;</w:t>
      </w:r>
    </w:p>
    <w:p>
      <w:pPr>
        <w:spacing w:after="0" w:line="201" w:lineRule="exact"/>
        <w:rPr>
          <w:rFonts w:ascii="Arial" w:cs="Arial" w:eastAsia="Arial" w:hAnsi="Arial"/>
          <w:sz w:val="18"/>
          <w:szCs w:val="18"/>
          <w:color w:val="auto"/>
        </w:rPr>
      </w:pPr>
    </w:p>
    <w:p>
      <w:pPr>
        <w:jc w:val="both"/>
        <w:ind w:left="660" w:firstLine="1293"/>
        <w:spacing w:after="0" w:line="260" w:lineRule="auto"/>
        <w:tabs>
          <w:tab w:leader="none" w:pos="2785" w:val="left"/>
        </w:tabs>
        <w:numPr>
          <w:ilvl w:val="0"/>
          <w:numId w:val="107"/>
        </w:numPr>
        <w:rPr>
          <w:rFonts w:ascii="Arial" w:cs="Arial" w:eastAsia="Arial" w:hAnsi="Arial"/>
          <w:sz w:val="17"/>
          <w:szCs w:val="17"/>
          <w:color w:val="auto"/>
        </w:rPr>
      </w:pPr>
      <w:r>
        <w:rPr>
          <w:rFonts w:ascii="Arial" w:cs="Arial" w:eastAsia="Arial" w:hAnsi="Arial"/>
          <w:sz w:val="21"/>
          <w:szCs w:val="21"/>
          <w:color w:val="auto"/>
        </w:rPr>
        <w:t xml:space="preserve">Indebtedness which represents a refinancing or renewal of any of the Indebtedness permitted under Section 7.01(c), 7.01(d), 7.01(e), 7.01(f), 7.01(n), and 7.01(o);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any such refinancing Indebtedness is in an aggregate principal amount (or aggregate amount, as applicable) not greater than the aggregate principal amount (or aggregate amount, as applicable) of the Indebtedness being renewed or refinanced, plus the amount of any reasonable premiums required to be paid thereon and reasonable fees and expenses associated therewith, (ii) such refinancing Indebtedness has a later or equal final maturity and longer or equal weighted average life to maturity than the Indebtedness being renewed or refinanced, and (iii) the covenants, events of default, subordination (including lien subordination) and other terms, conditions and provisions thereof (including any guarantees thereof or security documents in respect thereof) shall be, in the aggregate, no less favorable to Parent and its Subsidiaries than those contained in the Indebtedness being renewed or refinanced; and</w:t>
      </w:r>
    </w:p>
    <w:p>
      <w:pPr>
        <w:spacing w:after="0" w:line="220" w:lineRule="exact"/>
        <w:rPr>
          <w:rFonts w:ascii="Arial" w:cs="Arial" w:eastAsia="Arial" w:hAnsi="Arial"/>
          <w:sz w:val="17"/>
          <w:szCs w:val="17"/>
          <w:color w:val="auto"/>
        </w:rPr>
      </w:pPr>
    </w:p>
    <w:p>
      <w:pPr>
        <w:ind w:left="2800" w:hanging="847"/>
        <w:spacing w:after="0"/>
        <w:tabs>
          <w:tab w:leader="none" w:pos="2800" w:val="left"/>
        </w:tabs>
        <w:numPr>
          <w:ilvl w:val="0"/>
          <w:numId w:val="107"/>
        </w:numPr>
        <w:rPr>
          <w:rFonts w:ascii="Arial" w:cs="Arial" w:eastAsia="Arial" w:hAnsi="Arial"/>
          <w:sz w:val="16"/>
          <w:szCs w:val="16"/>
          <w:color w:val="auto"/>
        </w:rPr>
      </w:pPr>
      <w:r>
        <w:rPr>
          <w:rFonts w:ascii="Arial" w:cs="Arial" w:eastAsia="Arial" w:hAnsi="Arial"/>
          <w:sz w:val="19"/>
          <w:szCs w:val="19"/>
          <w:color w:val="auto"/>
        </w:rPr>
        <w:t>other Indebtedness in an aggregate outstanding principal amount not to exceed $250,000 at any</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time.</w:t>
      </w:r>
    </w:p>
    <w:p>
      <w:pPr>
        <w:spacing w:after="0" w:line="25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Parent and the Borrower will not, and will not permit any of their respective Subsidiaries to, issue or permit to exist any Disqualified Capital Stock of any such Person. For the avoidance of doubt, (x) if any item meets the criteria set forth in more than one of clauses (b) through (s) of this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then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50" w:lineRule="auto"/>
        <w:rPr>
          <w:sz w:val="20"/>
          <w:szCs w:val="20"/>
          <w:color w:val="auto"/>
        </w:rPr>
      </w:pPr>
      <w:r>
        <w:rPr>
          <w:rFonts w:ascii="Arial" w:cs="Arial" w:eastAsia="Arial" w:hAnsi="Arial"/>
          <w:sz w:val="22"/>
          <w:szCs w:val="22"/>
          <w:color w:val="auto"/>
        </w:rPr>
        <w:t xml:space="preserve">Borrower may classify or reclassify such item in any manner that complies with this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and such item shall be treated as having been permitted pursuant to only one of the clauses of this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and (y) any item meeting the criteria set forth in more than one of clauses (b) through (s) of this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may be divided and classified among more than one of the clauses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Section 7.2 </w:t>
      </w:r>
      <w:r>
        <w:rPr>
          <w:rFonts w:ascii="Arial" w:cs="Arial" w:eastAsia="Arial" w:hAnsi="Arial"/>
          <w:sz w:val="21"/>
          <w:szCs w:val="21"/>
          <w:b w:val="1"/>
          <w:bCs w:val="1"/>
          <w:u w:val="single" w:color="auto"/>
          <w:color w:val="auto"/>
        </w:rPr>
        <w:t>Liens</w:t>
      </w:r>
      <w:r>
        <w:rPr>
          <w:rFonts w:ascii="Arial" w:cs="Arial" w:eastAsia="Arial" w:hAnsi="Arial"/>
          <w:sz w:val="21"/>
          <w:szCs w:val="21"/>
          <w:color w:val="auto"/>
        </w:rPr>
        <w:t>. Parent and the Borrower will not, and will not permit any of their respective Subsidiaries</w:t>
      </w:r>
      <w:r>
        <w:rPr>
          <w:rFonts w:ascii="Arial" w:cs="Arial" w:eastAsia="Arial" w:hAnsi="Arial"/>
          <w:sz w:val="21"/>
          <w:szCs w:val="21"/>
          <w:b w:val="1"/>
          <w:bCs w:val="1"/>
          <w:color w:val="auto"/>
        </w:rPr>
        <w:t xml:space="preserve"> </w:t>
      </w:r>
      <w:r>
        <w:rPr>
          <w:rFonts w:ascii="Arial" w:cs="Arial" w:eastAsia="Arial" w:hAnsi="Arial"/>
          <w:sz w:val="21"/>
          <w:szCs w:val="21"/>
          <w:color w:val="auto"/>
        </w:rPr>
        <w:t>to, create, incur, assume or suffer to exist any Lien on any of its assets or property now owned or hereafter acquired, except:</w:t>
      </w:r>
    </w:p>
    <w:p>
      <w:pPr>
        <w:spacing w:after="0" w:line="186" w:lineRule="exact"/>
        <w:rPr>
          <w:sz w:val="20"/>
          <w:szCs w:val="20"/>
          <w:color w:val="auto"/>
        </w:rPr>
      </w:pPr>
    </w:p>
    <w:p>
      <w:pPr>
        <w:jc w:val="both"/>
        <w:ind w:left="660" w:firstLine="1293"/>
        <w:spacing w:after="0" w:line="320" w:lineRule="auto"/>
        <w:tabs>
          <w:tab w:leader="none" w:pos="2804" w:val="left"/>
        </w:tabs>
        <w:numPr>
          <w:ilvl w:val="1"/>
          <w:numId w:val="108"/>
        </w:numPr>
        <w:rPr>
          <w:rFonts w:ascii="Arial" w:cs="Arial" w:eastAsia="Arial" w:hAnsi="Arial"/>
          <w:sz w:val="16"/>
          <w:szCs w:val="16"/>
          <w:color w:val="auto"/>
        </w:rPr>
      </w:pPr>
      <w:r>
        <w:rPr>
          <w:rFonts w:ascii="Arial" w:cs="Arial" w:eastAsia="Arial" w:hAnsi="Arial"/>
          <w:sz w:val="19"/>
          <w:szCs w:val="19"/>
          <w:color w:val="auto"/>
        </w:rPr>
        <w:t xml:space="preserve">Liens securing the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Liens may secure Hedging Obligations or Bank Product Obligations without securing all other Obligations on a basis at least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such Hedging Obligations or Bank Product Obligations and subject to the priority of payments set forth in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w:t>
      </w:r>
    </w:p>
    <w:p>
      <w:pPr>
        <w:spacing w:after="0" w:line="165" w:lineRule="exact"/>
        <w:rPr>
          <w:rFonts w:ascii="Arial" w:cs="Arial" w:eastAsia="Arial" w:hAnsi="Arial"/>
          <w:sz w:val="16"/>
          <w:szCs w:val="16"/>
          <w:color w:val="auto"/>
        </w:rPr>
      </w:pPr>
    </w:p>
    <w:p>
      <w:pPr>
        <w:ind w:left="2820" w:hanging="867"/>
        <w:spacing w:after="0"/>
        <w:tabs>
          <w:tab w:leader="none" w:pos="2820" w:val="left"/>
        </w:tabs>
        <w:numPr>
          <w:ilvl w:val="1"/>
          <w:numId w:val="108"/>
        </w:numPr>
        <w:rPr>
          <w:rFonts w:ascii="Arial" w:cs="Arial" w:eastAsia="Arial" w:hAnsi="Arial"/>
          <w:sz w:val="18"/>
          <w:szCs w:val="18"/>
          <w:color w:val="auto"/>
        </w:rPr>
      </w:pPr>
      <w:r>
        <w:rPr>
          <w:rFonts w:ascii="Arial" w:cs="Arial" w:eastAsia="Arial" w:hAnsi="Arial"/>
          <w:sz w:val="22"/>
          <w:szCs w:val="22"/>
          <w:color w:val="auto"/>
        </w:rPr>
        <w:t>Permitted Encumbrances;</w:t>
      </w:r>
    </w:p>
    <w:p>
      <w:pPr>
        <w:spacing w:after="0" w:line="273" w:lineRule="exact"/>
        <w:rPr>
          <w:rFonts w:ascii="Arial" w:cs="Arial" w:eastAsia="Arial" w:hAnsi="Arial"/>
          <w:sz w:val="18"/>
          <w:szCs w:val="18"/>
          <w:color w:val="auto"/>
        </w:rPr>
      </w:pPr>
    </w:p>
    <w:p>
      <w:pPr>
        <w:jc w:val="both"/>
        <w:ind w:left="660" w:right="20" w:firstLine="1293"/>
        <w:spacing w:after="0" w:line="260" w:lineRule="auto"/>
        <w:tabs>
          <w:tab w:leader="none" w:pos="2804" w:val="left"/>
        </w:tabs>
        <w:numPr>
          <w:ilvl w:val="1"/>
          <w:numId w:val="108"/>
        </w:numPr>
        <w:rPr>
          <w:rFonts w:ascii="Arial" w:cs="Arial" w:eastAsia="Arial" w:hAnsi="Arial"/>
          <w:sz w:val="18"/>
          <w:szCs w:val="18"/>
          <w:color w:val="auto"/>
        </w:rPr>
      </w:pPr>
      <w:r>
        <w:rPr>
          <w:rFonts w:ascii="Arial" w:cs="Arial" w:eastAsia="Arial" w:hAnsi="Arial"/>
          <w:sz w:val="22"/>
          <w:szCs w:val="22"/>
          <w:color w:val="auto"/>
        </w:rPr>
        <w:t xml:space="preserve">Liens on any property or asset of Parent or any of its Subsidiaries existing on the date hereof and set forth on </w:t>
      </w:r>
      <w:r>
        <w:rPr>
          <w:rFonts w:ascii="Arial" w:cs="Arial" w:eastAsia="Arial" w:hAnsi="Arial"/>
          <w:sz w:val="22"/>
          <w:szCs w:val="22"/>
          <w:u w:val="single" w:color="auto"/>
          <w:color w:val="auto"/>
        </w:rPr>
        <w:t>Schedule 7.2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shall not apply to any other property or asset of Parent or any Subsidiary of Parent;</w:t>
      </w:r>
    </w:p>
    <w:p>
      <w:pPr>
        <w:spacing w:after="0" w:line="217" w:lineRule="exact"/>
        <w:rPr>
          <w:rFonts w:ascii="Arial" w:cs="Arial" w:eastAsia="Arial" w:hAnsi="Arial"/>
          <w:sz w:val="18"/>
          <w:szCs w:val="18"/>
          <w:color w:val="auto"/>
        </w:rPr>
      </w:pPr>
    </w:p>
    <w:p>
      <w:pPr>
        <w:jc w:val="both"/>
        <w:ind w:left="660" w:firstLine="1293"/>
        <w:spacing w:after="0" w:line="294" w:lineRule="auto"/>
        <w:tabs>
          <w:tab w:leader="none" w:pos="2815" w:val="left"/>
        </w:tabs>
        <w:numPr>
          <w:ilvl w:val="1"/>
          <w:numId w:val="108"/>
        </w:numPr>
        <w:rPr>
          <w:rFonts w:ascii="Arial" w:cs="Arial" w:eastAsia="Arial" w:hAnsi="Arial"/>
          <w:sz w:val="16"/>
          <w:szCs w:val="16"/>
          <w:color w:val="auto"/>
        </w:rPr>
      </w:pPr>
      <w:r>
        <w:rPr>
          <w:rFonts w:ascii="Arial" w:cs="Arial" w:eastAsia="Arial" w:hAnsi="Arial"/>
          <w:sz w:val="19"/>
          <w:szCs w:val="19"/>
          <w:color w:val="auto"/>
        </w:rPr>
        <w:t xml:space="preserve">purchase money Liens upon or in any fixed or capital assets of Parent or any of its Subsidiaries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secures Indebtedness permitted by </w:t>
      </w:r>
      <w:r>
        <w:rPr>
          <w:rFonts w:ascii="Arial" w:cs="Arial" w:eastAsia="Arial" w:hAnsi="Arial"/>
          <w:sz w:val="19"/>
          <w:szCs w:val="19"/>
          <w:u w:val="single" w:color="auto"/>
          <w:color w:val="auto"/>
        </w:rPr>
        <w:t>Section 7.1(c</w:t>
      </w:r>
      <w:r>
        <w:rPr>
          <w:rFonts w:ascii="Arial" w:cs="Arial" w:eastAsia="Arial" w:hAnsi="Arial"/>
          <w:sz w:val="19"/>
          <w:szCs w:val="19"/>
          <w:color w:val="auto"/>
        </w:rPr>
        <w:t>), (ii) such Lien attaches to such asset concurrently or within 180 days after the acquisition or the completion of the construction or improvements thereof, (iii) such Lien does not extend to any other asset, and (iv) the Indebtedness secured thereby does not exceed the cost of acquiring, constructing or improving such fixed or capital assets;</w:t>
      </w:r>
    </w:p>
    <w:p>
      <w:pPr>
        <w:spacing w:after="0" w:line="192" w:lineRule="exact"/>
        <w:rPr>
          <w:rFonts w:ascii="Arial" w:cs="Arial" w:eastAsia="Arial" w:hAnsi="Arial"/>
          <w:sz w:val="16"/>
          <w:szCs w:val="16"/>
          <w:color w:val="auto"/>
        </w:rPr>
      </w:pPr>
    </w:p>
    <w:p>
      <w:pPr>
        <w:jc w:val="both"/>
        <w:ind w:left="660" w:firstLine="1293"/>
        <w:spacing w:after="0" w:line="293" w:lineRule="auto"/>
        <w:tabs>
          <w:tab w:leader="none" w:pos="2804" w:val="left"/>
        </w:tabs>
        <w:numPr>
          <w:ilvl w:val="1"/>
          <w:numId w:val="108"/>
        </w:numPr>
        <w:rPr>
          <w:rFonts w:ascii="Arial" w:cs="Arial" w:eastAsia="Arial" w:hAnsi="Arial"/>
          <w:sz w:val="16"/>
          <w:szCs w:val="16"/>
          <w:color w:val="auto"/>
        </w:rPr>
      </w:pPr>
      <w:r>
        <w:rPr>
          <w:rFonts w:ascii="Arial" w:cs="Arial" w:eastAsia="Arial" w:hAnsi="Arial"/>
          <w:sz w:val="19"/>
          <w:szCs w:val="19"/>
          <w:color w:val="auto"/>
        </w:rPr>
        <w:t xml:space="preserve">any Lien (x) existing on any asset of any Person at the time such Person becomes a Subsidiary of Parent, (y) existing on any asset of any Person at the time such Person is merged with or into Parent or any of its Subsidiaries, or (z) existing on any asset prior to the acquisition thereof by Parent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6"/>
          <w:szCs w:val="16"/>
          <w:color w:val="auto"/>
        </w:rPr>
      </w:pPr>
    </w:p>
    <w:p>
      <w:pPr>
        <w:jc w:val="both"/>
        <w:ind w:left="660" w:hanging="4"/>
        <w:spacing w:after="0" w:line="245" w:lineRule="auto"/>
        <w:tabs>
          <w:tab w:leader="none" w:pos="93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such Lien was not created in the contemplation of any of the foregoing and (ii) any such Lien secures only those obligations which it secures on the date that such Person becomes a Subsidiary or the date of such merger or the date of such acquisition;</w:t>
      </w:r>
    </w:p>
    <w:p>
      <w:pPr>
        <w:spacing w:after="0" w:line="233" w:lineRule="exact"/>
        <w:rPr>
          <w:rFonts w:ascii="Arial" w:cs="Arial" w:eastAsia="Arial" w:hAnsi="Arial"/>
          <w:sz w:val="22"/>
          <w:szCs w:val="22"/>
          <w:color w:val="auto"/>
        </w:rPr>
      </w:pPr>
    </w:p>
    <w:p>
      <w:pPr>
        <w:jc w:val="both"/>
        <w:ind w:left="660" w:firstLine="1293"/>
        <w:spacing w:after="0" w:line="253" w:lineRule="auto"/>
        <w:tabs>
          <w:tab w:leader="none" w:pos="2785" w:val="left"/>
        </w:tabs>
        <w:numPr>
          <w:ilvl w:val="1"/>
          <w:numId w:val="109"/>
        </w:numPr>
        <w:rPr>
          <w:rFonts w:ascii="Arial" w:cs="Arial" w:eastAsia="Arial" w:hAnsi="Arial"/>
          <w:sz w:val="18"/>
          <w:szCs w:val="18"/>
          <w:color w:val="auto"/>
        </w:rPr>
      </w:pPr>
      <w:r>
        <w:rPr>
          <w:rFonts w:ascii="Arial" w:cs="Arial" w:eastAsia="Arial" w:hAnsi="Arial"/>
          <w:sz w:val="22"/>
          <w:szCs w:val="22"/>
          <w:color w:val="auto"/>
        </w:rPr>
        <w:t xml:space="preserve">extensions, renewals, or replacements of any Lien referred to in subsections (b) through (e) of this Section;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principal amount of the Indebtedness secured thereby is not increased and that any such extension, renewal or replacement is limited to the assets originally encumbered thereby;</w:t>
      </w:r>
    </w:p>
    <w:p>
      <w:pPr>
        <w:spacing w:after="0" w:line="1" w:lineRule="exact"/>
        <w:rPr>
          <w:rFonts w:ascii="Arial" w:cs="Arial" w:eastAsia="Arial" w:hAnsi="Arial"/>
          <w:sz w:val="18"/>
          <w:szCs w:val="18"/>
          <w:color w:val="auto"/>
        </w:rPr>
      </w:pPr>
    </w:p>
    <w:p>
      <w:pPr>
        <w:ind w:left="660" w:firstLine="1293"/>
        <w:spacing w:after="0" w:line="259" w:lineRule="auto"/>
        <w:tabs>
          <w:tab w:leader="none" w:pos="2815" w:val="left"/>
        </w:tabs>
        <w:numPr>
          <w:ilvl w:val="1"/>
          <w:numId w:val="109"/>
        </w:numPr>
        <w:rPr>
          <w:rFonts w:ascii="Arial" w:cs="Arial" w:eastAsia="Arial" w:hAnsi="Arial"/>
          <w:sz w:val="18"/>
          <w:szCs w:val="18"/>
          <w:color w:val="auto"/>
        </w:rPr>
      </w:pPr>
      <w:r>
        <w:rPr>
          <w:rFonts w:ascii="Arial" w:cs="Arial" w:eastAsia="Arial" w:hAnsi="Arial"/>
          <w:sz w:val="22"/>
          <w:szCs w:val="22"/>
          <w:color w:val="auto"/>
        </w:rPr>
        <w:t>licenses, sublicenses, leases or subleases (other than any Capital Lease Obligations) that do not interfere in any material respect with the business of Parent or any Subsidiary;</w:t>
      </w:r>
    </w:p>
    <w:p>
      <w:pPr>
        <w:spacing w:after="0" w:line="219" w:lineRule="exact"/>
        <w:rPr>
          <w:rFonts w:ascii="Arial" w:cs="Arial" w:eastAsia="Arial" w:hAnsi="Arial"/>
          <w:sz w:val="18"/>
          <w:szCs w:val="18"/>
          <w:color w:val="auto"/>
        </w:rPr>
      </w:pPr>
    </w:p>
    <w:p>
      <w:pPr>
        <w:jc w:val="both"/>
        <w:ind w:left="660" w:firstLine="1293"/>
        <w:spacing w:after="0" w:line="260" w:lineRule="auto"/>
        <w:tabs>
          <w:tab w:leader="none" w:pos="2815" w:val="left"/>
        </w:tabs>
        <w:numPr>
          <w:ilvl w:val="1"/>
          <w:numId w:val="109"/>
        </w:numPr>
        <w:rPr>
          <w:rFonts w:ascii="Arial" w:cs="Arial" w:eastAsia="Arial" w:hAnsi="Arial"/>
          <w:sz w:val="18"/>
          <w:szCs w:val="18"/>
          <w:color w:val="auto"/>
        </w:rPr>
      </w:pPr>
      <w:r>
        <w:rPr>
          <w:rFonts w:ascii="Arial" w:cs="Arial" w:eastAsia="Arial" w:hAnsi="Arial"/>
          <w:sz w:val="22"/>
          <w:szCs w:val="22"/>
          <w:color w:val="auto"/>
        </w:rPr>
        <w:t>any interest or title of a lessor or sublessor under, and Liens arising from UCC financing statements (or equivalent filings, registrations or agreements in foreign jurisdictions) relating to, leases and subleases permitted hereunder (other than any Capital Lease Obligations or Sale/Leaseback Transaction);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75" w:right="239" w:bottom="1440" w:gutter="0" w:footer="0" w:header="0"/>
        </w:sectPr>
      </w:pPr>
    </w:p>
    <w:bookmarkStart w:id="122" w:name="page123"/>
    <w:bookmarkEnd w:id="122"/>
    <w:p>
      <w:pPr>
        <w:jc w:val="both"/>
        <w:ind w:left="4" w:firstLine="1293"/>
        <w:spacing w:after="0" w:line="260" w:lineRule="auto"/>
        <w:tabs>
          <w:tab w:leader="none" w:pos="2119" w:val="left"/>
        </w:tabs>
        <w:numPr>
          <w:ilvl w:val="0"/>
          <w:numId w:val="110"/>
        </w:numPr>
        <w:rPr>
          <w:rFonts w:ascii="Arial" w:cs="Arial" w:eastAsia="Arial" w:hAnsi="Arial"/>
          <w:sz w:val="18"/>
          <w:szCs w:val="18"/>
          <w:color w:val="auto"/>
        </w:rPr>
      </w:pPr>
      <w:r>
        <w:rPr>
          <w:rFonts w:ascii="Arial" w:cs="Arial" w:eastAsia="Arial" w:hAnsi="Arial"/>
          <w:sz w:val="22"/>
          <w:szCs w:val="22"/>
          <w:color w:val="auto"/>
        </w:rPr>
        <w:t>normal and customary rights of setoff upon deposits of cash or other Liens originating solely by virtue of any statutory or common law provision relating to bankers liens, rights of setoff or similar rights in favor of banks or other depository institutions and not securing any Indebtedness;</w:t>
      </w:r>
    </w:p>
    <w:p>
      <w:pPr>
        <w:spacing w:after="0" w:line="217" w:lineRule="exact"/>
        <w:rPr>
          <w:rFonts w:ascii="Arial" w:cs="Arial" w:eastAsia="Arial" w:hAnsi="Arial"/>
          <w:sz w:val="18"/>
          <w:szCs w:val="18"/>
          <w:color w:val="auto"/>
        </w:rPr>
      </w:pPr>
    </w:p>
    <w:p>
      <w:pPr>
        <w:ind w:left="4" w:firstLine="1293"/>
        <w:spacing w:after="0" w:line="276" w:lineRule="auto"/>
        <w:tabs>
          <w:tab w:leader="none" w:pos="2119" w:val="left"/>
        </w:tabs>
        <w:numPr>
          <w:ilvl w:val="0"/>
          <w:numId w:val="110"/>
        </w:numPr>
        <w:rPr>
          <w:rFonts w:ascii="Arial" w:cs="Arial" w:eastAsia="Arial" w:hAnsi="Arial"/>
          <w:sz w:val="18"/>
          <w:szCs w:val="18"/>
          <w:color w:val="auto"/>
        </w:rPr>
      </w:pPr>
      <w:r>
        <w:rPr>
          <w:rFonts w:ascii="Arial" w:cs="Arial" w:eastAsia="Arial" w:hAnsi="Arial"/>
          <w:sz w:val="22"/>
          <w:szCs w:val="22"/>
          <w:color w:val="auto"/>
        </w:rPr>
        <w:t>Liens of a collection bank arising under Section 4-210 of the Uniform Commercial Code on items in the course of collection;</w:t>
      </w:r>
    </w:p>
    <w:p>
      <w:pPr>
        <w:spacing w:after="0" w:line="201" w:lineRule="exact"/>
        <w:rPr>
          <w:rFonts w:ascii="Arial" w:cs="Arial" w:eastAsia="Arial" w:hAnsi="Arial"/>
          <w:sz w:val="18"/>
          <w:szCs w:val="18"/>
          <w:color w:val="auto"/>
        </w:rPr>
      </w:pPr>
    </w:p>
    <w:p>
      <w:pPr>
        <w:jc w:val="both"/>
        <w:ind w:left="4" w:right="20" w:firstLine="1293"/>
        <w:spacing w:after="0" w:line="260" w:lineRule="auto"/>
        <w:tabs>
          <w:tab w:leader="none" w:pos="2158" w:val="left"/>
        </w:tabs>
        <w:numPr>
          <w:ilvl w:val="0"/>
          <w:numId w:val="110"/>
        </w:numPr>
        <w:rPr>
          <w:rFonts w:ascii="Arial" w:cs="Arial" w:eastAsia="Arial" w:hAnsi="Arial"/>
          <w:sz w:val="18"/>
          <w:szCs w:val="18"/>
          <w:color w:val="auto"/>
        </w:rPr>
      </w:pPr>
      <w:r>
        <w:rPr>
          <w:rFonts w:ascii="Arial" w:cs="Arial" w:eastAsia="Arial" w:hAnsi="Arial"/>
          <w:sz w:val="22"/>
          <w:szCs w:val="22"/>
          <w:color w:val="auto"/>
        </w:rPr>
        <w:t>Liens solely on any cash earnest money deposits made by Parent or any Subsidiary in connection with any letter of intent or purchase agreement in respect of any acquisition or other investment by Parent or any Subsidiary;</w:t>
      </w:r>
    </w:p>
    <w:p>
      <w:pPr>
        <w:spacing w:after="0" w:line="217" w:lineRule="exact"/>
        <w:rPr>
          <w:rFonts w:ascii="Arial" w:cs="Arial" w:eastAsia="Arial" w:hAnsi="Arial"/>
          <w:sz w:val="18"/>
          <w:szCs w:val="18"/>
          <w:color w:val="auto"/>
        </w:rPr>
      </w:pPr>
    </w:p>
    <w:p>
      <w:pPr>
        <w:ind w:left="4" w:firstLine="1293"/>
        <w:spacing w:after="0" w:line="276" w:lineRule="auto"/>
        <w:tabs>
          <w:tab w:leader="none" w:pos="2119" w:val="left"/>
        </w:tabs>
        <w:numPr>
          <w:ilvl w:val="0"/>
          <w:numId w:val="110"/>
        </w:numPr>
        <w:rPr>
          <w:rFonts w:ascii="Arial" w:cs="Arial" w:eastAsia="Arial" w:hAnsi="Arial"/>
          <w:sz w:val="18"/>
          <w:szCs w:val="18"/>
          <w:color w:val="auto"/>
        </w:rPr>
      </w:pPr>
      <w:r>
        <w:rPr>
          <w:rFonts w:ascii="Arial" w:cs="Arial" w:eastAsia="Arial" w:hAnsi="Arial"/>
          <w:sz w:val="22"/>
          <w:szCs w:val="22"/>
          <w:color w:val="auto"/>
        </w:rPr>
        <w:t>Liens arising from precautionary Uniform Commercial Code financing statement filings not relating to Indebtedness;</w:t>
      </w:r>
    </w:p>
    <w:p>
      <w:pPr>
        <w:spacing w:after="0" w:line="201" w:lineRule="exact"/>
        <w:rPr>
          <w:rFonts w:ascii="Arial" w:cs="Arial" w:eastAsia="Arial" w:hAnsi="Arial"/>
          <w:sz w:val="18"/>
          <w:szCs w:val="18"/>
          <w:color w:val="auto"/>
        </w:rPr>
      </w:pPr>
    </w:p>
    <w:p>
      <w:pPr>
        <w:jc w:val="both"/>
        <w:ind w:left="4" w:firstLine="1293"/>
        <w:spacing w:after="0" w:line="254" w:lineRule="auto"/>
        <w:tabs>
          <w:tab w:leader="none" w:pos="2208" w:val="left"/>
        </w:tabs>
        <w:numPr>
          <w:ilvl w:val="0"/>
          <w:numId w:val="110"/>
        </w:numPr>
        <w:rPr>
          <w:rFonts w:ascii="Arial" w:cs="Arial" w:eastAsia="Arial" w:hAnsi="Arial"/>
          <w:sz w:val="18"/>
          <w:szCs w:val="18"/>
          <w:color w:val="auto"/>
        </w:rPr>
      </w:pPr>
      <w:r>
        <w:rPr>
          <w:rFonts w:ascii="Arial" w:cs="Arial" w:eastAsia="Arial" w:hAnsi="Arial"/>
          <w:sz w:val="22"/>
          <w:szCs w:val="22"/>
          <w:color w:val="auto"/>
        </w:rPr>
        <w:t>deposits to secure the performance of bids, performance or surety bonds (including consumer protection bonds or performance bonds posted in respect of contested tax assessments), completion bonds or similar obligation, in each case incurred in the ordinary course of business and not supporting Indebtedness for borrowed money; and</w:t>
      </w:r>
    </w:p>
    <w:p>
      <w:pPr>
        <w:spacing w:after="0" w:line="225" w:lineRule="exact"/>
        <w:rPr>
          <w:rFonts w:ascii="Arial" w:cs="Arial" w:eastAsia="Arial" w:hAnsi="Arial"/>
          <w:sz w:val="18"/>
          <w:szCs w:val="18"/>
          <w:color w:val="auto"/>
        </w:rPr>
      </w:pPr>
    </w:p>
    <w:p>
      <w:pPr>
        <w:ind w:left="2164" w:hanging="867"/>
        <w:spacing w:after="0"/>
        <w:tabs>
          <w:tab w:leader="none" w:pos="2164" w:val="left"/>
        </w:tabs>
        <w:numPr>
          <w:ilvl w:val="0"/>
          <w:numId w:val="110"/>
        </w:numPr>
        <w:rPr>
          <w:rFonts w:ascii="Arial" w:cs="Arial" w:eastAsia="Arial" w:hAnsi="Arial"/>
          <w:sz w:val="17"/>
          <w:szCs w:val="17"/>
          <w:color w:val="auto"/>
        </w:rPr>
      </w:pPr>
      <w:r>
        <w:rPr>
          <w:rFonts w:ascii="Arial" w:cs="Arial" w:eastAsia="Arial" w:hAnsi="Arial"/>
          <w:sz w:val="21"/>
          <w:szCs w:val="21"/>
          <w:color w:val="auto"/>
        </w:rPr>
        <w:t>other Liens securing obligations in an aggregate outstanding principal amount not to exceed</w:t>
      </w:r>
    </w:p>
    <w:p>
      <w:pPr>
        <w:spacing w:after="0" w:line="33"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22"/>
          <w:szCs w:val="22"/>
          <w:color w:val="auto"/>
        </w:rPr>
        <w:t>$250,000 at any time.</w:t>
      </w:r>
    </w:p>
    <w:p>
      <w:pPr>
        <w:spacing w:after="0" w:line="250" w:lineRule="exact"/>
        <w:rPr>
          <w:sz w:val="20"/>
          <w:szCs w:val="20"/>
          <w:color w:val="auto"/>
        </w:rPr>
      </w:pPr>
    </w:p>
    <w:p>
      <w:pPr>
        <w:ind w:left="4"/>
        <w:spacing w:after="0"/>
        <w:tabs>
          <w:tab w:leader="none" w:pos="2263" w:val="left"/>
        </w:tabs>
        <w:rPr>
          <w:sz w:val="20"/>
          <w:szCs w:val="20"/>
          <w:color w:val="auto"/>
        </w:rPr>
      </w:pPr>
      <w:r>
        <w:rPr>
          <w:rFonts w:ascii="Arial" w:cs="Arial" w:eastAsia="Arial" w:hAnsi="Arial"/>
          <w:sz w:val="22"/>
          <w:szCs w:val="22"/>
          <w:b w:val="1"/>
          <w:bCs w:val="1"/>
          <w:color w:val="auto"/>
        </w:rPr>
        <w:t>Section 7.3</w:t>
      </w:r>
      <w:r>
        <w:rPr>
          <w:sz w:val="20"/>
          <w:szCs w:val="20"/>
          <w:color w:val="auto"/>
        </w:rPr>
        <w:tab/>
      </w:r>
      <w:r>
        <w:rPr>
          <w:rFonts w:ascii="Arial" w:cs="Arial" w:eastAsia="Arial" w:hAnsi="Arial"/>
          <w:sz w:val="19"/>
          <w:szCs w:val="19"/>
          <w:b w:val="1"/>
          <w:bCs w:val="1"/>
          <w:u w:val="single" w:color="auto"/>
          <w:color w:val="auto"/>
        </w:rPr>
        <w:t>Fundamental Changes</w:t>
      </w:r>
      <w:r>
        <w:rPr>
          <w:rFonts w:ascii="Arial" w:cs="Arial" w:eastAsia="Arial" w:hAnsi="Arial"/>
          <w:sz w:val="19"/>
          <w:szCs w:val="19"/>
          <w:color w:val="auto"/>
        </w:rPr>
        <w:t>.</w:t>
      </w:r>
    </w:p>
    <w:p>
      <w:pPr>
        <w:spacing w:after="0" w:line="266" w:lineRule="exact"/>
        <w:rPr>
          <w:sz w:val="20"/>
          <w:szCs w:val="20"/>
          <w:color w:val="auto"/>
        </w:rPr>
      </w:pPr>
    </w:p>
    <w:p>
      <w:pPr>
        <w:jc w:val="both"/>
        <w:ind w:left="4" w:firstLine="1293"/>
        <w:spacing w:after="0" w:line="287" w:lineRule="auto"/>
        <w:tabs>
          <w:tab w:leader="none" w:pos="2148" w:val="left"/>
        </w:tabs>
        <w:numPr>
          <w:ilvl w:val="1"/>
          <w:numId w:val="111"/>
        </w:numPr>
        <w:rPr>
          <w:rFonts w:ascii="Arial" w:cs="Arial" w:eastAsia="Arial" w:hAnsi="Arial"/>
          <w:sz w:val="16"/>
          <w:szCs w:val="16"/>
          <w:color w:val="auto"/>
        </w:rPr>
      </w:pPr>
      <w:r>
        <w:rPr>
          <w:rFonts w:ascii="Arial" w:cs="Arial" w:eastAsia="Arial" w:hAnsi="Arial"/>
          <w:sz w:val="19"/>
          <w:szCs w:val="19"/>
          <w:color w:val="auto"/>
        </w:rPr>
        <w:t xml:space="preserve">Parent and the Borrower will not, and will not permit any of their respective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stock of any of their respective Subsidiaries (in each case, whether now owned or hereafter acquired) or liquidate or dissolve;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thereof and immediately after giving effect thereto, no Default or Event of Default shall have occurred and be continuing,</w:t>
      </w:r>
    </w:p>
    <w:p>
      <w:pPr>
        <w:spacing w:after="0" w:line="3" w:lineRule="exact"/>
        <w:rPr>
          <w:rFonts w:ascii="Arial" w:cs="Arial" w:eastAsia="Arial" w:hAnsi="Arial"/>
          <w:sz w:val="16"/>
          <w:szCs w:val="16"/>
          <w:color w:val="auto"/>
        </w:rPr>
      </w:pPr>
    </w:p>
    <w:p>
      <w:pPr>
        <w:jc w:val="both"/>
        <w:ind w:left="4" w:hanging="4"/>
        <w:spacing w:after="0" w:line="286" w:lineRule="auto"/>
        <w:tabs>
          <w:tab w:leader="none" w:pos="27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Parent may merge with a Person if Parent is the surviving Person, (ii) the Borrower or any Subsidiary of the Borrower may merge with a Person if the Borrower (or such Subsidiary if the Borrower is not a party to such merger) is the surviving Person, (iii) any Subsidiary of the Borrower may merge into another Subsidiary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party to such merger is a Subsidiary Loan Party, the Subsidiary Loan Party shall be the surviving Person, (iv) any Subsidiary of the Borrower may sell, transfer, lease or otherwise dispose of all or substantially all of its assets to the Borrower or to a Subsidiary Loan Party, and (v) any Subsidiary of the Borrower may liquidate or dissolve if the Borrower determines in good faith that such liquidation or dissolution is in the best interests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Subsidiary Loan Party shall liquidate or dissolve into the Borrower or another Subsidiary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such merger under this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involving a Person that is not a wholly owned Subsidiary immediately prior to such merger shall not be permitted unless also permitted by </w:t>
      </w:r>
      <w:r>
        <w:rPr>
          <w:rFonts w:ascii="Arial" w:cs="Arial" w:eastAsia="Arial" w:hAnsi="Arial"/>
          <w:sz w:val="19"/>
          <w:szCs w:val="19"/>
          <w:u w:val="single" w:color="auto"/>
          <w:color w:val="auto"/>
        </w:rPr>
        <w:t>Section 7.4(d)</w:t>
      </w:r>
      <w:r>
        <w:rPr>
          <w:rFonts w:ascii="Arial" w:cs="Arial" w:eastAsia="Arial" w:hAnsi="Arial"/>
          <w:sz w:val="19"/>
          <w:szCs w:val="19"/>
          <w:color w:val="auto"/>
        </w:rPr>
        <w:t>.</w:t>
      </w:r>
    </w:p>
    <w:p>
      <w:pPr>
        <w:spacing w:after="0" w:line="201" w:lineRule="exact"/>
        <w:rPr>
          <w:rFonts w:ascii="Arial" w:cs="Arial" w:eastAsia="Arial" w:hAnsi="Arial"/>
          <w:sz w:val="19"/>
          <w:szCs w:val="19"/>
          <w:color w:val="auto"/>
        </w:rPr>
      </w:pPr>
    </w:p>
    <w:p>
      <w:pPr>
        <w:jc w:val="both"/>
        <w:ind w:left="4" w:right="20" w:firstLine="1293"/>
        <w:spacing w:after="0" w:line="260" w:lineRule="auto"/>
        <w:tabs>
          <w:tab w:leader="none" w:pos="2158" w:val="left"/>
        </w:tabs>
        <w:numPr>
          <w:ilvl w:val="1"/>
          <w:numId w:val="112"/>
        </w:numPr>
        <w:rPr>
          <w:rFonts w:ascii="Arial" w:cs="Arial" w:eastAsia="Arial" w:hAnsi="Arial"/>
          <w:sz w:val="18"/>
          <w:szCs w:val="18"/>
          <w:color w:val="auto"/>
        </w:rPr>
      </w:pPr>
      <w:r>
        <w:rPr>
          <w:rFonts w:ascii="Arial" w:cs="Arial" w:eastAsia="Arial" w:hAnsi="Arial"/>
          <w:sz w:val="22"/>
          <w:szCs w:val="22"/>
          <w:color w:val="auto"/>
        </w:rPr>
        <w:t>Parent and the Borrower will not, and will not permit any of their respective Subsidiaries to, engage in any business other than businesses of the type conducted by Parent, the Borrower and their respective Subsidiaries on the date hereof and businesses reasonably incidental or related thereto.</w:t>
      </w:r>
    </w:p>
    <w:p>
      <w:pPr>
        <w:spacing w:after="0" w:line="19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764"/>
          </w:cols>
          <w:pgMar w:left="896" w:top="375" w:right="239" w:bottom="1440" w:gutter="0" w:footer="0" w:header="0"/>
        </w:sectPr>
      </w:pPr>
    </w:p>
    <w:bookmarkStart w:id="123" w:name="page124"/>
    <w:bookmarkEnd w:id="123"/>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7.4 </w:t>
      </w:r>
      <w:r>
        <w:rPr>
          <w:rFonts w:ascii="Arial" w:cs="Arial" w:eastAsia="Arial" w:hAnsi="Arial"/>
          <w:sz w:val="21"/>
          <w:szCs w:val="21"/>
          <w:b w:val="1"/>
          <w:bCs w:val="1"/>
          <w:u w:val="single" w:color="auto"/>
          <w:color w:val="auto"/>
        </w:rPr>
        <w:t>Investments, Loans</w:t>
      </w:r>
      <w:r>
        <w:rPr>
          <w:rFonts w:ascii="Arial" w:cs="Arial" w:eastAsia="Arial" w:hAnsi="Arial"/>
          <w:sz w:val="21"/>
          <w:szCs w:val="21"/>
          <w:color w:val="auto"/>
        </w:rPr>
        <w:t>. Parent and the Borrower will not, and will not permit any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Subsidiaries to, purchase, hold or acquire (including pursuant to any merger with any Person that was not a wholly owned Subsidiary prior to such merger) any Capital Stock, evidence of Indebtedness or other securities (including any option, warrant, or other right to acquire any of the foregoing) of, make or permit to exist any loans or advances to, Guarantee any obligations of, or make or permit to exist any investment or any other interest in, any other Person (all of the foregoing being collectively called “</w:t>
      </w:r>
      <w:r>
        <w:rPr>
          <w:rFonts w:ascii="Arial" w:cs="Arial" w:eastAsia="Arial" w:hAnsi="Arial"/>
          <w:sz w:val="21"/>
          <w:szCs w:val="21"/>
          <w:u w:val="single" w:color="auto"/>
          <w:color w:val="auto"/>
        </w:rPr>
        <w:t>Investments</w:t>
      </w:r>
      <w:r>
        <w:rPr>
          <w:rFonts w:ascii="Arial" w:cs="Arial" w:eastAsia="Arial" w:hAnsi="Arial"/>
          <w:sz w:val="21"/>
          <w:szCs w:val="21"/>
          <w:color w:val="auto"/>
        </w:rPr>
        <w:t>”), or purchase or otherwise acquire (in one transaction or a series of transactions) any assets of any other Person that constitute a business unit, or create or form any Subsidiary, except:</w:t>
      </w:r>
    </w:p>
    <w:p>
      <w:pPr>
        <w:spacing w:after="0" w:line="221" w:lineRule="exact"/>
        <w:rPr>
          <w:sz w:val="20"/>
          <w:szCs w:val="20"/>
          <w:color w:val="auto"/>
        </w:rPr>
      </w:pPr>
    </w:p>
    <w:p>
      <w:pPr>
        <w:ind w:left="660" w:firstLine="1293"/>
        <w:spacing w:after="0" w:line="276" w:lineRule="auto"/>
        <w:tabs>
          <w:tab w:leader="none" w:pos="2804" w:val="left"/>
        </w:tabs>
        <w:numPr>
          <w:ilvl w:val="0"/>
          <w:numId w:val="113"/>
        </w:numPr>
        <w:rPr>
          <w:rFonts w:ascii="Arial" w:cs="Arial" w:eastAsia="Arial" w:hAnsi="Arial"/>
          <w:sz w:val="18"/>
          <w:szCs w:val="18"/>
          <w:color w:val="auto"/>
        </w:rPr>
      </w:pPr>
      <w:r>
        <w:rPr>
          <w:rFonts w:ascii="Arial" w:cs="Arial" w:eastAsia="Arial" w:hAnsi="Arial"/>
          <w:sz w:val="22"/>
          <w:szCs w:val="22"/>
          <w:color w:val="auto"/>
        </w:rPr>
        <w:t xml:space="preserve">Investments (other than Permitted Investments) existing on the date hereof and set forth on </w:t>
      </w:r>
      <w:r>
        <w:rPr>
          <w:rFonts w:ascii="Arial" w:cs="Arial" w:eastAsia="Arial" w:hAnsi="Arial"/>
          <w:sz w:val="22"/>
          <w:szCs w:val="22"/>
          <w:u w:val="single" w:color="auto"/>
          <w:color w:val="auto"/>
        </w:rPr>
        <w:t>Schedule 7.4</w:t>
      </w:r>
      <w:r>
        <w:rPr>
          <w:rFonts w:ascii="Arial" w:cs="Arial" w:eastAsia="Arial" w:hAnsi="Arial"/>
          <w:sz w:val="22"/>
          <w:szCs w:val="22"/>
          <w:color w:val="auto"/>
        </w:rPr>
        <w:t xml:space="preserve"> (including Investments in Subsidiaries);</w:t>
      </w:r>
    </w:p>
    <w:p>
      <w:pPr>
        <w:spacing w:after="0" w:line="201" w:lineRule="exact"/>
        <w:rPr>
          <w:rFonts w:ascii="Arial" w:cs="Arial" w:eastAsia="Arial" w:hAnsi="Arial"/>
          <w:sz w:val="18"/>
          <w:szCs w:val="18"/>
          <w:color w:val="auto"/>
        </w:rPr>
      </w:pPr>
    </w:p>
    <w:p>
      <w:pPr>
        <w:ind w:left="2820" w:hanging="867"/>
        <w:spacing w:after="0"/>
        <w:tabs>
          <w:tab w:leader="none" w:pos="2820" w:val="left"/>
        </w:tabs>
        <w:numPr>
          <w:ilvl w:val="0"/>
          <w:numId w:val="113"/>
        </w:numPr>
        <w:rPr>
          <w:rFonts w:ascii="Arial" w:cs="Arial" w:eastAsia="Arial" w:hAnsi="Arial"/>
          <w:sz w:val="18"/>
          <w:szCs w:val="18"/>
          <w:color w:val="auto"/>
        </w:rPr>
      </w:pPr>
      <w:r>
        <w:rPr>
          <w:rFonts w:ascii="Arial" w:cs="Arial" w:eastAsia="Arial" w:hAnsi="Arial"/>
          <w:sz w:val="22"/>
          <w:szCs w:val="22"/>
          <w:color w:val="auto"/>
        </w:rPr>
        <w:t>Permitted Investments;</w:t>
      </w:r>
    </w:p>
    <w:p>
      <w:pPr>
        <w:spacing w:after="0" w:line="273" w:lineRule="exact"/>
        <w:rPr>
          <w:rFonts w:ascii="Arial" w:cs="Arial" w:eastAsia="Arial" w:hAnsi="Arial"/>
          <w:sz w:val="18"/>
          <w:szCs w:val="18"/>
          <w:color w:val="auto"/>
        </w:rPr>
      </w:pPr>
    </w:p>
    <w:p>
      <w:pPr>
        <w:jc w:val="both"/>
        <w:ind w:left="660" w:firstLine="1293"/>
        <w:spacing w:after="0" w:line="320" w:lineRule="auto"/>
        <w:tabs>
          <w:tab w:leader="none" w:pos="2804" w:val="left"/>
        </w:tabs>
        <w:numPr>
          <w:ilvl w:val="0"/>
          <w:numId w:val="113"/>
        </w:numPr>
        <w:rPr>
          <w:rFonts w:ascii="Arial" w:cs="Arial" w:eastAsia="Arial" w:hAnsi="Arial"/>
          <w:sz w:val="16"/>
          <w:szCs w:val="16"/>
          <w:color w:val="auto"/>
        </w:rPr>
      </w:pPr>
      <w:r>
        <w:rPr>
          <w:rFonts w:ascii="Arial" w:cs="Arial" w:eastAsia="Arial" w:hAnsi="Arial"/>
          <w:sz w:val="19"/>
          <w:szCs w:val="19"/>
          <w:color w:val="auto"/>
        </w:rPr>
        <w:t xml:space="preserve">Guarantees by Parent and its Subsidiaries constituting Indebtedness permitted by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Indebtedness of Subsidiaries of Parent that are not Subsidiary Loan Parties that is Guaranteed by any Loan Party shall be subject to the limitation set forth in subsection (d) of this Section;</w:t>
      </w:r>
    </w:p>
    <w:p>
      <w:pPr>
        <w:spacing w:after="0" w:line="165" w:lineRule="exact"/>
        <w:rPr>
          <w:rFonts w:ascii="Arial" w:cs="Arial" w:eastAsia="Arial" w:hAnsi="Arial"/>
          <w:sz w:val="16"/>
          <w:szCs w:val="16"/>
          <w:color w:val="auto"/>
        </w:rPr>
      </w:pPr>
    </w:p>
    <w:p>
      <w:pPr>
        <w:jc w:val="both"/>
        <w:ind w:left="660" w:firstLine="1293"/>
        <w:spacing w:after="0" w:line="264" w:lineRule="auto"/>
        <w:tabs>
          <w:tab w:leader="none" w:pos="2815" w:val="left"/>
        </w:tabs>
        <w:numPr>
          <w:ilvl w:val="0"/>
          <w:numId w:val="113"/>
        </w:numPr>
        <w:rPr>
          <w:rFonts w:ascii="Arial" w:cs="Arial" w:eastAsia="Arial" w:hAnsi="Arial"/>
          <w:sz w:val="17"/>
          <w:szCs w:val="17"/>
          <w:color w:val="auto"/>
        </w:rPr>
      </w:pPr>
      <w:r>
        <w:rPr>
          <w:rFonts w:ascii="Arial" w:cs="Arial" w:eastAsia="Arial" w:hAnsi="Arial"/>
          <w:sz w:val="21"/>
          <w:szCs w:val="21"/>
          <w:color w:val="auto"/>
        </w:rPr>
        <w:t xml:space="preserve">Investments (other than Acquisitions) made by Parent, the Borrower or any Subsidiary Loan Party in or to any Subsidiary and by any Subsidiary to the Borrower or in or to another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Investment in any Subsidiary that is not a Loan Party, (i) no Default or Event of Default shall have occurred and be continuing at the time such Investment is made or would result therefrom and (ii) the aggregate amount of Investments by the Loan Parties in or to any Subsidiary that is not a Loan Party (including all such Investments existing on the Closing Date) shall not exceed $15,000,000 at any time outstanding;</w:t>
      </w:r>
    </w:p>
    <w:p>
      <w:pPr>
        <w:spacing w:after="0" w:line="215" w:lineRule="exact"/>
        <w:rPr>
          <w:rFonts w:ascii="Arial" w:cs="Arial" w:eastAsia="Arial" w:hAnsi="Arial"/>
          <w:sz w:val="17"/>
          <w:szCs w:val="17"/>
          <w:color w:val="auto"/>
        </w:rPr>
      </w:pPr>
    </w:p>
    <w:p>
      <w:pPr>
        <w:jc w:val="both"/>
        <w:ind w:left="660" w:firstLine="1293"/>
        <w:spacing w:after="0" w:line="260" w:lineRule="auto"/>
        <w:tabs>
          <w:tab w:leader="none" w:pos="2804" w:val="left"/>
        </w:tabs>
        <w:numPr>
          <w:ilvl w:val="0"/>
          <w:numId w:val="113"/>
        </w:numPr>
        <w:rPr>
          <w:rFonts w:ascii="Arial" w:cs="Arial" w:eastAsia="Arial" w:hAnsi="Arial"/>
          <w:sz w:val="18"/>
          <w:szCs w:val="18"/>
          <w:color w:val="auto"/>
        </w:rPr>
      </w:pPr>
      <w:r>
        <w:rPr>
          <w:rFonts w:ascii="Arial" w:cs="Arial" w:eastAsia="Arial" w:hAnsi="Arial"/>
          <w:sz w:val="22"/>
          <w:szCs w:val="22"/>
          <w:color w:val="auto"/>
        </w:rPr>
        <w:t xml:space="preserve">loans or advances to employees, officers or directors of Parent or any of its Subsidiaries in the ordinary course of business for travel, relocation and related expenses;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all such loans and advances does not exceed $500,000 at any time outstanding;</w:t>
      </w:r>
    </w:p>
    <w:p>
      <w:pPr>
        <w:spacing w:after="0" w:line="217" w:lineRule="exact"/>
        <w:rPr>
          <w:rFonts w:ascii="Arial" w:cs="Arial" w:eastAsia="Arial" w:hAnsi="Arial"/>
          <w:sz w:val="18"/>
          <w:szCs w:val="18"/>
          <w:color w:val="auto"/>
        </w:rPr>
      </w:pPr>
    </w:p>
    <w:p>
      <w:pPr>
        <w:ind w:left="2780" w:hanging="827"/>
        <w:spacing w:after="0"/>
        <w:tabs>
          <w:tab w:leader="none" w:pos="2780" w:val="left"/>
        </w:tabs>
        <w:numPr>
          <w:ilvl w:val="0"/>
          <w:numId w:val="113"/>
        </w:numPr>
        <w:rPr>
          <w:rFonts w:ascii="Arial" w:cs="Arial" w:eastAsia="Arial" w:hAnsi="Arial"/>
          <w:sz w:val="18"/>
          <w:szCs w:val="18"/>
          <w:color w:val="auto"/>
        </w:rPr>
      </w:pPr>
      <w:r>
        <w:rPr>
          <w:rFonts w:ascii="Arial" w:cs="Arial" w:eastAsia="Arial" w:hAnsi="Arial"/>
          <w:sz w:val="22"/>
          <w:szCs w:val="22"/>
          <w:color w:val="auto"/>
        </w:rPr>
        <w:t xml:space="preserve">Hedging Transactions permitted by </w:t>
      </w:r>
      <w:r>
        <w:rPr>
          <w:rFonts w:ascii="Arial" w:cs="Arial" w:eastAsia="Arial" w:hAnsi="Arial"/>
          <w:sz w:val="22"/>
          <w:szCs w:val="22"/>
          <w:u w:val="single" w:color="auto"/>
          <w:color w:val="auto"/>
        </w:rPr>
        <w:t>Section 7.10</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ind w:left="2820" w:hanging="867"/>
        <w:spacing w:after="0"/>
        <w:tabs>
          <w:tab w:leader="none" w:pos="2820" w:val="left"/>
        </w:tabs>
        <w:numPr>
          <w:ilvl w:val="0"/>
          <w:numId w:val="113"/>
        </w:numPr>
        <w:rPr>
          <w:rFonts w:ascii="Arial" w:cs="Arial" w:eastAsia="Arial" w:hAnsi="Arial"/>
          <w:sz w:val="18"/>
          <w:szCs w:val="18"/>
          <w:color w:val="auto"/>
        </w:rPr>
      </w:pPr>
      <w:r>
        <w:rPr>
          <w:rFonts w:ascii="Arial" w:cs="Arial" w:eastAsia="Arial" w:hAnsi="Arial"/>
          <w:sz w:val="22"/>
          <w:szCs w:val="22"/>
          <w:color w:val="auto"/>
        </w:rPr>
        <w:t>Permitted Acquisitions;</w:t>
      </w:r>
    </w:p>
    <w:p>
      <w:pPr>
        <w:spacing w:after="0" w:line="273" w:lineRule="exact"/>
        <w:rPr>
          <w:rFonts w:ascii="Arial" w:cs="Arial" w:eastAsia="Arial" w:hAnsi="Arial"/>
          <w:sz w:val="18"/>
          <w:szCs w:val="18"/>
          <w:color w:val="auto"/>
        </w:rPr>
      </w:pPr>
    </w:p>
    <w:p>
      <w:pPr>
        <w:jc w:val="both"/>
        <w:ind w:left="660" w:firstLine="1293"/>
        <w:spacing w:after="0" w:line="254" w:lineRule="auto"/>
        <w:tabs>
          <w:tab w:leader="none" w:pos="2815" w:val="left"/>
        </w:tabs>
        <w:numPr>
          <w:ilvl w:val="0"/>
          <w:numId w:val="113"/>
        </w:numPr>
        <w:rPr>
          <w:rFonts w:ascii="Arial" w:cs="Arial" w:eastAsia="Arial" w:hAnsi="Arial"/>
          <w:sz w:val="18"/>
          <w:szCs w:val="18"/>
          <w:color w:val="auto"/>
        </w:rPr>
      </w:pPr>
      <w:r>
        <w:rPr>
          <w:rFonts w:ascii="Arial" w:cs="Arial" w:eastAsia="Arial" w:hAnsi="Arial"/>
          <w:sz w:val="22"/>
          <w:szCs w:val="22"/>
          <w:color w:val="auto"/>
        </w:rPr>
        <w:t xml:space="preserve">Investments (other than Acquisitions and Investments described in clause (d) of this Section 7.4) by Parent or any of its Subsidiaries which in the aggregate do not exceed $25,000,000 at any time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that no Default or Event of Default shall have occurred and be continuing at the time such Investment is made or would result therefrom;</w:t>
      </w:r>
    </w:p>
    <w:p>
      <w:pPr>
        <w:spacing w:after="0" w:line="225" w:lineRule="exact"/>
        <w:rPr>
          <w:rFonts w:ascii="Arial" w:cs="Arial" w:eastAsia="Arial" w:hAnsi="Arial"/>
          <w:sz w:val="18"/>
          <w:szCs w:val="18"/>
          <w:color w:val="auto"/>
        </w:rPr>
      </w:pPr>
    </w:p>
    <w:p>
      <w:pPr>
        <w:jc w:val="both"/>
        <w:ind w:left="660" w:firstLine="1293"/>
        <w:spacing w:after="0" w:line="260" w:lineRule="auto"/>
        <w:tabs>
          <w:tab w:leader="none" w:pos="2775" w:val="left"/>
        </w:tabs>
        <w:numPr>
          <w:ilvl w:val="0"/>
          <w:numId w:val="113"/>
        </w:numPr>
        <w:rPr>
          <w:rFonts w:ascii="Arial" w:cs="Arial" w:eastAsia="Arial" w:hAnsi="Arial"/>
          <w:sz w:val="18"/>
          <w:szCs w:val="18"/>
          <w:color w:val="auto"/>
        </w:rPr>
      </w:pPr>
      <w:r>
        <w:rPr>
          <w:rFonts w:ascii="Arial" w:cs="Arial" w:eastAsia="Arial" w:hAnsi="Arial"/>
          <w:sz w:val="22"/>
          <w:szCs w:val="22"/>
          <w:color w:val="auto"/>
        </w:rPr>
        <w:t xml:space="preserve">any transactions deemed to be Investments arising in connection with any dissolution or reorganization of any Subsidiary permitted under </w:t>
      </w:r>
      <w:r>
        <w:rPr>
          <w:rFonts w:ascii="Arial" w:cs="Arial" w:eastAsia="Arial" w:hAnsi="Arial"/>
          <w:sz w:val="22"/>
          <w:szCs w:val="22"/>
          <w:u w:val="single" w:color="auto"/>
          <w:color w:val="auto"/>
        </w:rPr>
        <w:t>Section 7.3</w:t>
      </w:r>
      <w:r>
        <w:rPr>
          <w:rFonts w:ascii="Arial" w:cs="Arial" w:eastAsia="Arial" w:hAnsi="Arial"/>
          <w:sz w:val="22"/>
          <w:szCs w:val="22"/>
          <w:color w:val="auto"/>
        </w:rPr>
        <w:t>, so long as no cash or other tangible property is invested in such Subsidiary;</w:t>
      </w:r>
    </w:p>
    <w:p>
      <w:pPr>
        <w:spacing w:after="0" w:line="217" w:lineRule="exact"/>
        <w:rPr>
          <w:rFonts w:ascii="Arial" w:cs="Arial" w:eastAsia="Arial" w:hAnsi="Arial"/>
          <w:sz w:val="18"/>
          <w:szCs w:val="18"/>
          <w:color w:val="auto"/>
        </w:rPr>
      </w:pPr>
    </w:p>
    <w:p>
      <w:pPr>
        <w:ind w:left="2780" w:hanging="827"/>
        <w:spacing w:after="0"/>
        <w:tabs>
          <w:tab w:leader="none" w:pos="2780" w:val="left"/>
        </w:tabs>
        <w:numPr>
          <w:ilvl w:val="0"/>
          <w:numId w:val="113"/>
        </w:numPr>
        <w:rPr>
          <w:rFonts w:ascii="Arial" w:cs="Arial" w:eastAsia="Arial" w:hAnsi="Arial"/>
          <w:sz w:val="16"/>
          <w:szCs w:val="16"/>
          <w:color w:val="auto"/>
        </w:rPr>
      </w:pPr>
      <w:r>
        <w:rPr>
          <w:rFonts w:ascii="Arial" w:cs="Arial" w:eastAsia="Arial" w:hAnsi="Arial"/>
          <w:sz w:val="19"/>
          <w:szCs w:val="19"/>
          <w:color w:val="auto"/>
        </w:rPr>
        <w:t>Investments consisting of the acquisition of property in the ordinary course of business (other than</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Acquisitions);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25" w:right="239" w:bottom="1440" w:gutter="0" w:footer="0" w:header="0"/>
        </w:sectPr>
      </w:pPr>
    </w:p>
    <w:bookmarkStart w:id="124" w:name="page125"/>
    <w:bookmarkEnd w:id="124"/>
    <w:p>
      <w:pPr>
        <w:jc w:val="both"/>
        <w:ind w:left="660" w:firstLine="1293"/>
        <w:spacing w:after="0" w:line="260" w:lineRule="auto"/>
        <w:tabs>
          <w:tab w:leader="none" w:pos="2815" w:val="left"/>
        </w:tabs>
        <w:numPr>
          <w:ilvl w:val="0"/>
          <w:numId w:val="114"/>
        </w:numPr>
        <w:rPr>
          <w:rFonts w:ascii="Arial" w:cs="Arial" w:eastAsia="Arial" w:hAnsi="Arial"/>
          <w:sz w:val="18"/>
          <w:szCs w:val="18"/>
          <w:color w:val="auto"/>
        </w:rPr>
      </w:pPr>
      <w:r>
        <w:rPr>
          <w:rFonts w:ascii="Arial" w:cs="Arial" w:eastAsia="Arial" w:hAnsi="Arial"/>
          <w:sz w:val="22"/>
          <w:szCs w:val="22"/>
          <w:color w:val="auto"/>
        </w:rPr>
        <w:t>Investments in securities of trade creditors or customers in the ordinary course of business that are received in settlement of bona fide disputes or pursuant to any plan of reorganization or liquidation or similar arrangement upon the bankruptcy or insolvency of such trade creditors or customers;</w:t>
      </w:r>
    </w:p>
    <w:p>
      <w:pPr>
        <w:spacing w:after="0" w:line="217" w:lineRule="exact"/>
        <w:rPr>
          <w:rFonts w:ascii="Arial" w:cs="Arial" w:eastAsia="Arial" w:hAnsi="Arial"/>
          <w:sz w:val="18"/>
          <w:szCs w:val="18"/>
          <w:color w:val="auto"/>
        </w:rPr>
      </w:pPr>
    </w:p>
    <w:p>
      <w:pPr>
        <w:jc w:val="both"/>
        <w:ind w:left="660" w:firstLine="1293"/>
        <w:spacing w:after="0" w:line="254" w:lineRule="auto"/>
        <w:tabs>
          <w:tab w:leader="none" w:pos="2775" w:val="left"/>
        </w:tabs>
        <w:numPr>
          <w:ilvl w:val="0"/>
          <w:numId w:val="114"/>
        </w:numPr>
        <w:rPr>
          <w:rFonts w:ascii="Arial" w:cs="Arial" w:eastAsia="Arial" w:hAnsi="Arial"/>
          <w:sz w:val="18"/>
          <w:szCs w:val="18"/>
          <w:color w:val="auto"/>
        </w:rPr>
      </w:pPr>
      <w:r>
        <w:rPr>
          <w:rFonts w:ascii="Arial" w:cs="Arial" w:eastAsia="Arial" w:hAnsi="Arial"/>
          <w:sz w:val="22"/>
          <w:szCs w:val="22"/>
          <w:color w:val="auto"/>
        </w:rPr>
        <w:t>Investments (other than Acquisitions and Investments described in clause (d) of this Section 7.4) and made in accordance with any written investment policy of Parent delivered to and approved by the Administrative Agent (such approval not to be unreasonably withheld, conditioned, or delayed), with such changes thereto as adopted in good faith by the board of directors of Parent from time to time;</w:t>
      </w:r>
    </w:p>
    <w:p>
      <w:pPr>
        <w:spacing w:after="0" w:line="225" w:lineRule="exact"/>
        <w:rPr>
          <w:rFonts w:ascii="Arial" w:cs="Arial" w:eastAsia="Arial" w:hAnsi="Arial"/>
          <w:sz w:val="18"/>
          <w:szCs w:val="18"/>
          <w:color w:val="auto"/>
        </w:rPr>
      </w:pPr>
    </w:p>
    <w:p>
      <w:pPr>
        <w:ind w:left="660" w:firstLine="1293"/>
        <w:spacing w:after="0" w:line="276" w:lineRule="auto"/>
        <w:tabs>
          <w:tab w:leader="none" w:pos="2865" w:val="left"/>
        </w:tabs>
        <w:numPr>
          <w:ilvl w:val="0"/>
          <w:numId w:val="114"/>
        </w:numPr>
        <w:rPr>
          <w:rFonts w:ascii="Arial" w:cs="Arial" w:eastAsia="Arial" w:hAnsi="Arial"/>
          <w:sz w:val="18"/>
          <w:szCs w:val="18"/>
          <w:color w:val="auto"/>
        </w:rPr>
      </w:pPr>
      <w:r>
        <w:rPr>
          <w:rFonts w:ascii="Arial" w:cs="Arial" w:eastAsia="Arial" w:hAnsi="Arial"/>
          <w:sz w:val="22"/>
          <w:szCs w:val="22"/>
          <w:color w:val="auto"/>
        </w:rPr>
        <w:t>nominal capital contributions made in connection with and in furtherance of the formation of any new Subsidiaries as permitted hereunder;</w:t>
      </w:r>
    </w:p>
    <w:p>
      <w:pPr>
        <w:spacing w:after="0" w:line="201" w:lineRule="exact"/>
        <w:rPr>
          <w:rFonts w:ascii="Arial" w:cs="Arial" w:eastAsia="Arial" w:hAnsi="Arial"/>
          <w:sz w:val="18"/>
          <w:szCs w:val="18"/>
          <w:color w:val="auto"/>
        </w:rPr>
      </w:pPr>
    </w:p>
    <w:p>
      <w:pPr>
        <w:jc w:val="both"/>
        <w:ind w:left="660" w:firstLine="1293"/>
        <w:spacing w:after="0" w:line="260" w:lineRule="auto"/>
        <w:tabs>
          <w:tab w:leader="none" w:pos="2815" w:val="left"/>
        </w:tabs>
        <w:numPr>
          <w:ilvl w:val="0"/>
          <w:numId w:val="114"/>
        </w:numPr>
        <w:rPr>
          <w:rFonts w:ascii="Arial" w:cs="Arial" w:eastAsia="Arial" w:hAnsi="Arial"/>
          <w:sz w:val="18"/>
          <w:szCs w:val="18"/>
          <w:color w:val="auto"/>
        </w:rPr>
      </w:pPr>
      <w:r>
        <w:rPr>
          <w:rFonts w:ascii="Arial" w:cs="Arial" w:eastAsia="Arial" w:hAnsi="Arial"/>
          <w:sz w:val="22"/>
          <w:szCs w:val="22"/>
          <w:color w:val="auto"/>
        </w:rPr>
        <w:t>Investments consisting of accounts receivable owing to any of Parent, the Borrower, or such Subsidiary if created or acquired in the ordinary course of business and payable or dischargeable in accordance with customary terms; and</w:t>
      </w:r>
    </w:p>
    <w:p>
      <w:pPr>
        <w:spacing w:after="0" w:line="217" w:lineRule="exact"/>
        <w:rPr>
          <w:rFonts w:ascii="Arial" w:cs="Arial" w:eastAsia="Arial" w:hAnsi="Arial"/>
          <w:sz w:val="18"/>
          <w:szCs w:val="18"/>
          <w:color w:val="auto"/>
        </w:rPr>
      </w:pPr>
    </w:p>
    <w:p>
      <w:pPr>
        <w:jc w:val="both"/>
        <w:ind w:left="660" w:firstLine="1293"/>
        <w:spacing w:after="0" w:line="250" w:lineRule="auto"/>
        <w:tabs>
          <w:tab w:leader="none" w:pos="2815" w:val="left"/>
        </w:tabs>
        <w:numPr>
          <w:ilvl w:val="0"/>
          <w:numId w:val="114"/>
        </w:numPr>
        <w:rPr>
          <w:rFonts w:ascii="Arial" w:cs="Arial" w:eastAsia="Arial" w:hAnsi="Arial"/>
          <w:sz w:val="18"/>
          <w:szCs w:val="18"/>
          <w:color w:val="auto"/>
        </w:rPr>
      </w:pPr>
      <w:r>
        <w:rPr>
          <w:rFonts w:ascii="Arial" w:cs="Arial" w:eastAsia="Arial" w:hAnsi="Arial"/>
          <w:sz w:val="22"/>
          <w:szCs w:val="22"/>
          <w:color w:val="auto"/>
        </w:rPr>
        <w:t xml:space="preserve">other Investments (other than Acquisitions and Investments described in clause (d) of this Section 7.4) by Parent or any of its Subsidiaries which in the aggregate so long as (i) no Default or Event of Default shall have occurred and be continuing at the time such Investment is made or would result therefrom, and (ii) after giving effect to such Investment, the Consolidated Leverage Ratio is less than or equal 3.0 to 1.0, calculated on a Pro Forma Basis as of the last day of the most recently ended Fiscal Quarter for which financial statements are required to have been delivered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Parent will not create, form, purchase, acquire, or otherwise suffer to exist any direct Subsidiary other than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20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For purposes of determining the amount of any Investment outstanding for purposes of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such amount shall be deemed to be the cost of such Investment when made, purchased or acquired, net of any amount representing return of (but not return on) such Investment and without regard to any forgiveness of Indebtedness. For the avoidance of doubt, (x) if any Investment meets the criteria set forth in more than one of clauses (a) through (o) of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then the Borrower may classify or reclassify such Investment in any manner that complies with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and such Investment shall be treated as having been permitted pursuant to only one of the clauses of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and (y) any Investment meeting the criteria set forth in more than one of clauses (a) through (o) of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may be divided and classified among more than one of the clauses of this </w:t>
      </w:r>
      <w:r>
        <w:rPr>
          <w:rFonts w:ascii="Arial" w:cs="Arial" w:eastAsia="Arial" w:hAnsi="Arial"/>
          <w:sz w:val="21"/>
          <w:szCs w:val="21"/>
          <w:u w:val="single" w:color="auto"/>
          <w:color w:val="auto"/>
        </w:rPr>
        <w:t>Section 7.4</w:t>
      </w:r>
      <w:r>
        <w:rPr>
          <w:rFonts w:ascii="Arial" w:cs="Arial" w:eastAsia="Arial" w:hAnsi="Arial"/>
          <w:sz w:val="21"/>
          <w:szCs w:val="21"/>
          <w:color w:val="auto"/>
        </w:rPr>
        <w:t>.</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7.5 </w:t>
      </w:r>
      <w:r>
        <w:rPr>
          <w:rFonts w:ascii="Arial" w:cs="Arial" w:eastAsia="Arial" w:hAnsi="Arial"/>
          <w:sz w:val="22"/>
          <w:szCs w:val="22"/>
          <w:b w:val="1"/>
          <w:bCs w:val="1"/>
          <w:u w:val="single" w:color="auto"/>
          <w:color w:val="auto"/>
        </w:rPr>
        <w:t>Restricted Payments</w:t>
      </w:r>
      <w:r>
        <w:rPr>
          <w:rFonts w:ascii="Arial" w:cs="Arial" w:eastAsia="Arial" w:hAnsi="Arial"/>
          <w:sz w:val="22"/>
          <w:szCs w:val="22"/>
          <w:color w:val="auto"/>
        </w:rPr>
        <w:t>. Parent and the Borrower will not, and will not permit any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Subsidiaries to, declare or make, or agree to pay or make, directly or indirectly, any Restricted Payment, except:</w:t>
      </w:r>
    </w:p>
    <w:p>
      <w:pPr>
        <w:spacing w:after="0" w:line="209" w:lineRule="exact"/>
        <w:rPr>
          <w:sz w:val="20"/>
          <w:szCs w:val="20"/>
          <w:color w:val="auto"/>
        </w:rPr>
      </w:pPr>
    </w:p>
    <w:p>
      <w:pPr>
        <w:ind w:left="2800" w:hanging="847"/>
        <w:spacing w:after="0"/>
        <w:tabs>
          <w:tab w:leader="none" w:pos="2800" w:val="left"/>
        </w:tabs>
        <w:numPr>
          <w:ilvl w:val="0"/>
          <w:numId w:val="115"/>
        </w:numPr>
        <w:rPr>
          <w:rFonts w:ascii="Arial" w:cs="Arial" w:eastAsia="Arial" w:hAnsi="Arial"/>
          <w:sz w:val="18"/>
          <w:szCs w:val="18"/>
          <w:color w:val="auto"/>
        </w:rPr>
      </w:pPr>
      <w:r>
        <w:rPr>
          <w:rFonts w:ascii="Arial" w:cs="Arial" w:eastAsia="Arial" w:hAnsi="Arial"/>
          <w:sz w:val="22"/>
          <w:szCs w:val="22"/>
          <w:color w:val="auto"/>
        </w:rPr>
        <w:t>dividends payable by Parent solely in interests of any class of its common equity;</w:t>
      </w:r>
    </w:p>
    <w:p>
      <w:pPr>
        <w:spacing w:after="0" w:line="273" w:lineRule="exact"/>
        <w:rPr>
          <w:rFonts w:ascii="Arial" w:cs="Arial" w:eastAsia="Arial" w:hAnsi="Arial"/>
          <w:sz w:val="18"/>
          <w:szCs w:val="18"/>
          <w:color w:val="auto"/>
        </w:rPr>
      </w:pPr>
    </w:p>
    <w:p>
      <w:pPr>
        <w:jc w:val="both"/>
        <w:ind w:left="660" w:firstLine="1293"/>
        <w:spacing w:after="0" w:line="260" w:lineRule="auto"/>
        <w:tabs>
          <w:tab w:leader="none" w:pos="2815" w:val="left"/>
        </w:tabs>
        <w:numPr>
          <w:ilvl w:val="0"/>
          <w:numId w:val="115"/>
        </w:numPr>
        <w:rPr>
          <w:rFonts w:ascii="Arial" w:cs="Arial" w:eastAsia="Arial" w:hAnsi="Arial"/>
          <w:sz w:val="18"/>
          <w:szCs w:val="18"/>
          <w:color w:val="auto"/>
        </w:rPr>
      </w:pPr>
      <w:r>
        <w:rPr>
          <w:rFonts w:ascii="Arial" w:cs="Arial" w:eastAsia="Arial" w:hAnsi="Arial"/>
          <w:sz w:val="22"/>
          <w:szCs w:val="22"/>
          <w:color w:val="auto"/>
        </w:rPr>
        <w:t xml:space="preserve">Restricted Payments made by any Subsidiary to Parent or to another Subsidiary, on at least a </w:t>
      </w:r>
      <w:r>
        <w:rPr>
          <w:rFonts w:ascii="Arial" w:cs="Arial" w:eastAsia="Arial" w:hAnsi="Arial"/>
          <w:sz w:val="22"/>
          <w:szCs w:val="22"/>
          <w:i w:val="1"/>
          <w:iCs w:val="1"/>
          <w:color w:val="auto"/>
        </w:rPr>
        <w:t>pro</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rata </w:t>
      </w:r>
      <w:r>
        <w:rPr>
          <w:rFonts w:ascii="Arial" w:cs="Arial" w:eastAsia="Arial" w:hAnsi="Arial"/>
          <w:sz w:val="22"/>
          <w:szCs w:val="22"/>
          <w:color w:val="auto"/>
        </w:rPr>
        <w:t>basis with any other shareholders if such Subsidiary is not wholly owned by Parent and other wholly owned</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of Parent;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75" w:right="239" w:bottom="1440" w:gutter="0" w:footer="0" w:header="0"/>
        </w:sectPr>
      </w:pPr>
    </w:p>
    <w:bookmarkStart w:id="125" w:name="page126"/>
    <w:bookmarkEnd w:id="125"/>
    <w:p>
      <w:pPr>
        <w:ind w:left="660" w:right="20" w:firstLine="1293"/>
        <w:spacing w:after="0" w:line="276" w:lineRule="auto"/>
        <w:tabs>
          <w:tab w:leader="none" w:pos="2804" w:val="left"/>
        </w:tabs>
        <w:numPr>
          <w:ilvl w:val="0"/>
          <w:numId w:val="116"/>
        </w:numPr>
        <w:rPr>
          <w:rFonts w:ascii="Arial" w:cs="Arial" w:eastAsia="Arial" w:hAnsi="Arial"/>
          <w:sz w:val="18"/>
          <w:szCs w:val="18"/>
          <w:color w:val="auto"/>
        </w:rPr>
      </w:pPr>
      <w:r>
        <w:rPr>
          <w:rFonts w:ascii="Arial" w:cs="Arial" w:eastAsia="Arial" w:hAnsi="Arial"/>
          <w:sz w:val="22"/>
          <w:szCs w:val="22"/>
          <w:color w:val="auto"/>
        </w:rPr>
        <w:t>Restricted Payments made pursuant to and in accordance with stock option plans or other benefit plans for management or employees of Parent and the Subsidiaries;</w:t>
      </w:r>
    </w:p>
    <w:p>
      <w:pPr>
        <w:spacing w:after="0" w:line="201" w:lineRule="exact"/>
        <w:rPr>
          <w:rFonts w:ascii="Arial" w:cs="Arial" w:eastAsia="Arial" w:hAnsi="Arial"/>
          <w:sz w:val="18"/>
          <w:szCs w:val="18"/>
          <w:color w:val="auto"/>
        </w:rPr>
      </w:pPr>
    </w:p>
    <w:p>
      <w:pPr>
        <w:ind w:left="2820" w:hanging="867"/>
        <w:spacing w:after="0"/>
        <w:tabs>
          <w:tab w:leader="none" w:pos="2820" w:val="left"/>
        </w:tabs>
        <w:numPr>
          <w:ilvl w:val="0"/>
          <w:numId w:val="116"/>
        </w:numPr>
        <w:rPr>
          <w:rFonts w:ascii="Arial" w:cs="Arial" w:eastAsia="Arial" w:hAnsi="Arial"/>
          <w:sz w:val="18"/>
          <w:szCs w:val="18"/>
          <w:color w:val="auto"/>
        </w:rPr>
      </w:pPr>
      <w:r>
        <w:rPr>
          <w:rFonts w:ascii="Arial" w:cs="Arial" w:eastAsia="Arial" w:hAnsi="Arial"/>
          <w:sz w:val="22"/>
          <w:szCs w:val="22"/>
          <w:color w:val="auto"/>
        </w:rPr>
        <w:t>Permitted Tax Distributions;</w:t>
      </w:r>
    </w:p>
    <w:p>
      <w:pPr>
        <w:spacing w:after="0" w:line="273" w:lineRule="exact"/>
        <w:rPr>
          <w:rFonts w:ascii="Arial" w:cs="Arial" w:eastAsia="Arial" w:hAnsi="Arial"/>
          <w:sz w:val="18"/>
          <w:szCs w:val="18"/>
          <w:color w:val="auto"/>
        </w:rPr>
      </w:pPr>
    </w:p>
    <w:p>
      <w:pPr>
        <w:jc w:val="both"/>
        <w:ind w:left="660" w:firstLine="1293"/>
        <w:spacing w:after="0" w:line="270" w:lineRule="auto"/>
        <w:tabs>
          <w:tab w:leader="none" w:pos="2804" w:val="left"/>
        </w:tabs>
        <w:numPr>
          <w:ilvl w:val="0"/>
          <w:numId w:val="116"/>
        </w:numPr>
        <w:rPr>
          <w:rFonts w:ascii="Arial" w:cs="Arial" w:eastAsia="Arial" w:hAnsi="Arial"/>
          <w:sz w:val="17"/>
          <w:szCs w:val="17"/>
          <w:color w:val="auto"/>
        </w:rPr>
      </w:pPr>
      <w:r>
        <w:rPr>
          <w:rFonts w:ascii="Arial" w:cs="Arial" w:eastAsia="Arial" w:hAnsi="Arial"/>
          <w:sz w:val="21"/>
          <w:szCs w:val="21"/>
          <w:color w:val="auto"/>
        </w:rPr>
        <w:t>Restricted Payments from the Borrower to Parent solely for the purpose of the payment by Parent of principal and interest on Indebtedness of Parent (to the extent such Indebtedness and such payments are permitted hereunder) so long as (i) no Default or Event of Default has occurred and is continuing and (ii) the aggregate amount of such Restricted Payments does not exceed $500,000 per Fiscal Year;</w:t>
      </w:r>
    </w:p>
    <w:p>
      <w:pPr>
        <w:spacing w:after="0" w:line="209" w:lineRule="exact"/>
        <w:rPr>
          <w:rFonts w:ascii="Arial" w:cs="Arial" w:eastAsia="Arial" w:hAnsi="Arial"/>
          <w:sz w:val="17"/>
          <w:szCs w:val="17"/>
          <w:color w:val="auto"/>
        </w:rPr>
      </w:pPr>
    </w:p>
    <w:p>
      <w:pPr>
        <w:jc w:val="both"/>
        <w:ind w:left="660" w:firstLine="1293"/>
        <w:spacing w:after="0" w:line="292" w:lineRule="auto"/>
        <w:tabs>
          <w:tab w:leader="none" w:pos="2785" w:val="left"/>
        </w:tabs>
        <w:numPr>
          <w:ilvl w:val="0"/>
          <w:numId w:val="116"/>
        </w:numPr>
        <w:rPr>
          <w:rFonts w:ascii="Arial" w:cs="Arial" w:eastAsia="Arial" w:hAnsi="Arial"/>
          <w:sz w:val="16"/>
          <w:szCs w:val="16"/>
          <w:color w:val="auto"/>
        </w:rPr>
      </w:pPr>
      <w:r>
        <w:rPr>
          <w:rFonts w:ascii="Arial" w:cs="Arial" w:eastAsia="Arial" w:hAnsi="Arial"/>
          <w:sz w:val="19"/>
          <w:szCs w:val="19"/>
          <w:color w:val="auto"/>
        </w:rPr>
        <w:t xml:space="preserve">other Restricted Payments made by Parent or any Subsidiary of Parent so long as (i) the aggregate amount of Restricted Payments made pursuant to this clause (f) since the Closing Date does not exceed the sum of (A) $50,000,000, plus (B) 50% of cumulative Excess Cash Flow for the period commencing on January 1, 2016, and ending on the first day of the most recent Fiscal Year beginning before such Restricted Payment is made, (ii) no Default or Event of Default shall have occurred and be continuing at the time such Restricted Payment is made, (iii) the Consolidated Leverage Ratio is less than or equal to 2.75 to 1.00, calculated on a Pro Forma Basis as of the last day of the most recently ended Fiscal Quarter for which financial statements are required to have been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and (iv) after giving effect to such Restricted Payment, the Loan Parties shall have Liquidity of at least $20,000,000.</w:t>
      </w:r>
    </w:p>
    <w:p>
      <w:pPr>
        <w:spacing w:after="0" w:line="19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7.6 </w:t>
      </w:r>
      <w:r>
        <w:rPr>
          <w:rFonts w:ascii="Arial" w:cs="Arial" w:eastAsia="Arial" w:hAnsi="Arial"/>
          <w:sz w:val="19"/>
          <w:szCs w:val="19"/>
          <w:b w:val="1"/>
          <w:bCs w:val="1"/>
          <w:u w:val="single" w:color="auto"/>
          <w:color w:val="auto"/>
        </w:rPr>
        <w:t>Sale of Assets</w:t>
      </w:r>
      <w:r>
        <w:rPr>
          <w:rFonts w:ascii="Arial" w:cs="Arial" w:eastAsia="Arial" w:hAnsi="Arial"/>
          <w:sz w:val="19"/>
          <w:szCs w:val="19"/>
          <w:color w:val="auto"/>
        </w:rPr>
        <w:t>. Parent and the Borrower will not, and will not permit any of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to, convey, sell, lease, assign, transfer or otherwise dispose of any of their assets, business or property or, in the case of any Subsidiary, any shares of such Subsidiary’s Capital Stock, in each case whether now owned or hereafter acquired, to any Person other than Parent, the Borrower or a Subsidiary Loan Party (or to qualify directors if required by applicable law), except:</w:t>
      </w:r>
    </w:p>
    <w:p>
      <w:pPr>
        <w:spacing w:after="0" w:line="182" w:lineRule="exact"/>
        <w:rPr>
          <w:sz w:val="20"/>
          <w:szCs w:val="20"/>
          <w:color w:val="auto"/>
        </w:rPr>
      </w:pPr>
    </w:p>
    <w:p>
      <w:pPr>
        <w:ind w:left="660" w:firstLine="1293"/>
        <w:spacing w:after="0" w:line="276" w:lineRule="auto"/>
        <w:tabs>
          <w:tab w:leader="none" w:pos="2804" w:val="left"/>
        </w:tabs>
        <w:numPr>
          <w:ilvl w:val="0"/>
          <w:numId w:val="117"/>
        </w:numPr>
        <w:rPr>
          <w:rFonts w:ascii="Arial" w:cs="Arial" w:eastAsia="Arial" w:hAnsi="Arial"/>
          <w:sz w:val="18"/>
          <w:szCs w:val="18"/>
          <w:color w:val="auto"/>
        </w:rPr>
      </w:pPr>
      <w:r>
        <w:rPr>
          <w:rFonts w:ascii="Arial" w:cs="Arial" w:eastAsia="Arial" w:hAnsi="Arial"/>
          <w:sz w:val="22"/>
          <w:szCs w:val="22"/>
          <w:color w:val="auto"/>
        </w:rPr>
        <w:t>the sale or other disposition for fair market value of obsolete or worn out property or other property not necessary for operations disposed of in the ordinary course of business;</w:t>
      </w:r>
    </w:p>
    <w:p>
      <w:pPr>
        <w:spacing w:after="0" w:line="201" w:lineRule="exact"/>
        <w:rPr>
          <w:rFonts w:ascii="Arial" w:cs="Arial" w:eastAsia="Arial" w:hAnsi="Arial"/>
          <w:sz w:val="18"/>
          <w:szCs w:val="18"/>
          <w:color w:val="auto"/>
        </w:rPr>
      </w:pPr>
    </w:p>
    <w:p>
      <w:pPr>
        <w:ind w:left="2820" w:hanging="867"/>
        <w:spacing w:after="0"/>
        <w:tabs>
          <w:tab w:leader="none" w:pos="2820" w:val="left"/>
        </w:tabs>
        <w:numPr>
          <w:ilvl w:val="0"/>
          <w:numId w:val="117"/>
        </w:numPr>
        <w:rPr>
          <w:rFonts w:ascii="Arial" w:cs="Arial" w:eastAsia="Arial" w:hAnsi="Arial"/>
          <w:sz w:val="16"/>
          <w:szCs w:val="16"/>
          <w:color w:val="auto"/>
        </w:rPr>
      </w:pPr>
      <w:r>
        <w:rPr>
          <w:rFonts w:ascii="Arial" w:cs="Arial" w:eastAsia="Arial" w:hAnsi="Arial"/>
          <w:sz w:val="19"/>
          <w:szCs w:val="19"/>
          <w:color w:val="auto"/>
        </w:rPr>
        <w:t>the sale of equipment and inventory and Permitted Investments in the ordinary course of business;</w:t>
      </w:r>
    </w:p>
    <w:p>
      <w:pPr>
        <w:spacing w:after="0" w:line="308" w:lineRule="exact"/>
        <w:rPr>
          <w:rFonts w:ascii="Arial" w:cs="Arial" w:eastAsia="Arial" w:hAnsi="Arial"/>
          <w:sz w:val="16"/>
          <w:szCs w:val="16"/>
          <w:color w:val="auto"/>
        </w:rPr>
      </w:pPr>
    </w:p>
    <w:p>
      <w:pPr>
        <w:ind w:left="2800" w:hanging="847"/>
        <w:spacing w:after="0"/>
        <w:tabs>
          <w:tab w:leader="none" w:pos="2800" w:val="left"/>
        </w:tabs>
        <w:numPr>
          <w:ilvl w:val="0"/>
          <w:numId w:val="117"/>
        </w:numPr>
        <w:rPr>
          <w:rFonts w:ascii="Arial" w:cs="Arial" w:eastAsia="Arial" w:hAnsi="Arial"/>
          <w:sz w:val="16"/>
          <w:szCs w:val="16"/>
          <w:color w:val="auto"/>
        </w:rPr>
      </w:pPr>
      <w:r>
        <w:rPr>
          <w:rFonts w:ascii="Arial" w:cs="Arial" w:eastAsia="Arial" w:hAnsi="Arial"/>
          <w:sz w:val="19"/>
          <w:szCs w:val="19"/>
          <w:color w:val="auto"/>
        </w:rPr>
        <w:t>sales, transfers and other dispositions (i) to a Loan Party or (ii) among any Subsidiaries that are not</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Loan Parties;</w:t>
      </w:r>
    </w:p>
    <w:p>
      <w:pPr>
        <w:spacing w:after="0" w:line="255" w:lineRule="exact"/>
        <w:rPr>
          <w:rFonts w:ascii="Arial" w:cs="Arial" w:eastAsia="Arial" w:hAnsi="Arial"/>
          <w:sz w:val="16"/>
          <w:szCs w:val="16"/>
          <w:color w:val="auto"/>
        </w:rPr>
      </w:pPr>
    </w:p>
    <w:p>
      <w:pPr>
        <w:ind w:left="660" w:firstLine="1293"/>
        <w:spacing w:after="0" w:line="276" w:lineRule="auto"/>
        <w:tabs>
          <w:tab w:leader="none" w:pos="2815" w:val="left"/>
        </w:tabs>
        <w:numPr>
          <w:ilvl w:val="0"/>
          <w:numId w:val="117"/>
        </w:numPr>
        <w:rPr>
          <w:rFonts w:ascii="Arial" w:cs="Arial" w:eastAsia="Arial" w:hAnsi="Arial"/>
          <w:sz w:val="18"/>
          <w:szCs w:val="18"/>
          <w:color w:val="auto"/>
        </w:rPr>
      </w:pPr>
      <w:r>
        <w:rPr>
          <w:rFonts w:ascii="Arial" w:cs="Arial" w:eastAsia="Arial" w:hAnsi="Arial"/>
          <w:sz w:val="22"/>
          <w:szCs w:val="22"/>
          <w:color w:val="auto"/>
        </w:rPr>
        <w:t>licenses, sublicenses, leases and subleases that do not interfere in any material respect with the business of Parent or any Subsidiary;</w:t>
      </w:r>
    </w:p>
    <w:p>
      <w:pPr>
        <w:spacing w:after="0" w:line="201" w:lineRule="exact"/>
        <w:rPr>
          <w:rFonts w:ascii="Arial" w:cs="Arial" w:eastAsia="Arial" w:hAnsi="Arial"/>
          <w:sz w:val="18"/>
          <w:szCs w:val="18"/>
          <w:color w:val="auto"/>
        </w:rPr>
      </w:pPr>
    </w:p>
    <w:p>
      <w:pPr>
        <w:ind w:left="660" w:right="20" w:firstLine="1293"/>
        <w:spacing w:after="0" w:line="276" w:lineRule="auto"/>
        <w:tabs>
          <w:tab w:leader="none" w:pos="2804" w:val="left"/>
        </w:tabs>
        <w:numPr>
          <w:ilvl w:val="0"/>
          <w:numId w:val="117"/>
        </w:numPr>
        <w:rPr>
          <w:rFonts w:ascii="Arial" w:cs="Arial" w:eastAsia="Arial" w:hAnsi="Arial"/>
          <w:sz w:val="18"/>
          <w:szCs w:val="18"/>
          <w:color w:val="auto"/>
        </w:rPr>
      </w:pPr>
      <w:r>
        <w:rPr>
          <w:rFonts w:ascii="Arial" w:cs="Arial" w:eastAsia="Arial" w:hAnsi="Arial"/>
          <w:sz w:val="22"/>
          <w:szCs w:val="22"/>
          <w:color w:val="auto"/>
        </w:rPr>
        <w:t>sales or discounts of accounts receivable in connection with the compromise or collection thereof in the ordinary course of business;</w:t>
      </w:r>
    </w:p>
    <w:p>
      <w:pPr>
        <w:spacing w:after="0" w:line="201" w:lineRule="exact"/>
        <w:rPr>
          <w:rFonts w:ascii="Arial" w:cs="Arial" w:eastAsia="Arial" w:hAnsi="Arial"/>
          <w:sz w:val="18"/>
          <w:szCs w:val="18"/>
          <w:color w:val="auto"/>
        </w:rPr>
      </w:pPr>
    </w:p>
    <w:p>
      <w:pPr>
        <w:ind w:left="2780" w:hanging="827"/>
        <w:spacing w:after="0"/>
        <w:tabs>
          <w:tab w:leader="none" w:pos="278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any disposition of property as a result of a casualty event;</w:t>
      </w:r>
    </w:p>
    <w:p>
      <w:pPr>
        <w:spacing w:after="0" w:line="273" w:lineRule="exact"/>
        <w:rPr>
          <w:rFonts w:ascii="Arial" w:cs="Arial" w:eastAsia="Arial" w:hAnsi="Arial"/>
          <w:sz w:val="18"/>
          <w:szCs w:val="18"/>
          <w:color w:val="auto"/>
        </w:rPr>
      </w:pPr>
    </w:p>
    <w:p>
      <w:pPr>
        <w:ind w:left="2820" w:hanging="867"/>
        <w:spacing w:after="0"/>
        <w:tabs>
          <w:tab w:leader="none" w:pos="2820" w:val="left"/>
        </w:tabs>
        <w:numPr>
          <w:ilvl w:val="0"/>
          <w:numId w:val="117"/>
        </w:numPr>
        <w:rPr>
          <w:rFonts w:ascii="Arial" w:cs="Arial" w:eastAsia="Arial" w:hAnsi="Arial"/>
          <w:sz w:val="16"/>
          <w:szCs w:val="16"/>
          <w:color w:val="auto"/>
        </w:rPr>
      </w:pPr>
      <w:r>
        <w:rPr>
          <w:rFonts w:ascii="Arial" w:cs="Arial" w:eastAsia="Arial" w:hAnsi="Arial"/>
          <w:sz w:val="19"/>
          <w:szCs w:val="19"/>
          <w:color w:val="auto"/>
        </w:rPr>
        <w:t xml:space="preserve">any disposition permitted under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w:t>
      </w:r>
      <w:r>
        <w:rPr>
          <w:rFonts w:ascii="Arial" w:cs="Arial" w:eastAsia="Arial" w:hAnsi="Arial"/>
          <w:sz w:val="19"/>
          <w:szCs w:val="19"/>
          <w:u w:val="single" w:color="auto"/>
          <w:color w:val="auto"/>
        </w:rPr>
        <w:t>7.5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7.7</w:t>
      </w:r>
      <w:r>
        <w:rPr>
          <w:rFonts w:ascii="Arial" w:cs="Arial" w:eastAsia="Arial" w:hAnsi="Arial"/>
          <w:sz w:val="19"/>
          <w:szCs w:val="19"/>
          <w:color w:val="auto"/>
        </w:rPr>
        <w:t xml:space="preserve"> and any Liens permitted under </w:t>
      </w:r>
      <w:r>
        <w:rPr>
          <w:rFonts w:ascii="Arial" w:cs="Arial" w:eastAsia="Arial" w:hAnsi="Arial"/>
          <w:sz w:val="19"/>
          <w:szCs w:val="19"/>
          <w:u w:val="single" w:color="auto"/>
          <w:color w:val="auto"/>
        </w:rPr>
        <w:t>Section</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u w:val="single" w:color="auto"/>
          <w:color w:val="auto"/>
        </w:rPr>
        <w:t>7.2</w:t>
      </w:r>
      <w:r>
        <w:rPr>
          <w:rFonts w:ascii="Arial" w:cs="Arial" w:eastAsia="Arial" w:hAnsi="Arial"/>
          <w:sz w:val="22"/>
          <w:szCs w:val="22"/>
          <w:color w:val="auto"/>
        </w:rPr>
        <w:t>; or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75" w:right="239" w:bottom="1440" w:gutter="0" w:footer="0" w:header="0"/>
        </w:sectPr>
      </w:pPr>
    </w:p>
    <w:bookmarkStart w:id="126" w:name="page127"/>
    <w:bookmarkEnd w:id="126"/>
    <w:p>
      <w:pPr>
        <w:ind w:left="660" w:firstLine="1293"/>
        <w:spacing w:after="0" w:line="276" w:lineRule="auto"/>
        <w:tabs>
          <w:tab w:leader="none" w:pos="2815" w:val="left"/>
        </w:tabs>
        <w:numPr>
          <w:ilvl w:val="0"/>
          <w:numId w:val="118"/>
        </w:numPr>
        <w:rPr>
          <w:rFonts w:ascii="Arial" w:cs="Arial" w:eastAsia="Arial" w:hAnsi="Arial"/>
          <w:sz w:val="18"/>
          <w:szCs w:val="18"/>
          <w:color w:val="auto"/>
        </w:rPr>
      </w:pPr>
      <w:r>
        <w:rPr>
          <w:rFonts w:ascii="Arial" w:cs="Arial" w:eastAsia="Arial" w:hAnsi="Arial"/>
          <w:sz w:val="22"/>
          <w:szCs w:val="22"/>
          <w:color w:val="auto"/>
        </w:rPr>
        <w:t xml:space="preserve">any disposition permitted under </w:t>
      </w:r>
      <w:r>
        <w:rPr>
          <w:rFonts w:ascii="Arial" w:cs="Arial" w:eastAsia="Arial" w:hAnsi="Arial"/>
          <w:sz w:val="22"/>
          <w:szCs w:val="22"/>
          <w:u w:val="single" w:color="auto"/>
          <w:color w:val="auto"/>
        </w:rPr>
        <w:t>Section 7.3</w:t>
      </w:r>
      <w:r>
        <w:rPr>
          <w:rFonts w:ascii="Arial" w:cs="Arial" w:eastAsia="Arial" w:hAnsi="Arial"/>
          <w:sz w:val="22"/>
          <w:szCs w:val="22"/>
          <w:color w:val="auto"/>
        </w:rPr>
        <w:t>, including, without limitation, any exchange of assets between Subsidiaries of the Borrower entered into as a result of any such disposition;</w:t>
      </w:r>
    </w:p>
    <w:p>
      <w:pPr>
        <w:spacing w:after="0" w:line="201" w:lineRule="exact"/>
        <w:rPr>
          <w:rFonts w:ascii="Arial" w:cs="Arial" w:eastAsia="Arial" w:hAnsi="Arial"/>
          <w:sz w:val="18"/>
          <w:szCs w:val="18"/>
          <w:color w:val="auto"/>
        </w:rPr>
      </w:pPr>
    </w:p>
    <w:p>
      <w:pPr>
        <w:jc w:val="both"/>
        <w:ind w:left="660" w:firstLine="1293"/>
        <w:spacing w:after="0" w:line="251" w:lineRule="auto"/>
        <w:tabs>
          <w:tab w:leader="none" w:pos="2775" w:val="left"/>
        </w:tabs>
        <w:numPr>
          <w:ilvl w:val="0"/>
          <w:numId w:val="118"/>
        </w:numPr>
        <w:rPr>
          <w:rFonts w:ascii="Arial" w:cs="Arial" w:eastAsia="Arial" w:hAnsi="Arial"/>
          <w:sz w:val="18"/>
          <w:szCs w:val="18"/>
          <w:color w:val="auto"/>
        </w:rPr>
      </w:pPr>
      <w:r>
        <w:rPr>
          <w:rFonts w:ascii="Arial" w:cs="Arial" w:eastAsia="Arial" w:hAnsi="Arial"/>
          <w:sz w:val="22"/>
          <w:szCs w:val="22"/>
          <w:color w:val="auto"/>
        </w:rPr>
        <w:t xml:space="preserve">the sale or other disposition of assets so long as, at the time of such disposition, (i) no Default or Event of Default has occurred and is continuing or would result therefrom, and (ii) after giving effect to such disposition, Parent and its Subsidiaries are in compliance with the financial covenants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calculated on a Pro Forma Basis as of the last day of the most recently ended Fiscal Quarter for which financial statements are required to have been delivered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22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Section 7.7 </w:t>
      </w:r>
      <w:r>
        <w:rPr>
          <w:rFonts w:ascii="Arial" w:cs="Arial" w:eastAsia="Arial" w:hAnsi="Arial"/>
          <w:sz w:val="19"/>
          <w:szCs w:val="19"/>
          <w:b w:val="1"/>
          <w:bCs w:val="1"/>
          <w:u w:val="single" w:color="auto"/>
          <w:color w:val="auto"/>
        </w:rPr>
        <w:t>Transactions with Affiliates</w:t>
      </w:r>
      <w:r>
        <w:rPr>
          <w:rFonts w:ascii="Arial" w:cs="Arial" w:eastAsia="Arial" w:hAnsi="Arial"/>
          <w:sz w:val="19"/>
          <w:szCs w:val="19"/>
          <w:color w:val="auto"/>
        </w:rPr>
        <w:t>. Parent and the Borrower will not, and will not permit any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Subsidiaries to, sell, lease or otherwise transfer any property or assets to, or purchase, lease or otherwise acquire any property or assets from, or otherwise engage in any other transactions with, any of their respective Affiliates, except:</w:t>
      </w:r>
    </w:p>
    <w:p>
      <w:pPr>
        <w:spacing w:after="0" w:line="172" w:lineRule="exact"/>
        <w:rPr>
          <w:sz w:val="20"/>
          <w:szCs w:val="20"/>
          <w:color w:val="auto"/>
        </w:rPr>
      </w:pPr>
    </w:p>
    <w:p>
      <w:pPr>
        <w:ind w:left="660" w:firstLine="1293"/>
        <w:spacing w:after="0" w:line="358" w:lineRule="auto"/>
        <w:tabs>
          <w:tab w:leader="none" w:pos="2804" w:val="left"/>
        </w:tabs>
        <w:numPr>
          <w:ilvl w:val="0"/>
          <w:numId w:val="119"/>
        </w:numPr>
        <w:rPr>
          <w:rFonts w:ascii="Arial" w:cs="Arial" w:eastAsia="Arial" w:hAnsi="Arial"/>
          <w:sz w:val="16"/>
          <w:szCs w:val="16"/>
          <w:color w:val="auto"/>
        </w:rPr>
      </w:pPr>
      <w:r>
        <w:rPr>
          <w:rFonts w:ascii="Arial" w:cs="Arial" w:eastAsia="Arial" w:hAnsi="Arial"/>
          <w:sz w:val="19"/>
          <w:szCs w:val="19"/>
          <w:color w:val="auto"/>
        </w:rPr>
        <w:t>in the ordinary course of business at prices and on terms and conditions not less favorable to Parent, the Borrower or such Subsidiary than could be obtained on an arm’s-length basis from unrelated third parties;</w:t>
      </w:r>
    </w:p>
    <w:p>
      <w:pPr>
        <w:spacing w:after="0" w:line="131" w:lineRule="exact"/>
        <w:rPr>
          <w:rFonts w:ascii="Arial" w:cs="Arial" w:eastAsia="Arial" w:hAnsi="Arial"/>
          <w:sz w:val="16"/>
          <w:szCs w:val="16"/>
          <w:color w:val="auto"/>
        </w:rPr>
      </w:pPr>
    </w:p>
    <w:p>
      <w:pPr>
        <w:ind w:left="660" w:firstLine="1293"/>
        <w:spacing w:after="0" w:line="276" w:lineRule="auto"/>
        <w:tabs>
          <w:tab w:leader="none" w:pos="2815" w:val="left"/>
        </w:tabs>
        <w:numPr>
          <w:ilvl w:val="0"/>
          <w:numId w:val="119"/>
        </w:numPr>
        <w:rPr>
          <w:rFonts w:ascii="Arial" w:cs="Arial" w:eastAsia="Arial" w:hAnsi="Arial"/>
          <w:sz w:val="18"/>
          <w:szCs w:val="18"/>
          <w:color w:val="auto"/>
        </w:rPr>
      </w:pPr>
      <w:r>
        <w:rPr>
          <w:rFonts w:ascii="Arial" w:cs="Arial" w:eastAsia="Arial" w:hAnsi="Arial"/>
          <w:sz w:val="22"/>
          <w:szCs w:val="22"/>
          <w:color w:val="auto"/>
        </w:rPr>
        <w:t>transactions between or among one or more of Parent, the Borrower and the Subsidiary Loan Parties not involving any other Affiliates;</w:t>
      </w:r>
    </w:p>
    <w:p>
      <w:pPr>
        <w:spacing w:after="0" w:line="201" w:lineRule="exact"/>
        <w:rPr>
          <w:rFonts w:ascii="Arial" w:cs="Arial" w:eastAsia="Arial" w:hAnsi="Arial"/>
          <w:sz w:val="18"/>
          <w:szCs w:val="18"/>
          <w:color w:val="auto"/>
        </w:rPr>
      </w:pPr>
    </w:p>
    <w:p>
      <w:pPr>
        <w:ind w:left="2800" w:hanging="847"/>
        <w:spacing w:after="0"/>
        <w:tabs>
          <w:tab w:leader="none" w:pos="2800" w:val="left"/>
        </w:tabs>
        <w:numPr>
          <w:ilvl w:val="0"/>
          <w:numId w:val="119"/>
        </w:numPr>
        <w:rPr>
          <w:rFonts w:ascii="Arial" w:cs="Arial" w:eastAsia="Arial" w:hAnsi="Arial"/>
          <w:sz w:val="18"/>
          <w:szCs w:val="18"/>
          <w:color w:val="auto"/>
        </w:rPr>
      </w:pPr>
      <w:r>
        <w:rPr>
          <w:rFonts w:ascii="Arial" w:cs="Arial" w:eastAsia="Arial" w:hAnsi="Arial"/>
          <w:sz w:val="22"/>
          <w:szCs w:val="22"/>
          <w:color w:val="auto"/>
        </w:rPr>
        <w:t xml:space="preserve">any Restricted Payment permitted by </w:t>
      </w:r>
      <w:r>
        <w:rPr>
          <w:rFonts w:ascii="Arial" w:cs="Arial" w:eastAsia="Arial" w:hAnsi="Arial"/>
          <w:sz w:val="22"/>
          <w:szCs w:val="22"/>
          <w:u w:val="single" w:color="auto"/>
          <w:color w:val="auto"/>
        </w:rPr>
        <w:t>Section 7.5</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ind w:left="660" w:firstLine="1293"/>
        <w:spacing w:after="0" w:line="276" w:lineRule="auto"/>
        <w:tabs>
          <w:tab w:leader="none" w:pos="2815" w:val="left"/>
        </w:tabs>
        <w:numPr>
          <w:ilvl w:val="0"/>
          <w:numId w:val="119"/>
        </w:numPr>
        <w:rPr>
          <w:rFonts w:ascii="Arial" w:cs="Arial" w:eastAsia="Arial" w:hAnsi="Arial"/>
          <w:sz w:val="18"/>
          <w:szCs w:val="18"/>
          <w:color w:val="auto"/>
        </w:rPr>
      </w:pPr>
      <w:r>
        <w:rPr>
          <w:rFonts w:ascii="Arial" w:cs="Arial" w:eastAsia="Arial" w:hAnsi="Arial"/>
          <w:sz w:val="22"/>
          <w:szCs w:val="22"/>
          <w:color w:val="auto"/>
        </w:rPr>
        <w:t xml:space="preserve">transactions between or among Parent or the Borrower and any of their Affiliates existing on the date hereof and set forth on </w:t>
      </w:r>
      <w:r>
        <w:rPr>
          <w:rFonts w:ascii="Arial" w:cs="Arial" w:eastAsia="Arial" w:hAnsi="Arial"/>
          <w:sz w:val="22"/>
          <w:szCs w:val="22"/>
          <w:u w:val="single" w:color="auto"/>
          <w:color w:val="auto"/>
        </w:rPr>
        <w:t>Schedule 7.5</w:t>
      </w:r>
      <w:r>
        <w:rPr>
          <w:rFonts w:ascii="Arial" w:cs="Arial" w:eastAsia="Arial" w:hAnsi="Arial"/>
          <w:sz w:val="22"/>
          <w:szCs w:val="22"/>
          <w:color w:val="auto"/>
        </w:rPr>
        <w:t>;</w:t>
      </w:r>
    </w:p>
    <w:p>
      <w:pPr>
        <w:spacing w:after="0" w:line="201" w:lineRule="exact"/>
        <w:rPr>
          <w:rFonts w:ascii="Arial" w:cs="Arial" w:eastAsia="Arial" w:hAnsi="Arial"/>
          <w:sz w:val="18"/>
          <w:szCs w:val="18"/>
          <w:color w:val="auto"/>
        </w:rPr>
      </w:pPr>
    </w:p>
    <w:p>
      <w:pPr>
        <w:jc w:val="both"/>
        <w:ind w:left="660" w:firstLine="1293"/>
        <w:spacing w:after="0" w:line="320" w:lineRule="auto"/>
        <w:tabs>
          <w:tab w:leader="none" w:pos="2804" w:val="left"/>
        </w:tabs>
        <w:numPr>
          <w:ilvl w:val="0"/>
          <w:numId w:val="119"/>
        </w:numPr>
        <w:rPr>
          <w:rFonts w:ascii="Arial" w:cs="Arial" w:eastAsia="Arial" w:hAnsi="Arial"/>
          <w:sz w:val="16"/>
          <w:szCs w:val="16"/>
          <w:color w:val="auto"/>
        </w:rPr>
      </w:pPr>
      <w:r>
        <w:rPr>
          <w:rFonts w:ascii="Arial" w:cs="Arial" w:eastAsia="Arial" w:hAnsi="Arial"/>
          <w:sz w:val="19"/>
          <w:szCs w:val="19"/>
          <w:color w:val="auto"/>
        </w:rPr>
        <w:t>reasonable and customary director, officer and employee compensation (including bonuses) and other benefits (including retirement, health, stock option and other benefit plans) and indemnification arrangements entered into in the ordinary course of business, in each case approved by the board of directors of Parent or any of its Subsidiaries;</w:t>
      </w:r>
    </w:p>
    <w:p>
      <w:pPr>
        <w:spacing w:after="0" w:line="165" w:lineRule="exact"/>
        <w:rPr>
          <w:rFonts w:ascii="Arial" w:cs="Arial" w:eastAsia="Arial" w:hAnsi="Arial"/>
          <w:sz w:val="16"/>
          <w:szCs w:val="16"/>
          <w:color w:val="auto"/>
        </w:rPr>
      </w:pPr>
    </w:p>
    <w:p>
      <w:pPr>
        <w:jc w:val="both"/>
        <w:ind w:left="660" w:firstLine="1293"/>
        <w:spacing w:after="0" w:line="260" w:lineRule="auto"/>
        <w:tabs>
          <w:tab w:leader="none" w:pos="2785" w:val="left"/>
        </w:tabs>
        <w:numPr>
          <w:ilvl w:val="0"/>
          <w:numId w:val="119"/>
        </w:numPr>
        <w:rPr>
          <w:rFonts w:ascii="Arial" w:cs="Arial" w:eastAsia="Arial" w:hAnsi="Arial"/>
          <w:sz w:val="18"/>
          <w:szCs w:val="18"/>
          <w:color w:val="auto"/>
        </w:rPr>
      </w:pPr>
      <w:r>
        <w:rPr>
          <w:rFonts w:ascii="Arial" w:cs="Arial" w:eastAsia="Arial" w:hAnsi="Arial"/>
          <w:sz w:val="22"/>
          <w:szCs w:val="22"/>
          <w:color w:val="auto"/>
        </w:rPr>
        <w:t>reasonable and documented expense reimbursements for out-of-pocket expenses incurred by officers, managers and directors of Parent or any of its Subsidiaries in connection with their services provided to Parent or such Subsidiary;</w:t>
      </w:r>
    </w:p>
    <w:p>
      <w:pPr>
        <w:spacing w:after="0" w:line="217" w:lineRule="exact"/>
        <w:rPr>
          <w:rFonts w:ascii="Arial" w:cs="Arial" w:eastAsia="Arial" w:hAnsi="Arial"/>
          <w:sz w:val="18"/>
          <w:szCs w:val="18"/>
          <w:color w:val="auto"/>
        </w:rPr>
      </w:pPr>
    </w:p>
    <w:p>
      <w:pPr>
        <w:ind w:left="2820" w:hanging="867"/>
        <w:spacing w:after="0"/>
        <w:tabs>
          <w:tab w:leader="none" w:pos="2820" w:val="left"/>
        </w:tabs>
        <w:numPr>
          <w:ilvl w:val="0"/>
          <w:numId w:val="119"/>
        </w:numPr>
        <w:rPr>
          <w:rFonts w:ascii="Arial" w:cs="Arial" w:eastAsia="Arial" w:hAnsi="Arial"/>
          <w:sz w:val="16"/>
          <w:szCs w:val="16"/>
          <w:color w:val="auto"/>
        </w:rPr>
      </w:pPr>
      <w:r>
        <w:rPr>
          <w:rFonts w:ascii="Arial" w:cs="Arial" w:eastAsia="Arial" w:hAnsi="Arial"/>
          <w:sz w:val="19"/>
          <w:szCs w:val="19"/>
          <w:color w:val="auto"/>
        </w:rPr>
        <w:t>employment agreements entered into by Parent or any of its Subsidiary in the ordinary course of</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business;</w:t>
      </w:r>
    </w:p>
    <w:p>
      <w:pPr>
        <w:spacing w:after="0" w:line="255" w:lineRule="exact"/>
        <w:rPr>
          <w:rFonts w:ascii="Arial" w:cs="Arial" w:eastAsia="Arial" w:hAnsi="Arial"/>
          <w:sz w:val="16"/>
          <w:szCs w:val="16"/>
          <w:color w:val="auto"/>
        </w:rPr>
      </w:pPr>
    </w:p>
    <w:p>
      <w:pPr>
        <w:ind w:left="2820" w:hanging="867"/>
        <w:spacing w:after="0"/>
        <w:tabs>
          <w:tab w:leader="none" w:pos="2820" w:val="left"/>
        </w:tabs>
        <w:numPr>
          <w:ilvl w:val="0"/>
          <w:numId w:val="119"/>
        </w:numPr>
        <w:rPr>
          <w:rFonts w:ascii="Arial" w:cs="Arial" w:eastAsia="Arial" w:hAnsi="Arial"/>
          <w:sz w:val="18"/>
          <w:szCs w:val="18"/>
          <w:color w:val="auto"/>
        </w:rPr>
      </w:pPr>
      <w:r>
        <w:rPr>
          <w:rFonts w:ascii="Arial" w:cs="Arial" w:eastAsia="Arial" w:hAnsi="Arial"/>
          <w:sz w:val="22"/>
          <w:szCs w:val="22"/>
          <w:color w:val="auto"/>
        </w:rPr>
        <w:t xml:space="preserve">any transactions permitted by </w:t>
      </w:r>
      <w:r>
        <w:rPr>
          <w:rFonts w:ascii="Arial" w:cs="Arial" w:eastAsia="Arial" w:hAnsi="Arial"/>
          <w:sz w:val="22"/>
          <w:szCs w:val="22"/>
          <w:u w:val="single" w:color="auto"/>
          <w:color w:val="auto"/>
        </w:rPr>
        <w:t>Section 7.3(a)</w:t>
      </w:r>
      <w:r>
        <w:rPr>
          <w:rFonts w:ascii="Arial" w:cs="Arial" w:eastAsia="Arial" w:hAnsi="Arial"/>
          <w:sz w:val="22"/>
          <w:szCs w:val="22"/>
          <w:color w:val="auto"/>
        </w:rPr>
        <w:t>;</w:t>
      </w:r>
    </w:p>
    <w:p>
      <w:pPr>
        <w:spacing w:after="0" w:line="273" w:lineRule="exact"/>
        <w:rPr>
          <w:rFonts w:ascii="Arial" w:cs="Arial" w:eastAsia="Arial" w:hAnsi="Arial"/>
          <w:sz w:val="18"/>
          <w:szCs w:val="18"/>
          <w:color w:val="auto"/>
        </w:rPr>
      </w:pPr>
    </w:p>
    <w:p>
      <w:pPr>
        <w:ind w:left="2780" w:hanging="827"/>
        <w:spacing w:after="0"/>
        <w:tabs>
          <w:tab w:leader="none" w:pos="2780" w:val="left"/>
        </w:tabs>
        <w:numPr>
          <w:ilvl w:val="0"/>
          <w:numId w:val="119"/>
        </w:numPr>
        <w:rPr>
          <w:rFonts w:ascii="Arial" w:cs="Arial" w:eastAsia="Arial" w:hAnsi="Arial"/>
          <w:sz w:val="18"/>
          <w:szCs w:val="18"/>
          <w:color w:val="auto"/>
        </w:rPr>
      </w:pPr>
      <w:r>
        <w:rPr>
          <w:rFonts w:ascii="Arial" w:cs="Arial" w:eastAsia="Arial" w:hAnsi="Arial"/>
          <w:sz w:val="22"/>
          <w:szCs w:val="22"/>
          <w:color w:val="auto"/>
        </w:rPr>
        <w:t xml:space="preserve">any Investments permitted by </w:t>
      </w:r>
      <w:r>
        <w:rPr>
          <w:rFonts w:ascii="Arial" w:cs="Arial" w:eastAsia="Arial" w:hAnsi="Arial"/>
          <w:sz w:val="22"/>
          <w:szCs w:val="22"/>
          <w:u w:val="single" w:color="auto"/>
          <w:color w:val="auto"/>
        </w:rPr>
        <w:t>Sections 7.4(c)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w:t>
      </w:r>
      <w:r>
        <w:rPr>
          <w:rFonts w:ascii="Arial" w:cs="Arial" w:eastAsia="Arial" w:hAnsi="Arial"/>
          <w:sz w:val="22"/>
          <w:szCs w:val="22"/>
          <w:color w:val="auto"/>
        </w:rPr>
        <w:t>; and</w:t>
      </w:r>
    </w:p>
    <w:p>
      <w:pPr>
        <w:spacing w:after="0" w:line="273" w:lineRule="exact"/>
        <w:rPr>
          <w:rFonts w:ascii="Arial" w:cs="Arial" w:eastAsia="Arial" w:hAnsi="Arial"/>
          <w:sz w:val="18"/>
          <w:szCs w:val="18"/>
          <w:color w:val="auto"/>
        </w:rPr>
      </w:pPr>
    </w:p>
    <w:p>
      <w:pPr>
        <w:ind w:left="2780" w:hanging="827"/>
        <w:spacing w:after="0"/>
        <w:tabs>
          <w:tab w:leader="none" w:pos="2780" w:val="left"/>
        </w:tabs>
        <w:numPr>
          <w:ilvl w:val="0"/>
          <w:numId w:val="119"/>
        </w:numPr>
        <w:rPr>
          <w:rFonts w:ascii="Arial" w:cs="Arial" w:eastAsia="Arial" w:hAnsi="Arial"/>
          <w:sz w:val="18"/>
          <w:szCs w:val="18"/>
          <w:color w:val="auto"/>
        </w:rPr>
      </w:pPr>
      <w:r>
        <w:rPr>
          <w:rFonts w:ascii="Arial" w:cs="Arial" w:eastAsia="Arial" w:hAnsi="Arial"/>
          <w:sz w:val="22"/>
          <w:szCs w:val="22"/>
          <w:color w:val="auto"/>
        </w:rPr>
        <w:t xml:space="preserve">any disposition of assets permitted by </w:t>
      </w:r>
      <w:r>
        <w:rPr>
          <w:rFonts w:ascii="Arial" w:cs="Arial" w:eastAsia="Arial" w:hAnsi="Arial"/>
          <w:sz w:val="22"/>
          <w:szCs w:val="22"/>
          <w:u w:val="single" w:color="auto"/>
          <w:color w:val="auto"/>
        </w:rPr>
        <w:t>Section 7.6(h)</w:t>
      </w:r>
      <w:r>
        <w:rPr>
          <w:rFonts w:ascii="Arial" w:cs="Arial" w:eastAsia="Arial" w:hAnsi="Arial"/>
          <w:sz w:val="22"/>
          <w:szCs w:val="22"/>
          <w:color w:val="auto"/>
        </w:rPr>
        <w:t>.</w:t>
      </w:r>
    </w:p>
    <w:p>
      <w:pPr>
        <w:spacing w:after="0" w:line="2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7.8 </w:t>
      </w:r>
      <w:r>
        <w:rPr>
          <w:rFonts w:ascii="Arial" w:cs="Arial" w:eastAsia="Arial" w:hAnsi="Arial"/>
          <w:sz w:val="22"/>
          <w:szCs w:val="22"/>
          <w:b w:val="1"/>
          <w:bCs w:val="1"/>
          <w:u w:val="single" w:color="auto"/>
          <w:color w:val="auto"/>
        </w:rPr>
        <w:t>Restrictive Agreements</w:t>
      </w:r>
      <w:r>
        <w:rPr>
          <w:rFonts w:ascii="Arial" w:cs="Arial" w:eastAsia="Arial" w:hAnsi="Arial"/>
          <w:sz w:val="22"/>
          <w:szCs w:val="22"/>
          <w:color w:val="auto"/>
        </w:rPr>
        <w:t>. Parent and the Borrower will not, and will not permit any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Subsidiaries to, directly or indirectly, enter into, incur or permit to exist any agreement that prohibits, restricts or imposes any condition upon (a) the ability of Parent or any of Parent’ Subsidiaries to create, incur or permit any Lien upon any of its assets or properties, whether now owned or hereafter acquired, or (b)</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75" w:right="239" w:bottom="1440" w:gutter="0" w:footer="0" w:header="0"/>
        </w:sectPr>
      </w:pPr>
    </w:p>
    <w:bookmarkStart w:id="127" w:name="page128"/>
    <w:bookmarkEnd w:id="127"/>
    <w:p>
      <w:pPr>
        <w:jc w:val="both"/>
        <w:spacing w:after="0" w:line="287" w:lineRule="auto"/>
        <w:rPr>
          <w:sz w:val="20"/>
          <w:szCs w:val="20"/>
          <w:color w:val="auto"/>
        </w:rPr>
      </w:pPr>
      <w:r>
        <w:rPr>
          <w:rFonts w:ascii="Arial" w:cs="Arial" w:eastAsia="Arial" w:hAnsi="Arial"/>
          <w:sz w:val="19"/>
          <w:szCs w:val="19"/>
          <w:color w:val="auto"/>
        </w:rPr>
        <w:t xml:space="preserve">the ability of any of its Subsidiaries to pay dividends or other distributions with respect to its Capital Stock, to make or repay loans or advances to Parent or any other Subsidiary thereof, to Guarantee Indebtedness of Parent or any other Subsidiary thereof or to transfer any of its property or assets to Parent or any other Subsidiary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 restrictions or conditions imposed by law or by this Agreement or any other Loan Document, (ii) the foregoing shall not apply to customary restrictions and conditions contained in agreements relating to the sale of a Subsidiary pending such sale, provided such restrictions and conditions apply only to the Subsidiary that is sold and such sale is permitted hereunder, (iii) clause (a) shall not apply to restrictions or conditions imposed by any agreement relating to secured Indebtedness permitted by this Agreement if such restrictions and conditions apply only to the property or assets securing such Indebtedness, (iv) clause (a) shall not apply to customary provisions in leases and other contracts restricting the assignment thereof, (v) clause (a) shall not, in the case of any non-wholly owned Subsidiary, apply to customary provisions in such Subsidiary’s organization documents that restrict the transfer of such Subsidiary’s Equity Interests, and (vi) clause (a) shall not apply to restrictions on cash deposits permitted hereunder and which are imposed by Parent’ or its Subsidiaries’ suppliers, service providers and landlords.</w:t>
      </w:r>
    </w:p>
    <w:p>
      <w:pPr>
        <w:spacing w:after="0" w:line="1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7.9 </w:t>
      </w:r>
      <w:r>
        <w:rPr>
          <w:rFonts w:ascii="Arial" w:cs="Arial" w:eastAsia="Arial" w:hAnsi="Arial"/>
          <w:sz w:val="22"/>
          <w:szCs w:val="22"/>
          <w:b w:val="1"/>
          <w:bCs w:val="1"/>
          <w:u w:val="single" w:color="auto"/>
          <w:color w:val="auto"/>
        </w:rPr>
        <w:t>Sale and Leaseback Transactions</w:t>
      </w:r>
      <w:r>
        <w:rPr>
          <w:rFonts w:ascii="Arial" w:cs="Arial" w:eastAsia="Arial" w:hAnsi="Arial"/>
          <w:sz w:val="22"/>
          <w:szCs w:val="22"/>
          <w:color w:val="auto"/>
        </w:rPr>
        <w:t>. Parent and the Borrower will not, and will not permit any of</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Subsidiaries to, enter into any arrangement, directly or indirectly, whereby they shall sell or transfer any property, real or personal, used or useful in its business, whether now owned or hereinafter acquired, and thereafter rent or lease such property or other property that they intend to use for substantially the same purpose or purposes as the property sold or transferred (each such transaction, a “</w:t>
      </w:r>
      <w:r>
        <w:rPr>
          <w:rFonts w:ascii="Arial" w:cs="Arial" w:eastAsia="Arial" w:hAnsi="Arial"/>
          <w:sz w:val="22"/>
          <w:szCs w:val="22"/>
          <w:u w:val="single" w:color="auto"/>
          <w:color w:val="auto"/>
        </w:rPr>
        <w:t>Sale/Leaseback Transaction</w:t>
      </w:r>
      <w:r>
        <w:rPr>
          <w:rFonts w:ascii="Arial" w:cs="Arial" w:eastAsia="Arial" w:hAnsi="Arial"/>
          <w:sz w:val="22"/>
          <w:szCs w:val="22"/>
          <w:color w:val="auto"/>
        </w:rPr>
        <w:t>”).</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7.10 </w:t>
      </w:r>
      <w:r>
        <w:rPr>
          <w:rFonts w:ascii="Arial" w:cs="Arial" w:eastAsia="Arial" w:hAnsi="Arial"/>
          <w:sz w:val="21"/>
          <w:szCs w:val="21"/>
          <w:b w:val="1"/>
          <w:bCs w:val="1"/>
          <w:u w:val="single" w:color="auto"/>
          <w:color w:val="auto"/>
        </w:rPr>
        <w:t>Hedging Transactions</w:t>
      </w:r>
      <w:r>
        <w:rPr>
          <w:rFonts w:ascii="Arial" w:cs="Arial" w:eastAsia="Arial" w:hAnsi="Arial"/>
          <w:sz w:val="21"/>
          <w:szCs w:val="21"/>
          <w:color w:val="auto"/>
        </w:rPr>
        <w:t>. Parent and the Borrower will not, and will not permit any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Subsidiaries to, enter into any Hedging Transaction, other than Hedging Transactions entered into by Parent or any of its Subsidiaries in the ordinary course of business to hedge or mitigate risks to which Parent or any of its Subsidiaries is exposed in the conduct of its business or the management of its liabilities. Solely for the avoidance of doubt, Parent and the Borrower acknowledge that a Hedging Transaction entered into for speculative purposes or of a speculative nature (which shall be deemed to include any Hedging Transaction under which Parent or any of its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Section 7.11 </w:t>
      </w:r>
      <w:r>
        <w:rPr>
          <w:rFonts w:ascii="Arial" w:cs="Arial" w:eastAsia="Arial" w:hAnsi="Arial"/>
          <w:sz w:val="21"/>
          <w:szCs w:val="21"/>
          <w:b w:val="1"/>
          <w:bCs w:val="1"/>
          <w:u w:val="single" w:color="auto"/>
          <w:color w:val="auto"/>
        </w:rPr>
        <w:t>Amendment to Organizational Documents</w:t>
      </w:r>
      <w:r>
        <w:rPr>
          <w:rFonts w:ascii="Arial" w:cs="Arial" w:eastAsia="Arial" w:hAnsi="Arial"/>
          <w:sz w:val="21"/>
          <w:szCs w:val="21"/>
          <w:color w:val="auto"/>
        </w:rPr>
        <w:t>. Parent and the Borrower will not, and will not</w:t>
      </w:r>
      <w:r>
        <w:rPr>
          <w:rFonts w:ascii="Arial" w:cs="Arial" w:eastAsia="Arial" w:hAnsi="Arial"/>
          <w:sz w:val="21"/>
          <w:szCs w:val="21"/>
          <w:b w:val="1"/>
          <w:bCs w:val="1"/>
          <w:color w:val="auto"/>
        </w:rPr>
        <w:t xml:space="preserve"> </w:t>
      </w:r>
      <w:r>
        <w:rPr>
          <w:rFonts w:ascii="Arial" w:cs="Arial" w:eastAsia="Arial" w:hAnsi="Arial"/>
          <w:sz w:val="21"/>
          <w:szCs w:val="21"/>
          <w:color w:val="auto"/>
        </w:rPr>
        <w:t>permit any of their respective Subsidiaries to, amend, modify or waive any of their respective rights under its certificate of incorporation, articles of organization, bylaws, limited liability company agreement, or other organizational documents.</w:t>
      </w:r>
    </w:p>
    <w:p>
      <w:pPr>
        <w:spacing w:after="0" w:line="1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7.12 </w:t>
      </w:r>
      <w:r>
        <w:rPr>
          <w:rFonts w:ascii="Arial" w:cs="Arial" w:eastAsia="Arial" w:hAnsi="Arial"/>
          <w:sz w:val="22"/>
          <w:szCs w:val="22"/>
          <w:b w:val="1"/>
          <w:bCs w:val="1"/>
          <w:u w:val="single" w:color="auto"/>
          <w:color w:val="auto"/>
        </w:rPr>
        <w:t>Accounting Changes</w:t>
      </w:r>
      <w:r>
        <w:rPr>
          <w:rFonts w:ascii="Arial" w:cs="Arial" w:eastAsia="Arial" w:hAnsi="Arial"/>
          <w:sz w:val="22"/>
          <w:szCs w:val="22"/>
          <w:color w:val="auto"/>
        </w:rPr>
        <w:t>. Parent and the Borrower will not, and will not permit any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Subsidiaries to, make any significant change in accounting treatment or reporting practices, except as required by GAAP, or change the fiscal year of Parent or of any of its Subsidiaries, except to change the fiscal year of a Subsidiary to conform its fiscal year to that of Parent.</w:t>
      </w:r>
    </w:p>
    <w:p>
      <w:pPr>
        <w:spacing w:after="0" w:line="2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7.13 </w:t>
      </w:r>
      <w:r>
        <w:rPr>
          <w:rFonts w:ascii="Arial" w:cs="Arial" w:eastAsia="Arial" w:hAnsi="Arial"/>
          <w:sz w:val="22"/>
          <w:szCs w:val="22"/>
          <w:b w:val="1"/>
          <w:bCs w:val="1"/>
          <w:u w:val="single" w:color="auto"/>
          <w:color w:val="auto"/>
        </w:rPr>
        <w:t>Government Regulation</w:t>
      </w:r>
      <w:r>
        <w:rPr>
          <w:rFonts w:ascii="Arial" w:cs="Arial" w:eastAsia="Arial" w:hAnsi="Arial"/>
          <w:sz w:val="22"/>
          <w:szCs w:val="22"/>
          <w:color w:val="auto"/>
        </w:rPr>
        <w:t>. Parent and the Borrower will not, and will not permit any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Subsidiaries to, (a) be or become subject at any time to any law, regulation or list of any Governmental Authority of the United States (including, without limitation, the OFAC list) that prohibits or limits the Lenders or the Administrative Agent from making any advance or extension of credit to the Borrower or from otherwise conducting business with the Loan Parties, or (b) fail to provide documentary and other evidence of the identity of the Loan Parties as may be requested by the Lenders or the Administrative Agent 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75" w:right="239" w:bottom="1440" w:gutter="0" w:footer="0" w:header="0"/>
        </w:sectPr>
      </w:pPr>
    </w:p>
    <w:bookmarkStart w:id="128" w:name="page129"/>
    <w:bookmarkEnd w:id="128"/>
    <w:p>
      <w:pPr>
        <w:spacing w:after="0" w:line="287" w:lineRule="auto"/>
        <w:rPr>
          <w:sz w:val="20"/>
          <w:szCs w:val="20"/>
          <w:color w:val="auto"/>
        </w:rPr>
      </w:pPr>
      <w:r>
        <w:rPr>
          <w:rFonts w:ascii="Arial" w:cs="Arial" w:eastAsia="Arial" w:hAnsi="Arial"/>
          <w:sz w:val="21"/>
          <w:szCs w:val="21"/>
          <w:color w:val="auto"/>
        </w:rPr>
        <w:t>any time to enable the Lenders or the Administrative Agent to verify the identity of the Loan Parties or to comply with any applicable law or regulation, including, without limitation, Section 326 of the Patriot Act at 31 U.S.C. Section 5318.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EVENTS OF DEFAULT</w:t>
      </w:r>
    </w:p>
    <w:p>
      <w:pPr>
        <w:spacing w:after="0" w:line="26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color w:val="auto"/>
        </w:rPr>
        <w:t>. If any of the following events (each,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shall occur:</w:t>
      </w:r>
    </w:p>
    <w:p>
      <w:pPr>
        <w:spacing w:after="0" w:line="266" w:lineRule="exact"/>
        <w:rPr>
          <w:sz w:val="20"/>
          <w:szCs w:val="20"/>
          <w:color w:val="auto"/>
        </w:rPr>
      </w:pPr>
    </w:p>
    <w:p>
      <w:pPr>
        <w:jc w:val="both"/>
        <w:ind w:left="660" w:firstLine="1293"/>
        <w:spacing w:after="0" w:line="260" w:lineRule="auto"/>
        <w:tabs>
          <w:tab w:leader="none" w:pos="2804" w:val="left"/>
        </w:tabs>
        <w:numPr>
          <w:ilvl w:val="0"/>
          <w:numId w:val="120"/>
        </w:numPr>
        <w:rPr>
          <w:rFonts w:ascii="Arial" w:cs="Arial" w:eastAsia="Arial" w:hAnsi="Arial"/>
          <w:sz w:val="18"/>
          <w:szCs w:val="18"/>
          <w:color w:val="auto"/>
        </w:rPr>
      </w:pPr>
      <w:r>
        <w:rPr>
          <w:rFonts w:ascii="Arial" w:cs="Arial" w:eastAsia="Arial" w:hAnsi="Arial"/>
          <w:sz w:val="22"/>
          <w:szCs w:val="22"/>
          <w:color w:val="auto"/>
        </w:rPr>
        <w:t>Parent or the Borrower shall fail to pay any principal of any Loan or of any reimbursement obligation in respect of any LC Disbursement, when and as the same shall become due and payable, whether at the due date thereof or at a date fixed for prepayment or otherwise; or</w:t>
      </w:r>
    </w:p>
    <w:p>
      <w:pPr>
        <w:spacing w:after="0" w:line="217" w:lineRule="exact"/>
        <w:rPr>
          <w:rFonts w:ascii="Arial" w:cs="Arial" w:eastAsia="Arial" w:hAnsi="Arial"/>
          <w:sz w:val="18"/>
          <w:szCs w:val="18"/>
          <w:color w:val="auto"/>
        </w:rPr>
      </w:pPr>
    </w:p>
    <w:p>
      <w:pPr>
        <w:jc w:val="both"/>
        <w:ind w:left="660" w:firstLine="1293"/>
        <w:spacing w:after="0" w:line="270" w:lineRule="auto"/>
        <w:tabs>
          <w:tab w:leader="none" w:pos="2815" w:val="left"/>
        </w:tabs>
        <w:numPr>
          <w:ilvl w:val="0"/>
          <w:numId w:val="120"/>
        </w:numPr>
        <w:rPr>
          <w:rFonts w:ascii="Arial" w:cs="Arial" w:eastAsia="Arial" w:hAnsi="Arial"/>
          <w:sz w:val="17"/>
          <w:szCs w:val="17"/>
          <w:color w:val="auto"/>
        </w:rPr>
      </w:pPr>
      <w:r>
        <w:rPr>
          <w:rFonts w:ascii="Arial" w:cs="Arial" w:eastAsia="Arial" w:hAnsi="Arial"/>
          <w:sz w:val="21"/>
          <w:szCs w:val="21"/>
          <w:color w:val="auto"/>
        </w:rPr>
        <w:t>Parent or the Borrower shall fail to pay any interest on any Loan or any fee or any other amount (other than an amount payable under subsection (a) of this Section or an amount related to a Bank Product Obligation) payable under this Agreement or any other Loan Document, when and as the same shall become due and payable, and such failure shall continue unremedied for a period of three (3) Business Days; or</w:t>
      </w:r>
    </w:p>
    <w:p>
      <w:pPr>
        <w:spacing w:after="0" w:line="209" w:lineRule="exact"/>
        <w:rPr>
          <w:rFonts w:ascii="Arial" w:cs="Arial" w:eastAsia="Arial" w:hAnsi="Arial"/>
          <w:sz w:val="17"/>
          <w:szCs w:val="17"/>
          <w:color w:val="auto"/>
        </w:rPr>
      </w:pPr>
    </w:p>
    <w:p>
      <w:pPr>
        <w:jc w:val="both"/>
        <w:ind w:left="660" w:firstLine="1293"/>
        <w:spacing w:after="0" w:line="261" w:lineRule="auto"/>
        <w:tabs>
          <w:tab w:leader="none" w:pos="2804" w:val="left"/>
        </w:tabs>
        <w:numPr>
          <w:ilvl w:val="0"/>
          <w:numId w:val="120"/>
        </w:numPr>
        <w:rPr>
          <w:rFonts w:ascii="Arial" w:cs="Arial" w:eastAsia="Arial" w:hAnsi="Arial"/>
          <w:sz w:val="17"/>
          <w:szCs w:val="17"/>
          <w:color w:val="auto"/>
        </w:rPr>
      </w:pPr>
      <w:r>
        <w:rPr>
          <w:rFonts w:ascii="Arial" w:cs="Arial" w:eastAsia="Arial" w:hAnsi="Arial"/>
          <w:sz w:val="21"/>
          <w:szCs w:val="21"/>
          <w:color w:val="auto"/>
        </w:rPr>
        <w:t>any representation or warranty made or deemed made by or on behalf of Parent or any of its Subsidiaries in or in connection with this Agreement or any other Loan Document (including the Schedules attached hereto and thereto), or in any amendments or modifications hereof or waivers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spacing w:after="0" w:line="222" w:lineRule="exact"/>
        <w:rPr>
          <w:rFonts w:ascii="Arial" w:cs="Arial" w:eastAsia="Arial" w:hAnsi="Arial"/>
          <w:sz w:val="17"/>
          <w:szCs w:val="17"/>
          <w:color w:val="auto"/>
        </w:rPr>
      </w:pPr>
    </w:p>
    <w:p>
      <w:pPr>
        <w:jc w:val="both"/>
        <w:ind w:left="660" w:firstLine="1293"/>
        <w:spacing w:after="0" w:line="260" w:lineRule="auto"/>
        <w:tabs>
          <w:tab w:leader="none" w:pos="2815" w:val="left"/>
        </w:tabs>
        <w:numPr>
          <w:ilvl w:val="0"/>
          <w:numId w:val="120"/>
        </w:numPr>
        <w:rPr>
          <w:rFonts w:ascii="Arial" w:cs="Arial" w:eastAsia="Arial" w:hAnsi="Arial"/>
          <w:sz w:val="18"/>
          <w:szCs w:val="18"/>
          <w:color w:val="auto"/>
        </w:rPr>
      </w:pPr>
      <w:r>
        <w:rPr>
          <w:rFonts w:ascii="Arial" w:cs="Arial" w:eastAsia="Arial" w:hAnsi="Arial"/>
          <w:sz w:val="22"/>
          <w:szCs w:val="22"/>
          <w:color w:val="auto"/>
        </w:rPr>
        <w:t xml:space="preserve">Parent or the Borrower shall fail to observe or perform any covenant or agreement contained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w:t>
      </w:r>
      <w:r>
        <w:rPr>
          <w:rFonts w:ascii="Arial" w:cs="Arial" w:eastAsia="Arial" w:hAnsi="Arial"/>
          <w:sz w:val="22"/>
          <w:szCs w:val="22"/>
          <w:u w:val="single" w:color="auto"/>
          <w:color w:val="auto"/>
        </w:rPr>
        <w:t>5.2</w:t>
      </w:r>
      <w:r>
        <w:rPr>
          <w:rFonts w:ascii="Arial" w:cs="Arial" w:eastAsia="Arial" w:hAnsi="Arial"/>
          <w:sz w:val="22"/>
          <w:szCs w:val="22"/>
          <w:color w:val="auto"/>
        </w:rPr>
        <w:t xml:space="preserve">, </w:t>
      </w:r>
      <w:r>
        <w:rPr>
          <w:rFonts w:ascii="Arial" w:cs="Arial" w:eastAsia="Arial" w:hAnsi="Arial"/>
          <w:sz w:val="22"/>
          <w:szCs w:val="22"/>
          <w:u w:val="single" w:color="auto"/>
          <w:color w:val="auto"/>
        </w:rPr>
        <w:t>5.3</w:t>
      </w:r>
      <w:r>
        <w:rPr>
          <w:rFonts w:ascii="Arial" w:cs="Arial" w:eastAsia="Arial" w:hAnsi="Arial"/>
          <w:sz w:val="22"/>
          <w:szCs w:val="22"/>
          <w:color w:val="auto"/>
        </w:rPr>
        <w:t xml:space="preserve"> (with respect to the Borrower’s legal existence), </w:t>
      </w:r>
      <w:r>
        <w:rPr>
          <w:rFonts w:ascii="Arial" w:cs="Arial" w:eastAsia="Arial" w:hAnsi="Arial"/>
          <w:sz w:val="22"/>
          <w:szCs w:val="22"/>
          <w:u w:val="single" w:color="auto"/>
          <w:color w:val="auto"/>
        </w:rPr>
        <w:t>5.9</w:t>
      </w:r>
      <w:r>
        <w:rPr>
          <w:rFonts w:ascii="Arial" w:cs="Arial" w:eastAsia="Arial" w:hAnsi="Arial"/>
          <w:sz w:val="22"/>
          <w:szCs w:val="22"/>
          <w:color w:val="auto"/>
        </w:rPr>
        <w:t xml:space="preserve"> (with respect to the use of proceeds of the Loans), </w:t>
      </w:r>
      <w:r>
        <w:rPr>
          <w:rFonts w:ascii="Arial" w:cs="Arial" w:eastAsia="Arial" w:hAnsi="Arial"/>
          <w:sz w:val="22"/>
          <w:szCs w:val="22"/>
          <w:u w:val="single" w:color="auto"/>
          <w:color w:val="auto"/>
        </w:rPr>
        <w:t>5.15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5.16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VII</w:t>
      </w:r>
      <w:r>
        <w:rPr>
          <w:rFonts w:ascii="Arial" w:cs="Arial" w:eastAsia="Arial" w:hAnsi="Arial"/>
          <w:sz w:val="22"/>
          <w:szCs w:val="22"/>
          <w:color w:val="auto"/>
        </w:rPr>
        <w:t>; or</w:t>
      </w:r>
    </w:p>
    <w:p>
      <w:pPr>
        <w:spacing w:after="0" w:line="217" w:lineRule="exact"/>
        <w:rPr>
          <w:rFonts w:ascii="Arial" w:cs="Arial" w:eastAsia="Arial" w:hAnsi="Arial"/>
          <w:sz w:val="18"/>
          <w:szCs w:val="18"/>
          <w:color w:val="auto"/>
        </w:rPr>
      </w:pPr>
    </w:p>
    <w:p>
      <w:pPr>
        <w:jc w:val="both"/>
        <w:ind w:left="660" w:firstLine="1293"/>
        <w:spacing w:after="0" w:line="251" w:lineRule="auto"/>
        <w:tabs>
          <w:tab w:leader="none" w:pos="2804" w:val="left"/>
        </w:tabs>
        <w:numPr>
          <w:ilvl w:val="0"/>
          <w:numId w:val="120"/>
        </w:numPr>
        <w:rPr>
          <w:rFonts w:ascii="Arial" w:cs="Arial" w:eastAsia="Arial" w:hAnsi="Arial"/>
          <w:sz w:val="18"/>
          <w:szCs w:val="18"/>
          <w:color w:val="auto"/>
        </w:rPr>
      </w:pPr>
      <w:r>
        <w:rPr>
          <w:rFonts w:ascii="Arial" w:cs="Arial" w:eastAsia="Arial" w:hAnsi="Arial"/>
          <w:sz w:val="22"/>
          <w:szCs w:val="22"/>
          <w:color w:val="auto"/>
        </w:rPr>
        <w:t>any Loan Party shall fail to observe or perform any covenant or agreement contained in this Agreement (other than those referred to in subsections (a), (b) and (d) of this Section) or any other Loan Document or related to any Bank Product Obligation, and such failure shall remain unremedied for 30 days after the earlier of (i) any officer of Parent or the Borrower becomes aware of such failure, or (ii) notice thereof shall have been given to Parent or the Borrower by the Administrative Agent or any Lender; or</w:t>
      </w:r>
    </w:p>
    <w:p>
      <w:pPr>
        <w:spacing w:after="0" w:line="224" w:lineRule="exact"/>
        <w:rPr>
          <w:rFonts w:ascii="Arial" w:cs="Arial" w:eastAsia="Arial" w:hAnsi="Arial"/>
          <w:sz w:val="18"/>
          <w:szCs w:val="18"/>
          <w:color w:val="auto"/>
        </w:rPr>
      </w:pPr>
    </w:p>
    <w:p>
      <w:pPr>
        <w:ind w:left="2780" w:hanging="827"/>
        <w:spacing w:after="0"/>
        <w:tabs>
          <w:tab w:leader="none" w:pos="2780" w:val="left"/>
        </w:tabs>
        <w:numPr>
          <w:ilvl w:val="0"/>
          <w:numId w:val="120"/>
        </w:numPr>
        <w:rPr>
          <w:rFonts w:ascii="Arial" w:cs="Arial" w:eastAsia="Arial" w:hAnsi="Arial"/>
          <w:sz w:val="18"/>
          <w:szCs w:val="18"/>
          <w:color w:val="auto"/>
        </w:rPr>
      </w:pPr>
      <w:r>
        <w:rPr>
          <w:rFonts w:ascii="Arial" w:cs="Arial" w:eastAsia="Arial" w:hAnsi="Arial"/>
          <w:sz w:val="22"/>
          <w:szCs w:val="22"/>
          <w:b w:val="1"/>
          <w:bCs w:val="1"/>
          <w:color w:val="auto"/>
        </w:rPr>
        <w:t>[Intentionally Omitted.]</w:t>
      </w:r>
    </w:p>
    <w:p>
      <w:pPr>
        <w:spacing w:after="0" w:line="279" w:lineRule="exact"/>
        <w:rPr>
          <w:rFonts w:ascii="Arial" w:cs="Arial" w:eastAsia="Arial" w:hAnsi="Arial"/>
          <w:sz w:val="18"/>
          <w:szCs w:val="18"/>
          <w:color w:val="auto"/>
        </w:rPr>
      </w:pPr>
    </w:p>
    <w:p>
      <w:pPr>
        <w:jc w:val="both"/>
        <w:ind w:left="660" w:firstLine="1293"/>
        <w:spacing w:after="0" w:line="251" w:lineRule="auto"/>
        <w:tabs>
          <w:tab w:leader="none" w:pos="2815" w:val="left"/>
        </w:tabs>
        <w:numPr>
          <w:ilvl w:val="0"/>
          <w:numId w:val="120"/>
        </w:numPr>
        <w:rPr>
          <w:rFonts w:ascii="Arial" w:cs="Arial" w:eastAsia="Arial" w:hAnsi="Arial"/>
          <w:sz w:val="18"/>
          <w:szCs w:val="18"/>
          <w:color w:val="auto"/>
        </w:rPr>
      </w:pPr>
      <w:r>
        <w:rPr>
          <w:rFonts w:ascii="Arial" w:cs="Arial" w:eastAsia="Arial" w:hAnsi="Arial"/>
          <w:sz w:val="22"/>
          <w:szCs w:val="22"/>
          <w:color w:val="auto"/>
        </w:rPr>
        <w:t>(i) Parent or any of its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75" w:right="239" w:bottom="1440" w:gutter="0" w:footer="0" w:header="0"/>
        </w:sectPr>
      </w:pPr>
    </w:p>
    <w:bookmarkStart w:id="129" w:name="page130"/>
    <w:bookmarkEnd w:id="129"/>
    <w:p>
      <w:pPr>
        <w:jc w:val="both"/>
        <w:spacing w:after="0" w:line="287" w:lineRule="auto"/>
        <w:rPr>
          <w:sz w:val="20"/>
          <w:szCs w:val="20"/>
          <w:color w:val="auto"/>
        </w:rPr>
      </w:pPr>
      <w:r>
        <w:rPr>
          <w:rFonts w:ascii="Arial" w:cs="Arial" w:eastAsia="Arial" w:hAnsi="Arial"/>
          <w:sz w:val="19"/>
          <w:szCs w:val="19"/>
          <w:color w:val="auto"/>
        </w:rPr>
        <w:t>instrument evidencing or governing such Indebtedness; or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or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or (ii) there occurs under any Hedging Transaction an Early Termination Date (as defined in such Hedge Transaction) resulting from (A) any event of default under such Hedging Transaction as to which Parent or any of its Subsidiaries is the Defaulting Party (as defined in such Hedging Transaction) and the Hedge Termination Value owed by Parent or such Subsidiary as a result thereof is greater than the Threshold Amount or (B) any Termination Event (as so defined) under such Hedging Transaction as to which Parent or any Subsidiary is an Affected Party (as so defined) and the Hedge Termination Value owed by Parent or such Subsidiary as a result thereof is greater than the Threshold Amount and is not paid; or</w:t>
      </w:r>
    </w:p>
    <w:p>
      <w:pPr>
        <w:spacing w:after="0" w:line="200" w:lineRule="exact"/>
        <w:rPr>
          <w:sz w:val="20"/>
          <w:szCs w:val="20"/>
          <w:color w:val="auto"/>
        </w:rPr>
      </w:pPr>
    </w:p>
    <w:p>
      <w:pPr>
        <w:spacing w:after="0" w:line="257" w:lineRule="exact"/>
        <w:rPr>
          <w:sz w:val="20"/>
          <w:szCs w:val="20"/>
          <w:color w:val="auto"/>
        </w:rPr>
      </w:pPr>
    </w:p>
    <w:p>
      <w:pPr>
        <w:jc w:val="both"/>
        <w:ind w:firstLine="1293"/>
        <w:spacing w:after="0" w:line="260" w:lineRule="auto"/>
        <w:tabs>
          <w:tab w:leader="none" w:pos="2155" w:val="left"/>
        </w:tabs>
        <w:numPr>
          <w:ilvl w:val="0"/>
          <w:numId w:val="121"/>
        </w:numPr>
        <w:rPr>
          <w:rFonts w:ascii="Arial" w:cs="Arial" w:eastAsia="Arial" w:hAnsi="Arial"/>
          <w:sz w:val="17"/>
          <w:szCs w:val="17"/>
          <w:color w:val="auto"/>
        </w:rPr>
      </w:pPr>
      <w:r>
        <w:rPr>
          <w:rFonts w:ascii="Arial" w:cs="Arial" w:eastAsia="Arial" w:hAnsi="Arial"/>
          <w:sz w:val="21"/>
          <w:szCs w:val="21"/>
          <w:color w:val="auto"/>
        </w:rPr>
        <w:t>Parent or any of its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subsection (i) of this Section, (iii) apply for or consent to the appointment of a custodian, trustee, receiver, liquidator or other similar official for Parent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225" w:lineRule="exact"/>
        <w:rPr>
          <w:rFonts w:ascii="Arial" w:cs="Arial" w:eastAsia="Arial" w:hAnsi="Arial"/>
          <w:sz w:val="17"/>
          <w:szCs w:val="17"/>
          <w:color w:val="auto"/>
        </w:rPr>
      </w:pPr>
    </w:p>
    <w:p>
      <w:pPr>
        <w:jc w:val="both"/>
        <w:ind w:firstLine="1293"/>
        <w:spacing w:after="0" w:line="297" w:lineRule="auto"/>
        <w:tabs>
          <w:tab w:leader="none" w:pos="2115" w:val="left"/>
        </w:tabs>
        <w:numPr>
          <w:ilvl w:val="0"/>
          <w:numId w:val="121"/>
        </w:numPr>
        <w:rPr>
          <w:rFonts w:ascii="Arial" w:cs="Arial" w:eastAsia="Arial" w:hAnsi="Arial"/>
          <w:sz w:val="16"/>
          <w:szCs w:val="16"/>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Parent or any of its Subsidiaries or its debts, or any substantial part of its assets, under any federal, state or foreign bankruptcy, insolvency or other similar law now or hereafter in effect or (ii) the appointment of a custodian, trustee, receiver, liquidator or other similar official for Parent or any of its Subsidiaries or for a substantial part of its assets, and in any such case, such proceeding or petition shall remain undismissed for a period of 60 days or an order or decree approving or ordering any of the foregoing shall be entered; or</w:t>
      </w:r>
    </w:p>
    <w:p>
      <w:pPr>
        <w:spacing w:after="0" w:line="187" w:lineRule="exact"/>
        <w:rPr>
          <w:rFonts w:ascii="Arial" w:cs="Arial" w:eastAsia="Arial" w:hAnsi="Arial"/>
          <w:sz w:val="16"/>
          <w:szCs w:val="16"/>
          <w:color w:val="auto"/>
        </w:rPr>
      </w:pPr>
    </w:p>
    <w:p>
      <w:pPr>
        <w:ind w:firstLine="1293"/>
        <w:spacing w:after="0" w:line="276" w:lineRule="auto"/>
        <w:tabs>
          <w:tab w:leader="none" w:pos="2115" w:val="left"/>
        </w:tabs>
        <w:numPr>
          <w:ilvl w:val="0"/>
          <w:numId w:val="121"/>
        </w:numPr>
        <w:rPr>
          <w:rFonts w:ascii="Arial" w:cs="Arial" w:eastAsia="Arial" w:hAnsi="Arial"/>
          <w:sz w:val="18"/>
          <w:szCs w:val="18"/>
          <w:color w:val="auto"/>
        </w:rPr>
      </w:pPr>
      <w:r>
        <w:rPr>
          <w:rFonts w:ascii="Arial" w:cs="Arial" w:eastAsia="Arial" w:hAnsi="Arial"/>
          <w:sz w:val="22"/>
          <w:szCs w:val="22"/>
          <w:color w:val="auto"/>
        </w:rPr>
        <w:t>Parent or any of its Subsidiaries shall become unable to pay, shall admit in writing its inability to pay, or shall fail to pay, its debts as they become due; or</w:t>
      </w:r>
    </w:p>
    <w:p>
      <w:pPr>
        <w:spacing w:after="0" w:line="201" w:lineRule="exact"/>
        <w:rPr>
          <w:rFonts w:ascii="Arial" w:cs="Arial" w:eastAsia="Arial" w:hAnsi="Arial"/>
          <w:sz w:val="18"/>
          <w:szCs w:val="18"/>
          <w:color w:val="auto"/>
        </w:rPr>
      </w:pPr>
    </w:p>
    <w:p>
      <w:pPr>
        <w:jc w:val="both"/>
        <w:ind w:firstLine="1293"/>
        <w:spacing w:after="0" w:line="266" w:lineRule="auto"/>
        <w:tabs>
          <w:tab w:leader="none" w:pos="2155" w:val="left"/>
        </w:tabs>
        <w:numPr>
          <w:ilvl w:val="0"/>
          <w:numId w:val="121"/>
        </w:numPr>
        <w:rPr>
          <w:rFonts w:ascii="Arial" w:cs="Arial" w:eastAsia="Arial" w:hAnsi="Arial"/>
          <w:sz w:val="17"/>
          <w:szCs w:val="17"/>
          <w:color w:val="auto"/>
        </w:rPr>
      </w:pPr>
      <w:r>
        <w:rPr>
          <w:rFonts w:ascii="Arial" w:cs="Arial" w:eastAsia="Arial" w:hAnsi="Arial"/>
          <w:sz w:val="21"/>
          <w:szCs w:val="21"/>
          <w:color w:val="auto"/>
        </w:rPr>
        <w:t>(i) an ERISA Event shall have occurred that, when taken together with other ERISA Events that have occurred, would reasonably be expected to result in liability to the Borrower and its Subsidiaries in an aggregate amount exceeding $500,000, (ii) there is or arises an Unfunded Pension Liability (not taking into account Plans with negative Unfunded Pension Liability) in an aggregate amount exceeding $500,000, or (iii) there is or arises any potential Withdrawal Liability in an aggregate amount exceeding $500,000; or</w:t>
      </w:r>
    </w:p>
    <w:p>
      <w:pPr>
        <w:spacing w:after="0" w:line="214" w:lineRule="exact"/>
        <w:rPr>
          <w:rFonts w:ascii="Arial" w:cs="Arial" w:eastAsia="Arial" w:hAnsi="Arial"/>
          <w:sz w:val="17"/>
          <w:szCs w:val="17"/>
          <w:color w:val="auto"/>
        </w:rPr>
      </w:pPr>
    </w:p>
    <w:p>
      <w:pPr>
        <w:jc w:val="both"/>
        <w:ind w:firstLine="1293"/>
        <w:spacing w:after="0" w:line="254" w:lineRule="auto"/>
        <w:tabs>
          <w:tab w:leader="none" w:pos="2115" w:val="left"/>
        </w:tabs>
        <w:numPr>
          <w:ilvl w:val="0"/>
          <w:numId w:val="121"/>
        </w:numPr>
        <w:rPr>
          <w:rFonts w:ascii="Arial" w:cs="Arial" w:eastAsia="Arial" w:hAnsi="Arial"/>
          <w:sz w:val="18"/>
          <w:szCs w:val="18"/>
          <w:color w:val="auto"/>
        </w:rPr>
      </w:pPr>
      <w:r>
        <w:rPr>
          <w:rFonts w:ascii="Arial" w:cs="Arial" w:eastAsia="Arial" w:hAnsi="Arial"/>
          <w:sz w:val="22"/>
          <w:szCs w:val="22"/>
          <w:color w:val="auto"/>
        </w:rPr>
        <w:t>any judgment or order for the payment of money in excess of the Threshold Amount in the aggregate (to the extent not paid or covered by insurance as to which the applicable insurance company is solvent and has not disputed coverage) shall be rendered against Parent or any of its Subsidiaries, and either (i) enforcement proceedings shall have been commenced by any creditor</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760"/>
          </w:cols>
          <w:pgMar w:left="900" w:top="375" w:right="239" w:bottom="1440" w:gutter="0" w:footer="0" w:header="0"/>
        </w:sectPr>
      </w:pPr>
    </w:p>
    <w:bookmarkStart w:id="130" w:name="page131"/>
    <w:bookmarkEnd w:id="130"/>
    <w:p>
      <w:pPr>
        <w:ind w:left="660"/>
        <w:spacing w:after="0" w:line="263" w:lineRule="auto"/>
        <w:rPr>
          <w:sz w:val="20"/>
          <w:szCs w:val="20"/>
          <w:color w:val="auto"/>
        </w:rPr>
      </w:pPr>
      <w:r>
        <w:rPr>
          <w:rFonts w:ascii="Arial" w:cs="Arial" w:eastAsia="Arial" w:hAnsi="Arial"/>
          <w:sz w:val="22"/>
          <w:szCs w:val="22"/>
          <w:color w:val="auto"/>
        </w:rPr>
        <w:t>upon such judgment or order or (ii) there shall be a period of 30 consecutive days during which a stay of enforcement of such judgment or order, by reason of a pending appeal or otherwise, shall not be in effect; or</w:t>
      </w:r>
    </w:p>
    <w:p>
      <w:pPr>
        <w:spacing w:after="0" w:line="215" w:lineRule="exact"/>
        <w:rPr>
          <w:sz w:val="20"/>
          <w:szCs w:val="20"/>
          <w:color w:val="auto"/>
        </w:rPr>
      </w:pPr>
    </w:p>
    <w:p>
      <w:pPr>
        <w:jc w:val="both"/>
        <w:ind w:left="660" w:firstLine="1293"/>
        <w:spacing w:after="0" w:line="254" w:lineRule="auto"/>
        <w:tabs>
          <w:tab w:leader="none" w:pos="2865" w:val="left"/>
        </w:tabs>
        <w:numPr>
          <w:ilvl w:val="0"/>
          <w:numId w:val="122"/>
        </w:numPr>
        <w:rPr>
          <w:rFonts w:ascii="Arial" w:cs="Arial" w:eastAsia="Arial" w:hAnsi="Arial"/>
          <w:sz w:val="18"/>
          <w:szCs w:val="18"/>
          <w:color w:val="auto"/>
        </w:rPr>
      </w:pPr>
      <w:r>
        <w:rPr>
          <w:rFonts w:ascii="Arial" w:cs="Arial" w:eastAsia="Arial" w:hAnsi="Arial"/>
          <w:sz w:val="22"/>
          <w:szCs w:val="22"/>
          <w:color w:val="auto"/>
        </w:rPr>
        <w:t>any non-monetary judgment or order shall be rendered against Parent or any of its Subsidiaries that could reasonably be expected, either individually or in the aggregate, to have a Material Adverse Effect, and there shall be a period of 30 consecutive days during which a stay of enforcement of such judgment or order, by reason of a pending appeal or otherwise, shall not be in effect; or</w:t>
      </w:r>
    </w:p>
    <w:p>
      <w:pPr>
        <w:spacing w:after="0" w:line="225" w:lineRule="exact"/>
        <w:rPr>
          <w:rFonts w:ascii="Arial" w:cs="Arial" w:eastAsia="Arial" w:hAnsi="Arial"/>
          <w:sz w:val="18"/>
          <w:szCs w:val="18"/>
          <w:color w:val="auto"/>
        </w:rPr>
      </w:pPr>
    </w:p>
    <w:p>
      <w:pPr>
        <w:ind w:left="2820" w:hanging="867"/>
        <w:spacing w:after="0"/>
        <w:tabs>
          <w:tab w:leader="none" w:pos="2820" w:val="left"/>
        </w:tabs>
        <w:numPr>
          <w:ilvl w:val="0"/>
          <w:numId w:val="122"/>
        </w:numPr>
        <w:rPr>
          <w:rFonts w:ascii="Arial" w:cs="Arial" w:eastAsia="Arial" w:hAnsi="Arial"/>
          <w:sz w:val="18"/>
          <w:szCs w:val="18"/>
          <w:color w:val="auto"/>
        </w:rPr>
      </w:pPr>
      <w:r>
        <w:rPr>
          <w:rFonts w:ascii="Arial" w:cs="Arial" w:eastAsia="Arial" w:hAnsi="Arial"/>
          <w:sz w:val="22"/>
          <w:szCs w:val="22"/>
          <w:color w:val="auto"/>
        </w:rPr>
        <w:t>a Change in Control shall occur or exist; or</w:t>
      </w:r>
    </w:p>
    <w:p>
      <w:pPr>
        <w:spacing w:after="0" w:line="273" w:lineRule="exact"/>
        <w:rPr>
          <w:rFonts w:ascii="Arial" w:cs="Arial" w:eastAsia="Arial" w:hAnsi="Arial"/>
          <w:sz w:val="18"/>
          <w:szCs w:val="18"/>
          <w:color w:val="auto"/>
        </w:rPr>
      </w:pPr>
    </w:p>
    <w:p>
      <w:pPr>
        <w:jc w:val="both"/>
        <w:ind w:left="660" w:firstLine="1293"/>
        <w:spacing w:after="0" w:line="266" w:lineRule="auto"/>
        <w:tabs>
          <w:tab w:leader="none" w:pos="2815" w:val="left"/>
        </w:tabs>
        <w:numPr>
          <w:ilvl w:val="0"/>
          <w:numId w:val="122"/>
        </w:numPr>
        <w:rPr>
          <w:rFonts w:ascii="Arial" w:cs="Arial" w:eastAsia="Arial" w:hAnsi="Arial"/>
          <w:sz w:val="17"/>
          <w:szCs w:val="17"/>
          <w:color w:val="auto"/>
        </w:rPr>
      </w:pPr>
      <w:r>
        <w:rPr>
          <w:rFonts w:ascii="Arial" w:cs="Arial" w:eastAsia="Arial" w:hAnsi="Arial"/>
          <w:sz w:val="21"/>
          <w:szCs w:val="21"/>
          <w:color w:val="auto"/>
        </w:rPr>
        <w:t xml:space="preserve">any provision of the Guaranty and Security Agreement, any other Collateral Document or any other material Loan Document shall for any reason cease to be valid and binding on, or enforceable against, any Loan Party, or any Loan Party shall so state in writing, or any Loan Party shall seek to terminate its obligation under the Guaranty and Security Agreement, any other Collateral Document or any other material Loan Document (other than the release of any guaranty or collateral to the extent permitted pursuant to </w:t>
      </w:r>
      <w:r>
        <w:rPr>
          <w:rFonts w:ascii="Arial" w:cs="Arial" w:eastAsia="Arial" w:hAnsi="Arial"/>
          <w:sz w:val="21"/>
          <w:szCs w:val="21"/>
          <w:u w:val="single" w:color="auto"/>
          <w:color w:val="auto"/>
        </w:rPr>
        <w:t>Section 9.11</w:t>
      </w:r>
      <w:r>
        <w:rPr>
          <w:rFonts w:ascii="Arial" w:cs="Arial" w:eastAsia="Arial" w:hAnsi="Arial"/>
          <w:sz w:val="21"/>
          <w:szCs w:val="21"/>
          <w:color w:val="auto"/>
        </w:rPr>
        <w:t>); or</w:t>
      </w:r>
    </w:p>
    <w:p>
      <w:pPr>
        <w:spacing w:after="0" w:line="214" w:lineRule="exact"/>
        <w:rPr>
          <w:rFonts w:ascii="Arial" w:cs="Arial" w:eastAsia="Arial" w:hAnsi="Arial"/>
          <w:sz w:val="17"/>
          <w:szCs w:val="17"/>
          <w:color w:val="auto"/>
        </w:rPr>
      </w:pPr>
    </w:p>
    <w:p>
      <w:pPr>
        <w:ind w:left="660" w:firstLine="1293"/>
        <w:spacing w:after="0" w:line="258" w:lineRule="auto"/>
        <w:tabs>
          <w:tab w:leader="none" w:pos="2815" w:val="left"/>
        </w:tabs>
        <w:numPr>
          <w:ilvl w:val="0"/>
          <w:numId w:val="122"/>
        </w:numPr>
        <w:rPr>
          <w:rFonts w:ascii="Arial" w:cs="Arial" w:eastAsia="Arial" w:hAnsi="Arial"/>
          <w:sz w:val="18"/>
          <w:szCs w:val="18"/>
          <w:color w:val="auto"/>
        </w:rPr>
      </w:pPr>
      <w:r>
        <w:rPr>
          <w:rFonts w:ascii="Arial" w:cs="Arial" w:eastAsia="Arial" w:hAnsi="Arial"/>
          <w:sz w:val="22"/>
          <w:szCs w:val="22"/>
          <w:color w:val="auto"/>
        </w:rPr>
        <w:t>any Lien purported to be created under any Collateral Document shall fail or cease to be, or shall be asserted by any Loan Party not to be, a valid and perfected Lien on any</w:t>
      </w:r>
    </w:p>
    <w:p>
      <w:pPr>
        <w:ind w:left="660"/>
        <w:spacing w:after="0"/>
        <w:rPr>
          <w:rFonts w:ascii="Arial" w:cs="Arial" w:eastAsia="Arial" w:hAnsi="Arial"/>
          <w:sz w:val="18"/>
          <w:szCs w:val="18"/>
          <w:color w:val="auto"/>
        </w:rPr>
      </w:pPr>
      <w:r>
        <w:rPr>
          <w:rFonts w:ascii="Arial" w:cs="Arial" w:eastAsia="Arial" w:hAnsi="Arial"/>
          <w:sz w:val="22"/>
          <w:szCs w:val="22"/>
          <w:color w:val="auto"/>
        </w:rPr>
        <w:t>Collateral, with the priority required by the applicable Collateral Documents;</w:t>
      </w:r>
    </w:p>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then, and in every such event (other than an event with respect to Parent or the Borrower described in subsection (h) or (i) of this Section) and at any time thereafter during the continuance of such event, the Administrative Agent may, and upon the written request of the Required Lenders shall, by notice to the Borrower, take any or all of the following actions, at the same or different times: (i) terminate the 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Parent and the Borrower, (iii) exercise all remedies contained in any other Loan Document, and (iv) exercise any other remedies available at law or in equity;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Event of Default specified in either subsection (h) or (i) shall occur, the Commitments shall automatically terminate and the principal of the Loans then outstanding, together with accrued interest thereon, and all fees and all other Obligations (other than (A) Hedging Obligations owed by any Loan Party to any Lender-Related Hedge Provider and (B) Bank Product Obligations) shall automatically become due and payable, without presentment, demand, protest or other notice of any kind, all of which are hereby waived by Parent and the Borrower.</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Section 8.2 </w:t>
      </w:r>
      <w:r>
        <w:rPr>
          <w:rFonts w:ascii="Arial" w:cs="Arial" w:eastAsia="Arial" w:hAnsi="Arial"/>
          <w:sz w:val="21"/>
          <w:szCs w:val="21"/>
          <w:b w:val="1"/>
          <w:bCs w:val="1"/>
          <w:u w:val="single" w:color="auto"/>
          <w:color w:val="auto"/>
        </w:rPr>
        <w:t>Application of Proceeds from Collateral</w:t>
      </w:r>
      <w:r>
        <w:rPr>
          <w:rFonts w:ascii="Arial" w:cs="Arial" w:eastAsia="Arial" w:hAnsi="Arial"/>
          <w:sz w:val="21"/>
          <w:szCs w:val="21"/>
          <w:color w:val="auto"/>
        </w:rPr>
        <w:t>. All proceeds from each sale of, or other realization</w:t>
      </w:r>
      <w:r>
        <w:rPr>
          <w:rFonts w:ascii="Arial" w:cs="Arial" w:eastAsia="Arial" w:hAnsi="Arial"/>
          <w:sz w:val="21"/>
          <w:szCs w:val="21"/>
          <w:b w:val="1"/>
          <w:bCs w:val="1"/>
          <w:color w:val="auto"/>
        </w:rPr>
        <w:t xml:space="preserve"> </w:t>
      </w:r>
      <w:r>
        <w:rPr>
          <w:rFonts w:ascii="Arial" w:cs="Arial" w:eastAsia="Arial" w:hAnsi="Arial"/>
          <w:sz w:val="21"/>
          <w:szCs w:val="21"/>
          <w:color w:val="auto"/>
        </w:rPr>
        <w:t>upon, all or any part of the Collateral by any Secured Party after an Event of Default arises shall be applied as follows:</w:t>
      </w:r>
    </w:p>
    <w:p>
      <w:pPr>
        <w:spacing w:after="0" w:line="186" w:lineRule="exact"/>
        <w:rPr>
          <w:sz w:val="20"/>
          <w:szCs w:val="20"/>
          <w:color w:val="auto"/>
        </w:rPr>
      </w:pPr>
    </w:p>
    <w:p>
      <w:pPr>
        <w:ind w:left="660" w:firstLine="1293"/>
        <w:spacing w:after="0" w:line="276" w:lineRule="auto"/>
        <w:tabs>
          <w:tab w:leader="none" w:pos="2804" w:val="left"/>
        </w:tabs>
        <w:numPr>
          <w:ilvl w:val="0"/>
          <w:numId w:val="123"/>
        </w:numPr>
        <w:rPr>
          <w:rFonts w:ascii="Arial" w:cs="Arial" w:eastAsia="Arial" w:hAnsi="Arial"/>
          <w:sz w:val="18"/>
          <w:szCs w:val="18"/>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to the reimbursable expenses of the Administrative Agent incurred in connection with such sale or other realization upon the Collateral, until the same shall have been paid in full;</w:t>
      </w:r>
    </w:p>
    <w:p>
      <w:pPr>
        <w:spacing w:after="0" w:line="201" w:lineRule="exact"/>
        <w:rPr>
          <w:rFonts w:ascii="Arial" w:cs="Arial" w:eastAsia="Arial" w:hAnsi="Arial"/>
          <w:sz w:val="18"/>
          <w:szCs w:val="18"/>
          <w:color w:val="auto"/>
        </w:rPr>
      </w:pPr>
    </w:p>
    <w:p>
      <w:pPr>
        <w:jc w:val="both"/>
        <w:ind w:left="660" w:firstLine="1293"/>
        <w:spacing w:after="0" w:line="260" w:lineRule="auto"/>
        <w:tabs>
          <w:tab w:leader="none" w:pos="2815" w:val="left"/>
        </w:tabs>
        <w:numPr>
          <w:ilvl w:val="0"/>
          <w:numId w:val="123"/>
        </w:numPr>
        <w:rPr>
          <w:rFonts w:ascii="Arial" w:cs="Arial" w:eastAsia="Arial" w:hAnsi="Arial"/>
          <w:sz w:val="18"/>
          <w:szCs w:val="18"/>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fees and other reimbursable expenses of the Administrative Agent, the Swingline Lender and the Issuing Bank then due and payable pursuant to any of the Loan Documents, until the same shall have been paid in full;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75" w:right="239" w:bottom="1440" w:gutter="0" w:footer="0" w:header="0"/>
        </w:sectPr>
      </w:pPr>
    </w:p>
    <w:bookmarkStart w:id="131" w:name="page132"/>
    <w:bookmarkEnd w:id="131"/>
    <w:p>
      <w:pPr>
        <w:ind w:left="660" w:firstLine="1293"/>
        <w:spacing w:after="0" w:line="276" w:lineRule="auto"/>
        <w:tabs>
          <w:tab w:leader="none" w:pos="2804" w:val="left"/>
        </w:tabs>
        <w:numPr>
          <w:ilvl w:val="0"/>
          <w:numId w:val="124"/>
        </w:numPr>
        <w:rPr>
          <w:rFonts w:ascii="Arial" w:cs="Arial" w:eastAsia="Arial" w:hAnsi="Arial"/>
          <w:sz w:val="18"/>
          <w:szCs w:val="18"/>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to all reimbursable expenses, if any, of the Lenders then due and payable pursuant to any of the Loan Documents, until the same shall have been paid in full;</w:t>
      </w:r>
    </w:p>
    <w:p>
      <w:pPr>
        <w:spacing w:after="0" w:line="201" w:lineRule="exact"/>
        <w:rPr>
          <w:rFonts w:ascii="Arial" w:cs="Arial" w:eastAsia="Arial" w:hAnsi="Arial"/>
          <w:sz w:val="18"/>
          <w:szCs w:val="18"/>
          <w:color w:val="auto"/>
        </w:rPr>
      </w:pPr>
    </w:p>
    <w:p>
      <w:pPr>
        <w:ind w:left="660" w:firstLine="1293"/>
        <w:spacing w:after="0" w:line="276" w:lineRule="auto"/>
        <w:tabs>
          <w:tab w:leader="none" w:pos="2815" w:val="left"/>
        </w:tabs>
        <w:numPr>
          <w:ilvl w:val="0"/>
          <w:numId w:val="124"/>
        </w:numPr>
        <w:rPr>
          <w:rFonts w:ascii="Arial" w:cs="Arial" w:eastAsia="Arial" w:hAnsi="Arial"/>
          <w:sz w:val="18"/>
          <w:szCs w:val="18"/>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to the fees and interest then due and payable under the terms of this Agreement, until the same shall have been paid in full;</w:t>
      </w:r>
    </w:p>
    <w:p>
      <w:pPr>
        <w:spacing w:after="0" w:line="201" w:lineRule="exact"/>
        <w:rPr>
          <w:rFonts w:ascii="Arial" w:cs="Arial" w:eastAsia="Arial" w:hAnsi="Arial"/>
          <w:sz w:val="18"/>
          <w:szCs w:val="18"/>
          <w:color w:val="auto"/>
        </w:rPr>
      </w:pPr>
    </w:p>
    <w:p>
      <w:pPr>
        <w:jc w:val="both"/>
        <w:ind w:left="660" w:firstLine="1293"/>
        <w:spacing w:after="0" w:line="251" w:lineRule="auto"/>
        <w:tabs>
          <w:tab w:leader="none" w:pos="2804" w:val="left"/>
        </w:tabs>
        <w:numPr>
          <w:ilvl w:val="0"/>
          <w:numId w:val="124"/>
        </w:numPr>
        <w:rPr>
          <w:rFonts w:ascii="Arial" w:cs="Arial" w:eastAsia="Arial" w:hAnsi="Arial"/>
          <w:sz w:val="18"/>
          <w:szCs w:val="18"/>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xml:space="preserve">, to the aggregate outstanding principal amount of the Loans, the LC Exposure, the Bank Product Obligations and the Hedge Termination Value of the Hedging Obligations that constitute Obligations, until the same shall have been paid in full, allocated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among the Secured Parties based on their respective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shares of the aggregate amount of such Loans, LC Exposure, Bank Product Obligations and Hedge Termination Value of such Hedging Obligations;</w:t>
      </w:r>
    </w:p>
    <w:p>
      <w:pPr>
        <w:spacing w:after="0" w:line="230" w:lineRule="exact"/>
        <w:rPr>
          <w:rFonts w:ascii="Arial" w:cs="Arial" w:eastAsia="Arial" w:hAnsi="Arial"/>
          <w:sz w:val="18"/>
          <w:szCs w:val="18"/>
          <w:color w:val="auto"/>
        </w:rPr>
      </w:pPr>
    </w:p>
    <w:p>
      <w:pPr>
        <w:jc w:val="both"/>
        <w:ind w:left="660" w:firstLine="1293"/>
        <w:spacing w:after="0" w:line="260" w:lineRule="auto"/>
        <w:tabs>
          <w:tab w:leader="none" w:pos="2785" w:val="left"/>
        </w:tabs>
        <w:numPr>
          <w:ilvl w:val="0"/>
          <w:numId w:val="124"/>
        </w:numPr>
        <w:rPr>
          <w:rFonts w:ascii="Arial" w:cs="Arial" w:eastAsia="Arial" w:hAnsi="Arial"/>
          <w:sz w:val="18"/>
          <w:szCs w:val="18"/>
          <w:color w:val="auto"/>
        </w:rPr>
      </w:pPr>
      <w:r>
        <w:rPr>
          <w:rFonts w:ascii="Arial" w:cs="Arial" w:eastAsia="Arial" w:hAnsi="Arial"/>
          <w:sz w:val="22"/>
          <w:szCs w:val="22"/>
          <w:u w:val="single" w:color="auto"/>
          <w:color w:val="auto"/>
        </w:rPr>
        <w:t>sixth</w:t>
      </w:r>
      <w:r>
        <w:rPr>
          <w:rFonts w:ascii="Arial" w:cs="Arial" w:eastAsia="Arial" w:hAnsi="Arial"/>
          <w:sz w:val="22"/>
          <w:szCs w:val="22"/>
          <w:color w:val="auto"/>
        </w:rPr>
        <w:t xml:space="preserve">, to additional cash collateral for the aggregate amount of all outstanding Letters of Credit until the aggregate amount of all cash collateral held by the Administrative Agent pursuant to this Agreement is at least 105% of the LC Exposure after giving effect to the foregoing clause </w:t>
      </w:r>
      <w:r>
        <w:rPr>
          <w:rFonts w:ascii="Arial" w:cs="Arial" w:eastAsia="Arial" w:hAnsi="Arial"/>
          <w:sz w:val="22"/>
          <w:szCs w:val="22"/>
          <w:u w:val="single" w:color="auto"/>
          <w:color w:val="auto"/>
        </w:rPr>
        <w:t>fifth</w:t>
      </w:r>
      <w:r>
        <w:rPr>
          <w:rFonts w:ascii="Arial" w:cs="Arial" w:eastAsia="Arial" w:hAnsi="Arial"/>
          <w:sz w:val="22"/>
          <w:szCs w:val="22"/>
          <w:color w:val="auto"/>
        </w:rPr>
        <w:t>; and</w:t>
      </w:r>
    </w:p>
    <w:p>
      <w:pPr>
        <w:spacing w:after="0" w:line="217" w:lineRule="exact"/>
        <w:rPr>
          <w:rFonts w:ascii="Arial" w:cs="Arial" w:eastAsia="Arial" w:hAnsi="Arial"/>
          <w:sz w:val="18"/>
          <w:szCs w:val="18"/>
          <w:color w:val="auto"/>
        </w:rPr>
      </w:pPr>
    </w:p>
    <w:p>
      <w:pPr>
        <w:ind w:left="2820" w:hanging="867"/>
        <w:spacing w:after="0"/>
        <w:tabs>
          <w:tab w:leader="none" w:pos="2820" w:val="left"/>
        </w:tabs>
        <w:numPr>
          <w:ilvl w:val="0"/>
          <w:numId w:val="124"/>
        </w:numPr>
        <w:rPr>
          <w:rFonts w:ascii="Arial" w:cs="Arial" w:eastAsia="Arial" w:hAnsi="Arial"/>
          <w:sz w:val="16"/>
          <w:szCs w:val="16"/>
          <w:color w:val="auto"/>
        </w:rPr>
      </w:pPr>
      <w:r>
        <w:rPr>
          <w:rFonts w:ascii="Arial" w:cs="Arial" w:eastAsia="Arial" w:hAnsi="Arial"/>
          <w:sz w:val="19"/>
          <w:szCs w:val="19"/>
          <w:u w:val="single" w:color="auto"/>
          <w:color w:val="auto"/>
        </w:rPr>
        <w:t>seventh</w:t>
      </w:r>
      <w:r>
        <w:rPr>
          <w:rFonts w:ascii="Arial" w:cs="Arial" w:eastAsia="Arial" w:hAnsi="Arial"/>
          <w:sz w:val="19"/>
          <w:szCs w:val="19"/>
          <w:color w:val="auto"/>
        </w:rPr>
        <w:t>, to the extent any proceeds remain, to the Borrower or as otherwise provided by a court of</w:t>
      </w:r>
    </w:p>
    <w:p>
      <w:pPr>
        <w:spacing w:after="0" w:line="5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competent jurisdiction.</w:t>
      </w:r>
    </w:p>
    <w:p>
      <w:pPr>
        <w:spacing w:after="0" w:line="25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All amounts allocated pursuant to the foregoing clauses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the Lenders as a result of amounts owed to the Lenders under the Loan Documents shall be allocated among, and distributed to, the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their respective Pro Rata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amounts allocated to that portion of the LC Exposure comprised of the aggregate undrawn amount of all outstanding Letters of Credit pursuant to clauses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shall be distributed to the Administrative Agent, rather than to the Lenders, and held by the Administrative Agent in an account in the name of the Administrative Agent for the benefit of the Issuing Bank and the Lenders as cash collateral for the LC Exposure, such account to be administered in accordance with </w:t>
      </w:r>
      <w:r>
        <w:rPr>
          <w:rFonts w:ascii="Arial" w:cs="Arial" w:eastAsia="Arial" w:hAnsi="Arial"/>
          <w:sz w:val="19"/>
          <w:szCs w:val="19"/>
          <w:u w:val="single" w:color="auto"/>
          <w:color w:val="auto"/>
        </w:rPr>
        <w:t>Section 2.22(g)</w:t>
      </w:r>
      <w:r>
        <w:rPr>
          <w:rFonts w:ascii="Arial" w:cs="Arial" w:eastAsia="Arial" w:hAnsi="Arial"/>
          <w:sz w:val="19"/>
          <w:szCs w:val="19"/>
          <w:color w:val="auto"/>
        </w:rPr>
        <w:t>. All cash collateral for LC Exposure shall be applied to satisfy drawings under the Letters of Credit as they occur; if any amount remains on deposit on cash collateral after all letters of credit have either been fully drawn or expired, such remaining amount shall be applied to other Obligations, if any, in the order set forth above.</w:t>
      </w:r>
    </w:p>
    <w:p>
      <w:pPr>
        <w:spacing w:after="0" w:line="15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Notwithstanding the foregoing, (a) no amount received from any Guarantor (including any proceeds of any sale of, or other realization upon, all or any part of the Collateral owned by such Guarantor) shall be applied to any Excluded Swap Obligation of such Guarantor and (b) Bank Product Obligations and Hedging Obligations shall be excluded from the application described above if the Administrative Agent has not received written notice thereof, together with such supporting documentation as the Administrative Agent may request, from the Bank Product Provider or the Lender-Related Hedge Provider, as the case may be. Each Bank Product Provider or Lender-Related Hedge Provider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hereof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31"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ind w:left="4080"/>
        <w:spacing w:after="0"/>
        <w:rPr>
          <w:sz w:val="20"/>
          <w:szCs w:val="20"/>
          <w:color w:val="auto"/>
        </w:rPr>
      </w:pPr>
      <w:r>
        <w:rPr>
          <w:rFonts w:ascii="Arial" w:cs="Arial" w:eastAsia="Arial" w:hAnsi="Arial"/>
          <w:sz w:val="22"/>
          <w:szCs w:val="22"/>
          <w:b w:val="1"/>
          <w:bCs w:val="1"/>
          <w:u w:val="single" w:color="auto"/>
          <w:color w:val="auto"/>
        </w:rPr>
        <w:t>THE ADMINISTRATIVE AGENT</w:t>
      </w:r>
    </w:p>
    <w:p>
      <w:pPr>
        <w:spacing w:after="0" w:line="26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b w:val="1"/>
          <w:bCs w:val="1"/>
          <w:u w:val="single" w:color="auto"/>
          <w:color w:val="auto"/>
        </w:rPr>
        <w:t>Appointment of the Administrative Agent</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91" w:lineRule="auto"/>
        <w:tabs>
          <w:tab w:leader="none" w:pos="2804" w:val="left"/>
        </w:tabs>
        <w:numPr>
          <w:ilvl w:val="0"/>
          <w:numId w:val="125"/>
        </w:numPr>
        <w:rPr>
          <w:rFonts w:ascii="Arial" w:cs="Arial" w:eastAsia="Arial" w:hAnsi="Arial"/>
          <w:sz w:val="16"/>
          <w:szCs w:val="16"/>
          <w:color w:val="auto"/>
        </w:rPr>
      </w:pPr>
      <w:r>
        <w:rPr>
          <w:rFonts w:ascii="Arial" w:cs="Arial" w:eastAsia="Arial" w:hAnsi="Arial"/>
          <w:sz w:val="19"/>
          <w:szCs w:val="19"/>
          <w:color w:val="auto"/>
        </w:rPr>
        <w:t>Each Lender irrevocably appoints SunTrust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195" w:lineRule="exact"/>
        <w:rPr>
          <w:rFonts w:ascii="Arial" w:cs="Arial" w:eastAsia="Arial" w:hAnsi="Arial"/>
          <w:sz w:val="16"/>
          <w:szCs w:val="16"/>
          <w:color w:val="auto"/>
        </w:rPr>
      </w:pPr>
    </w:p>
    <w:p>
      <w:pPr>
        <w:jc w:val="both"/>
        <w:ind w:left="660" w:firstLine="1293"/>
        <w:spacing w:after="0" w:line="292" w:lineRule="auto"/>
        <w:tabs>
          <w:tab w:leader="none" w:pos="2815" w:val="left"/>
        </w:tabs>
        <w:numPr>
          <w:ilvl w:val="0"/>
          <w:numId w:val="125"/>
        </w:numPr>
        <w:rPr>
          <w:rFonts w:ascii="Arial" w:cs="Arial" w:eastAsia="Arial" w:hAnsi="Arial"/>
          <w:sz w:val="16"/>
          <w:szCs w:val="16"/>
          <w:color w:val="auto"/>
        </w:rPr>
      </w:pPr>
      <w:r>
        <w:rPr>
          <w:rFonts w:ascii="Arial" w:cs="Arial" w:eastAsia="Arial" w:hAnsi="Arial"/>
          <w:sz w:val="19"/>
          <w:szCs w:val="19"/>
          <w:color w:val="auto"/>
        </w:rPr>
        <w:t xml:space="preserve">The Issuing Bank shall act on behalf of the Lenders with respect to any Letters of Credit issued by it and the documents associated therewith until such time and except for so long as the Administrative Agent may agree at the request of the Required Lenders to act for the Issuing Bank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Issuing Bank shall have all the benefits and immunities (i) provided to the Administrative Agent in this Article 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Article included the Issuing Bank with respect to such acts or omissions and (ii) as additionally provided in this Agreement with respect to the Issuing Bank.</w:t>
      </w:r>
    </w:p>
    <w:p>
      <w:pPr>
        <w:spacing w:after="0" w:line="190"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9"/>
          <w:szCs w:val="19"/>
          <w:b w:val="1"/>
          <w:bCs w:val="1"/>
          <w:u w:val="single" w:color="auto"/>
          <w:color w:val="auto"/>
        </w:rPr>
        <w:t>Nature of Duties of the Administrative Agent</w:t>
      </w:r>
      <w:r>
        <w:rPr>
          <w:rFonts w:ascii="Arial" w:cs="Arial" w:eastAsia="Arial" w:hAnsi="Arial"/>
          <w:sz w:val="19"/>
          <w:szCs w:val="19"/>
          <w:color w:val="auto"/>
        </w:rPr>
        <w:t>. The Administrative Agent shall not have any</w:t>
      </w:r>
    </w:p>
    <w:p>
      <w:pPr>
        <w:spacing w:after="0" w:line="28"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Parent,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or in the absence of its own gross negligence or willful misconduct. The Administrative Agent shall not be responsible for the negligence or misconduct of any sub-agents or attorneys-in-fact selected by it with reasonable care. The Administrative Agent shall not be deemed to have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9" w:right="239" w:bottom="1440" w:gutter="0" w:footer="0" w:header="0"/>
        </w:sectPr>
      </w:pPr>
    </w:p>
    <w:bookmarkStart w:id="133" w:name="page134"/>
    <w:bookmarkEnd w:id="133"/>
    <w:p>
      <w:pPr>
        <w:jc w:val="both"/>
        <w:spacing w:after="0" w:line="258" w:lineRule="auto"/>
        <w:rPr>
          <w:sz w:val="20"/>
          <w:szCs w:val="20"/>
          <w:color w:val="auto"/>
        </w:rPr>
      </w:pPr>
      <w:r>
        <w:rPr>
          <w:rFonts w:ascii="Arial" w:cs="Arial" w:eastAsia="Arial" w:hAnsi="Arial"/>
          <w:sz w:val="21"/>
          <w:szCs w:val="21"/>
          <w:color w:val="auto"/>
        </w:rPr>
        <w:t xml:space="preserve">knowledge of any Default or Event of Default unless and until written notice thereof (which notice shall include an express reference to such event being a “Default” or “Event of Default” hereunder) is given to the Administrative Agent by Parent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or elsewhere in any Loan Document, other than to confirm receipt of items expressly required to be delivered to the Administrative Agent. The Administrative Agent may consult with legal counsel (including counsel for Parent and the Borrower) concerning all matters pertaining to such duties.</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9.3 </w:t>
      </w:r>
      <w:r>
        <w:rPr>
          <w:rFonts w:ascii="Arial" w:cs="Arial" w:eastAsia="Arial" w:hAnsi="Arial"/>
          <w:sz w:val="19"/>
          <w:szCs w:val="19"/>
          <w:b w:val="1"/>
          <w:bCs w:val="1"/>
          <w:u w:val="single" w:color="auto"/>
          <w:color w:val="auto"/>
        </w:rPr>
        <w:t>Lack of Reliance on the Administrative Agent</w:t>
      </w:r>
      <w:r>
        <w:rPr>
          <w:rFonts w:ascii="Arial" w:cs="Arial" w:eastAsia="Arial" w:hAnsi="Arial"/>
          <w:sz w:val="19"/>
          <w:szCs w:val="19"/>
          <w:color w:val="auto"/>
        </w:rPr>
        <w:t>. Each of the Lenders, the Swingline Lender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Issuing Bank acknowledges that it has, independently and without reliance upon the Administrative Agent, the Issuing Bank or any other Lender and based on such documents and information as it has deemed appropriate, made its own credit analysis and decision to enter into this Agreement. Each of the Lenders, the Swingline Lender and the Issuing Bank also acknowledges that it will, independently and without reliance upon the Administrative Agent, the Issuing Bank or any other Lender and based on such documents and information as it has deemed appropriate, continue to make its own decisions in taking or not taking any action under or based on this Agreement, any related agreement or any document furnished hereunder or thereunder.</w:t>
      </w:r>
    </w:p>
    <w:p>
      <w:pPr>
        <w:spacing w:after="0" w:line="186"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22"/>
          <w:szCs w:val="22"/>
          <w:b w:val="1"/>
          <w:bCs w:val="1"/>
          <w:color w:val="auto"/>
        </w:rPr>
        <w:t>Section 9.4</w:t>
      </w:r>
      <w:r>
        <w:rPr>
          <w:sz w:val="20"/>
          <w:szCs w:val="20"/>
          <w:color w:val="auto"/>
        </w:rPr>
        <w:tab/>
      </w:r>
      <w:r>
        <w:rPr>
          <w:rFonts w:ascii="Arial" w:cs="Arial" w:eastAsia="Arial" w:hAnsi="Arial"/>
          <w:sz w:val="21"/>
          <w:szCs w:val="21"/>
          <w:b w:val="1"/>
          <w:bCs w:val="1"/>
          <w:u w:val="single" w:color="auto"/>
          <w:color w:val="auto"/>
        </w:rPr>
        <w:t>Certain Rights of the Administrative Agent</w:t>
      </w:r>
      <w:r>
        <w:rPr>
          <w:rFonts w:ascii="Arial" w:cs="Arial" w:eastAsia="Arial" w:hAnsi="Arial"/>
          <w:sz w:val="21"/>
          <w:szCs w:val="21"/>
          <w:color w:val="auto"/>
        </w:rPr>
        <w:t>. If the Administrative Agent shall request</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Section 9.5 </w:t>
      </w:r>
      <w:r>
        <w:rPr>
          <w:rFonts w:ascii="Arial" w:cs="Arial" w:eastAsia="Arial" w:hAnsi="Arial"/>
          <w:sz w:val="22"/>
          <w:szCs w:val="22"/>
          <w:b w:val="1"/>
          <w:bCs w:val="1"/>
          <w:u w:val="single" w:color="auto"/>
          <w:color w:val="auto"/>
        </w:rPr>
        <w:t>Reliance by the Administrative Agent</w:t>
      </w:r>
      <w:r>
        <w:rPr>
          <w:rFonts w:ascii="Arial" w:cs="Arial" w:eastAsia="Arial" w:hAnsi="Arial"/>
          <w:sz w:val="22"/>
          <w:szCs w:val="22"/>
          <w:color w:val="auto"/>
        </w:rPr>
        <w:t>. The Administrative Agent shall be entitled to rely upon,</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Parent and the Borrower), independent public accountants and other experts selected by it and shall not be liable for any action taken or not taken by it in accordance with the advice of such counsel, accountants or experts.</w:t>
      </w:r>
    </w:p>
    <w:p>
      <w:pPr>
        <w:spacing w:after="0" w:line="227"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9.6</w:t>
      </w:r>
      <w:r>
        <w:rPr>
          <w:sz w:val="20"/>
          <w:szCs w:val="20"/>
          <w:color w:val="auto"/>
        </w:rPr>
        <w:tab/>
      </w:r>
      <w:r>
        <w:rPr>
          <w:rFonts w:ascii="Arial" w:cs="Arial" w:eastAsia="Arial" w:hAnsi="Arial"/>
          <w:sz w:val="19"/>
          <w:szCs w:val="19"/>
          <w:b w:val="1"/>
          <w:bCs w:val="1"/>
          <w:u w:val="single" w:color="auto"/>
          <w:color w:val="auto"/>
        </w:rPr>
        <w:t>The Administrative Agent in its Individual Capacity</w:t>
      </w:r>
      <w:r>
        <w:rPr>
          <w:rFonts w:ascii="Arial" w:cs="Arial" w:eastAsia="Arial" w:hAnsi="Arial"/>
          <w:sz w:val="19"/>
          <w:szCs w:val="19"/>
          <w:color w:val="auto"/>
        </w:rPr>
        <w:t>. The bank serving as the Administrative</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“Required Revolving Lenders”, or any similar terms shall, unless the context clearly otherwise indicates, include the Administrative Agent in its individual capacity. The bank acting as the Administrative Agent and its Affiliates may accept de-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75" w:right="23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22"/>
          <w:szCs w:val="22"/>
          <w:color w:val="auto"/>
        </w:rPr>
        <w:t>posits from, lend money to, and generally engage in any kind of business with Parent, the Borrower or any Subsidiary or Affiliate of the Borrower or Parent as if it were not the Administrative Agent hereunder.</w:t>
      </w:r>
    </w:p>
    <w:p>
      <w:pPr>
        <w:spacing w:after="0" w:line="209"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9.7</w:t>
      </w:r>
      <w:r>
        <w:rPr>
          <w:sz w:val="20"/>
          <w:szCs w:val="20"/>
          <w:color w:val="auto"/>
        </w:rPr>
        <w:tab/>
      </w:r>
      <w:r>
        <w:rPr>
          <w:rFonts w:ascii="Arial" w:cs="Arial" w:eastAsia="Arial" w:hAnsi="Arial"/>
          <w:sz w:val="19"/>
          <w:szCs w:val="19"/>
          <w:b w:val="1"/>
          <w:bCs w:val="1"/>
          <w:u w:val="single" w:color="auto"/>
          <w:color w:val="auto"/>
        </w:rPr>
        <w:t>Successor Administrative Agent</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94" w:lineRule="auto"/>
        <w:tabs>
          <w:tab w:leader="none" w:pos="2804" w:val="left"/>
        </w:tabs>
        <w:numPr>
          <w:ilvl w:val="0"/>
          <w:numId w:val="126"/>
        </w:numPr>
        <w:rPr>
          <w:rFonts w:ascii="Arial" w:cs="Arial" w:eastAsia="Arial" w:hAnsi="Arial"/>
          <w:sz w:val="16"/>
          <w:szCs w:val="16"/>
          <w:color w:val="auto"/>
        </w:rPr>
      </w:pPr>
      <w:r>
        <w:rPr>
          <w:rFonts w:ascii="Arial" w:cs="Arial" w:eastAsia="Arial" w:hAnsi="Arial"/>
          <w:sz w:val="19"/>
          <w:szCs w:val="19"/>
          <w:color w:val="auto"/>
        </w:rPr>
        <w:t>The Administrative Agent may resign at any time by giving notice thereof to the Lenders and the Borrower. Upon any such resignation, the Required Lenders shall have the right to appoint a successor Administrative Agent, subject to approval by the Borrower provided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w:t>
      </w:r>
    </w:p>
    <w:p>
      <w:pPr>
        <w:spacing w:after="0" w:line="192" w:lineRule="exact"/>
        <w:rPr>
          <w:rFonts w:ascii="Arial" w:cs="Arial" w:eastAsia="Arial" w:hAnsi="Arial"/>
          <w:sz w:val="16"/>
          <w:szCs w:val="16"/>
          <w:color w:val="auto"/>
        </w:rPr>
      </w:pPr>
    </w:p>
    <w:p>
      <w:pPr>
        <w:jc w:val="both"/>
        <w:ind w:left="660" w:firstLine="1293"/>
        <w:spacing w:after="0" w:line="266" w:lineRule="auto"/>
        <w:tabs>
          <w:tab w:leader="none" w:pos="2815" w:val="left"/>
        </w:tabs>
        <w:numPr>
          <w:ilvl w:val="0"/>
          <w:numId w:val="126"/>
        </w:numPr>
        <w:rPr>
          <w:rFonts w:ascii="Arial" w:cs="Arial" w:eastAsia="Arial" w:hAnsi="Arial"/>
          <w:sz w:val="17"/>
          <w:szCs w:val="17"/>
          <w:color w:val="auto"/>
        </w:rPr>
      </w:pPr>
      <w:r>
        <w:rPr>
          <w:rFonts w:ascii="Arial" w:cs="Arial" w:eastAsia="Arial" w:hAnsi="Arial"/>
          <w:sz w:val="20"/>
          <w:szCs w:val="20"/>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 appointed and shall have accepted such appointment, then on such 45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(i) the retiring Administrative Agent’s resignation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Administrative Agent and its representatives and agents in respect of any actions taken or not taken by any of them while it was serving as the Administrative Agent.</w:t>
      </w:r>
    </w:p>
    <w:p>
      <w:pPr>
        <w:spacing w:after="0" w:line="214" w:lineRule="exact"/>
        <w:rPr>
          <w:rFonts w:ascii="Arial" w:cs="Arial" w:eastAsia="Arial" w:hAnsi="Arial"/>
          <w:sz w:val="17"/>
          <w:szCs w:val="17"/>
          <w:color w:val="auto"/>
        </w:rPr>
      </w:pPr>
    </w:p>
    <w:p>
      <w:pPr>
        <w:jc w:val="both"/>
        <w:ind w:left="660" w:firstLine="1293"/>
        <w:spacing w:after="0" w:line="300" w:lineRule="auto"/>
        <w:tabs>
          <w:tab w:leader="none" w:pos="2804" w:val="left"/>
        </w:tabs>
        <w:numPr>
          <w:ilvl w:val="0"/>
          <w:numId w:val="126"/>
        </w:numPr>
        <w:rPr>
          <w:rFonts w:ascii="Arial" w:cs="Arial" w:eastAsia="Arial" w:hAnsi="Arial"/>
          <w:sz w:val="16"/>
          <w:szCs w:val="16"/>
          <w:color w:val="auto"/>
        </w:rPr>
      </w:pPr>
      <w:r>
        <w:rPr>
          <w:rFonts w:ascii="Arial" w:cs="Arial" w:eastAsia="Arial" w:hAnsi="Arial"/>
          <w:sz w:val="19"/>
          <w:szCs w:val="19"/>
          <w:color w:val="auto"/>
        </w:rPr>
        <w:t xml:space="preserve">In addition to the foregoing, if a Lender becomes, and during the period it remains, a Defaulting Lender, and if any Default has arisen from a failure of the Borrower to comply with </w:t>
      </w:r>
      <w:r>
        <w:rPr>
          <w:rFonts w:ascii="Arial" w:cs="Arial" w:eastAsia="Arial" w:hAnsi="Arial"/>
          <w:sz w:val="19"/>
          <w:szCs w:val="19"/>
          <w:u w:val="single" w:color="auto"/>
          <w:color w:val="auto"/>
        </w:rPr>
        <w:t>Section 2.26(b)</w:t>
      </w:r>
      <w:r>
        <w:rPr>
          <w:rFonts w:ascii="Arial" w:cs="Arial" w:eastAsia="Arial" w:hAnsi="Arial"/>
          <w:sz w:val="19"/>
          <w:szCs w:val="19"/>
          <w:color w:val="auto"/>
        </w:rPr>
        <w:t>, then the Issuing Bank and the Swingline Lender may, upon prior written notice to the Borrower and the Administrative Agent, resign as Issuing Bank or as Swingline Lender, as the case may be, effective at the close of business Atlanta, Georgia time on a date specified in such notice (which date may not be less than five (5) Business Days after the date of such notice).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9.8 </w:t>
      </w:r>
      <w:r>
        <w:rPr>
          <w:rFonts w:ascii="Arial" w:cs="Arial" w:eastAsia="Arial" w:hAnsi="Arial"/>
          <w:sz w:val="21"/>
          <w:szCs w:val="21"/>
          <w:b w:val="1"/>
          <w:bCs w:val="1"/>
          <w:u w:val="single" w:color="auto"/>
          <w:color w:val="auto"/>
        </w:rPr>
        <w:t>Withholding Tax</w:t>
      </w:r>
      <w:r>
        <w:rPr>
          <w:rFonts w:ascii="Arial" w:cs="Arial" w:eastAsia="Arial" w:hAnsi="Arial"/>
          <w:sz w:val="21"/>
          <w:szCs w:val="21"/>
          <w:color w:val="auto"/>
        </w:rPr>
        <w:t>. To the extent required by any applicable law, the Administrative Agent may</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 from any interest payment to any Lender an amount equivalent to any applicable withholding tax. If the Internal Revenue Service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75" w:right="239" w:bottom="1440" w:gutter="0" w:footer="0" w:header="0"/>
        </w:sectPr>
      </w:pPr>
    </w:p>
    <w:bookmarkStart w:id="135" w:name="page136"/>
    <w:bookmarkEnd w:id="135"/>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9.9</w:t>
      </w:r>
      <w:r>
        <w:rPr>
          <w:sz w:val="20"/>
          <w:szCs w:val="20"/>
          <w:color w:val="auto"/>
        </w:rPr>
        <w:tab/>
      </w:r>
      <w:r>
        <w:rPr>
          <w:rFonts w:ascii="Arial" w:cs="Arial" w:eastAsia="Arial" w:hAnsi="Arial"/>
          <w:sz w:val="19"/>
          <w:szCs w:val="19"/>
          <w:b w:val="1"/>
          <w:bCs w:val="1"/>
          <w:u w:val="single" w:color="auto"/>
          <w:color w:val="auto"/>
        </w:rPr>
        <w:t>The Administrative Agent May File Proofs of Claim</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88" w:lineRule="auto"/>
        <w:tabs>
          <w:tab w:leader="none" w:pos="2804" w:val="left"/>
        </w:tabs>
        <w:numPr>
          <w:ilvl w:val="0"/>
          <w:numId w:val="127"/>
        </w:numPr>
        <w:rPr>
          <w:rFonts w:ascii="Arial" w:cs="Arial" w:eastAsia="Arial" w:hAnsi="Arial"/>
          <w:sz w:val="16"/>
          <w:szCs w:val="16"/>
          <w:color w:val="auto"/>
        </w:rPr>
      </w:pPr>
      <w:r>
        <w:rPr>
          <w:rFonts w:ascii="Arial" w:cs="Arial" w:eastAsia="Arial" w:hAnsi="Arial"/>
          <w:sz w:val="19"/>
          <w:szCs w:val="19"/>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3" w:lineRule="exact"/>
        <w:rPr>
          <w:rFonts w:ascii="Arial" w:cs="Arial" w:eastAsia="Arial" w:hAnsi="Arial"/>
          <w:sz w:val="16"/>
          <w:szCs w:val="16"/>
          <w:color w:val="auto"/>
        </w:rPr>
      </w:pPr>
    </w:p>
    <w:p>
      <w:pPr>
        <w:jc w:val="both"/>
        <w:ind w:left="1300" w:firstLine="1301"/>
        <w:spacing w:after="0" w:line="245" w:lineRule="auto"/>
        <w:tabs>
          <w:tab w:leader="none" w:pos="3415" w:val="left"/>
        </w:tabs>
        <w:numPr>
          <w:ilvl w:val="1"/>
          <w:numId w:val="127"/>
        </w:numPr>
        <w:rPr>
          <w:rFonts w:ascii="Arial" w:cs="Arial" w:eastAsia="Arial" w:hAnsi="Arial"/>
          <w:sz w:val="18"/>
          <w:szCs w:val="18"/>
          <w:color w:val="auto"/>
        </w:rPr>
      </w:pPr>
      <w:r>
        <w:rPr>
          <w:rFonts w:ascii="Arial" w:cs="Arial" w:eastAsia="Arial" w:hAnsi="Arial"/>
          <w:sz w:val="22"/>
          <w:szCs w:val="22"/>
          <w:color w:val="auto"/>
        </w:rPr>
        <w:t xml:space="preserve">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its agents and counsel and all other amounts due the Lenders, the Issuing Bank and the Administrative Agent under </w:t>
      </w:r>
      <w:r>
        <w:rPr>
          <w:rFonts w:ascii="Arial" w:cs="Arial" w:eastAsia="Arial" w:hAnsi="Arial"/>
          <w:sz w:val="22"/>
          <w:szCs w:val="22"/>
          <w:u w:val="single" w:color="auto"/>
          <w:color w:val="auto"/>
        </w:rPr>
        <w:t>Section 10.3</w:t>
      </w:r>
      <w:r>
        <w:rPr>
          <w:rFonts w:ascii="Arial" w:cs="Arial" w:eastAsia="Arial" w:hAnsi="Arial"/>
          <w:sz w:val="22"/>
          <w:szCs w:val="22"/>
          <w:color w:val="auto"/>
        </w:rPr>
        <w:t>) allowed in such judicial proceeding; and</w:t>
      </w:r>
    </w:p>
    <w:p>
      <w:pPr>
        <w:spacing w:after="0" w:line="2" w:lineRule="exact"/>
        <w:rPr>
          <w:rFonts w:ascii="Arial" w:cs="Arial" w:eastAsia="Arial" w:hAnsi="Arial"/>
          <w:sz w:val="18"/>
          <w:szCs w:val="18"/>
          <w:color w:val="auto"/>
        </w:rPr>
      </w:pPr>
    </w:p>
    <w:p>
      <w:pPr>
        <w:ind w:left="1300" w:firstLine="1301"/>
        <w:spacing w:after="0" w:line="259" w:lineRule="auto"/>
        <w:tabs>
          <w:tab w:leader="none" w:pos="3465" w:val="left"/>
        </w:tabs>
        <w:numPr>
          <w:ilvl w:val="1"/>
          <w:numId w:val="127"/>
        </w:numPr>
        <w:rPr>
          <w:rFonts w:ascii="Arial" w:cs="Arial" w:eastAsia="Arial" w:hAnsi="Arial"/>
          <w:sz w:val="18"/>
          <w:szCs w:val="18"/>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219" w:lineRule="exact"/>
        <w:rPr>
          <w:rFonts w:ascii="Arial" w:cs="Arial" w:eastAsia="Arial" w:hAnsi="Arial"/>
          <w:sz w:val="18"/>
          <w:szCs w:val="18"/>
          <w:color w:val="auto"/>
        </w:rPr>
      </w:pPr>
    </w:p>
    <w:p>
      <w:pPr>
        <w:jc w:val="both"/>
        <w:ind w:left="660" w:firstLine="1293"/>
        <w:spacing w:after="0" w:line="250" w:lineRule="auto"/>
        <w:tabs>
          <w:tab w:leader="none" w:pos="2815" w:val="left"/>
        </w:tabs>
        <w:numPr>
          <w:ilvl w:val="0"/>
          <w:numId w:val="127"/>
        </w:numPr>
        <w:rPr>
          <w:rFonts w:ascii="Arial" w:cs="Arial" w:eastAsia="Arial" w:hAnsi="Arial"/>
          <w:sz w:val="18"/>
          <w:szCs w:val="18"/>
          <w:color w:val="auto"/>
        </w:rPr>
      </w:pPr>
      <w:r>
        <w:rPr>
          <w:rFonts w:ascii="Arial" w:cs="Arial" w:eastAsia="Arial" w:hAnsi="Arial"/>
          <w:sz w:val="22"/>
          <w:szCs w:val="22"/>
          <w:color w:val="auto"/>
        </w:rPr>
        <w:t xml:space="preserve">Any custodian,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22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to authorize the Administrative Agent to vote in respect of the claim of any Lender in any such proceeding.</w:t>
      </w:r>
    </w:p>
    <w:p>
      <w:pPr>
        <w:spacing w:after="0" w:line="182" w:lineRule="exact"/>
        <w:rPr>
          <w:sz w:val="20"/>
          <w:szCs w:val="20"/>
          <w:color w:val="auto"/>
        </w:rPr>
      </w:pPr>
    </w:p>
    <w:p>
      <w:pPr>
        <w:ind w:left="660"/>
        <w:spacing w:after="0"/>
        <w:tabs>
          <w:tab w:leader="none" w:pos="3100" w:val="left"/>
        </w:tabs>
        <w:rPr>
          <w:sz w:val="20"/>
          <w:szCs w:val="20"/>
          <w:color w:val="auto"/>
        </w:rPr>
      </w:pPr>
      <w:r>
        <w:rPr>
          <w:rFonts w:ascii="Arial" w:cs="Arial" w:eastAsia="Arial" w:hAnsi="Arial"/>
          <w:sz w:val="22"/>
          <w:szCs w:val="22"/>
          <w:b w:val="1"/>
          <w:bCs w:val="1"/>
          <w:color w:val="auto"/>
        </w:rPr>
        <w:t>Section 9.10</w:t>
      </w:r>
      <w:r>
        <w:rPr>
          <w:sz w:val="20"/>
          <w:szCs w:val="20"/>
          <w:color w:val="auto"/>
        </w:rPr>
        <w:tab/>
      </w:r>
      <w:r>
        <w:rPr>
          <w:rFonts w:ascii="Arial" w:cs="Arial" w:eastAsia="Arial" w:hAnsi="Arial"/>
          <w:sz w:val="21"/>
          <w:szCs w:val="21"/>
          <w:b w:val="1"/>
          <w:bCs w:val="1"/>
          <w:u w:val="single" w:color="auto"/>
          <w:color w:val="auto"/>
        </w:rPr>
        <w:t>Authorization to Execute Other Loan Documents</w:t>
      </w:r>
      <w:r>
        <w:rPr>
          <w:rFonts w:ascii="Arial" w:cs="Arial" w:eastAsia="Arial" w:hAnsi="Arial"/>
          <w:sz w:val="21"/>
          <w:szCs w:val="21"/>
          <w:color w:val="auto"/>
        </w:rPr>
        <w:t>. Each Lender hereby authorizes the</w:t>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Administrative Agent to execute on behalf of all Lenders all Loan Documents (including, without limitation, the Collateral Documents, and any subordination agreements or intercreditor agreements) other than this Agreement.</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9.11 </w:t>
      </w:r>
      <w:r>
        <w:rPr>
          <w:rFonts w:ascii="Arial" w:cs="Arial" w:eastAsia="Arial" w:hAnsi="Arial"/>
          <w:sz w:val="22"/>
          <w:szCs w:val="22"/>
          <w:b w:val="1"/>
          <w:bCs w:val="1"/>
          <w:u w:val="single" w:color="auto"/>
          <w:color w:val="auto"/>
        </w:rPr>
        <w:t>Collateral and Guaranty Matters</w:t>
      </w:r>
      <w:r>
        <w:rPr>
          <w:rFonts w:ascii="Arial" w:cs="Arial" w:eastAsia="Arial" w:hAnsi="Arial"/>
          <w:sz w:val="22"/>
          <w:szCs w:val="22"/>
          <w:color w:val="auto"/>
        </w:rPr>
        <w:t>. The Lenders irrevocably authorize the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Agent, at its option and in its discretion:</w:t>
      </w:r>
    </w:p>
    <w:p>
      <w:pPr>
        <w:spacing w:after="0" w:line="209" w:lineRule="exact"/>
        <w:rPr>
          <w:sz w:val="20"/>
          <w:szCs w:val="20"/>
          <w:color w:val="auto"/>
        </w:rPr>
      </w:pPr>
    </w:p>
    <w:p>
      <w:pPr>
        <w:jc w:val="both"/>
        <w:ind w:left="660" w:firstLine="1293"/>
        <w:spacing w:after="0" w:line="297" w:lineRule="auto"/>
        <w:tabs>
          <w:tab w:leader="none" w:pos="2804" w:val="left"/>
        </w:tabs>
        <w:numPr>
          <w:ilvl w:val="0"/>
          <w:numId w:val="128"/>
        </w:numPr>
        <w:rPr>
          <w:rFonts w:ascii="Arial" w:cs="Arial" w:eastAsia="Arial" w:hAnsi="Arial"/>
          <w:sz w:val="16"/>
          <w:szCs w:val="16"/>
          <w:color w:val="auto"/>
        </w:rPr>
      </w:pPr>
      <w:r>
        <w:rPr>
          <w:rFonts w:ascii="Arial" w:cs="Arial" w:eastAsia="Arial" w:hAnsi="Arial"/>
          <w:sz w:val="19"/>
          <w:szCs w:val="19"/>
          <w:color w:val="auto"/>
        </w:rPr>
        <w:t xml:space="preserve">to release any Lien on any property granted to or held by the Administrative Agent under any Loan Document (i) upon the termination of all Revolving Commitments, the Cash Collateralization of all reimbursement obligations with respect to Letters of Credit in an amount equal to 105% of the aggregate LC Exposure of all Lenders, and the payment in full of all Obligations (other than contingent indemnification obligations and such Cash Collateralized reimbursement obligations), (ii) that is sold or to be sold as part of or in connection with any sale permitted hereunder or under any other Loan Document, or (iii) if approved, authorized or ratified in writing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9" w:right="239" w:bottom="1440" w:gutter="0" w:footer="0" w:header="0"/>
        </w:sectPr>
      </w:pPr>
    </w:p>
    <w:bookmarkStart w:id="136" w:name="page137"/>
    <w:bookmarkEnd w:id="136"/>
    <w:p>
      <w:pPr>
        <w:ind w:left="660" w:right="20" w:firstLine="1293"/>
        <w:spacing w:after="0" w:line="276" w:lineRule="auto"/>
        <w:tabs>
          <w:tab w:leader="none" w:pos="2815" w:val="left"/>
        </w:tabs>
        <w:numPr>
          <w:ilvl w:val="0"/>
          <w:numId w:val="129"/>
        </w:numPr>
        <w:rPr>
          <w:rFonts w:ascii="Arial" w:cs="Arial" w:eastAsia="Arial" w:hAnsi="Arial"/>
          <w:sz w:val="18"/>
          <w:szCs w:val="18"/>
          <w:color w:val="auto"/>
        </w:rPr>
      </w:pPr>
      <w:r>
        <w:rPr>
          <w:rFonts w:ascii="Arial" w:cs="Arial" w:eastAsia="Arial" w:hAnsi="Arial"/>
          <w:sz w:val="22"/>
          <w:szCs w:val="22"/>
          <w:color w:val="auto"/>
        </w:rPr>
        <w:t>to release any Loan Party from its obligations under the applicable Collateral Documents if such Person ceases to be a Subsidiary as a result of a transaction permitted hereunder; and</w:t>
      </w:r>
    </w:p>
    <w:p>
      <w:pPr>
        <w:spacing w:after="0" w:line="201" w:lineRule="exact"/>
        <w:rPr>
          <w:rFonts w:ascii="Arial" w:cs="Arial" w:eastAsia="Arial" w:hAnsi="Arial"/>
          <w:sz w:val="18"/>
          <w:szCs w:val="18"/>
          <w:color w:val="auto"/>
        </w:rPr>
      </w:pPr>
    </w:p>
    <w:p>
      <w:pPr>
        <w:ind w:left="660" w:right="20" w:firstLine="1293"/>
        <w:spacing w:after="0" w:line="276" w:lineRule="auto"/>
        <w:tabs>
          <w:tab w:leader="none" w:pos="2804" w:val="left"/>
        </w:tabs>
        <w:numPr>
          <w:ilvl w:val="0"/>
          <w:numId w:val="129"/>
        </w:numPr>
        <w:rPr>
          <w:rFonts w:ascii="Arial" w:cs="Arial" w:eastAsia="Arial" w:hAnsi="Arial"/>
          <w:sz w:val="18"/>
          <w:szCs w:val="18"/>
          <w:color w:val="auto"/>
        </w:rPr>
      </w:pPr>
      <w:r>
        <w:rPr>
          <w:rFonts w:ascii="Arial" w:cs="Arial" w:eastAsia="Arial" w:hAnsi="Arial"/>
          <w:sz w:val="22"/>
          <w:szCs w:val="22"/>
          <w:color w:val="auto"/>
        </w:rPr>
        <w:t>to subordinate any Lien on any property granted to or held by the Administrative Agent under any Loan Document to the holder of any Lien on such property that is permitted by Section 7.2(d).</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Collateral Documents, in each case in accordance with the terms of the Loan Documents and this Section.</w:t>
      </w:r>
    </w:p>
    <w:p>
      <w:pPr>
        <w:spacing w:after="0" w:line="175"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22"/>
          <w:szCs w:val="22"/>
          <w:b w:val="1"/>
          <w:bCs w:val="1"/>
          <w:color w:val="auto"/>
        </w:rPr>
        <w:t>Section 9.12</w:t>
      </w:r>
      <w:r>
        <w:rPr>
          <w:sz w:val="20"/>
          <w:szCs w:val="20"/>
          <w:color w:val="auto"/>
        </w:rPr>
        <w:tab/>
      </w:r>
      <w:r>
        <w:rPr>
          <w:rFonts w:ascii="Arial" w:cs="Arial" w:eastAsia="Arial" w:hAnsi="Arial"/>
          <w:sz w:val="19"/>
          <w:szCs w:val="19"/>
          <w:b w:val="1"/>
          <w:bCs w:val="1"/>
          <w:u w:val="single" w:color="auto"/>
          <w:color w:val="auto"/>
        </w:rPr>
        <w:t>Right to Realize on Collateral and Enforce Guarantee</w:t>
      </w:r>
      <w:r>
        <w:rPr>
          <w:rFonts w:ascii="Arial" w:cs="Arial" w:eastAsia="Arial" w:hAnsi="Arial"/>
          <w:sz w:val="19"/>
          <w:szCs w:val="19"/>
          <w:color w:val="auto"/>
        </w:rPr>
        <w:t>. Anything contained in any of the</w:t>
      </w:r>
    </w:p>
    <w:p>
      <w:pPr>
        <w:spacing w:after="0" w:line="2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Loan Documents to the contrary notwithstanding, Parent,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95"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9.13</w:t>
      </w:r>
      <w:r>
        <w:rPr>
          <w:sz w:val="20"/>
          <w:szCs w:val="20"/>
          <w:color w:val="auto"/>
        </w:rPr>
        <w:tab/>
      </w:r>
      <w:r>
        <w:rPr>
          <w:rFonts w:ascii="Arial" w:cs="Arial" w:eastAsia="Arial" w:hAnsi="Arial"/>
          <w:sz w:val="19"/>
          <w:szCs w:val="19"/>
          <w:b w:val="1"/>
          <w:bCs w:val="1"/>
          <w:u w:val="single" w:color="auto"/>
          <w:color w:val="auto"/>
        </w:rPr>
        <w:t>Secured Bank Product Obligations and Hedging Obligations</w:t>
      </w:r>
      <w:r>
        <w:rPr>
          <w:rFonts w:ascii="Arial" w:cs="Arial" w:eastAsia="Arial" w:hAnsi="Arial"/>
          <w:sz w:val="19"/>
          <w:szCs w:val="19"/>
          <w:color w:val="auto"/>
        </w:rPr>
        <w:t>. No Bank Product Provider or</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 xml:space="preserve">Lender-Related Hedge Provider that obtains the benefits of </w:t>
      </w:r>
      <w:r>
        <w:rPr>
          <w:rFonts w:ascii="Arial" w:cs="Arial" w:eastAsia="Arial" w:hAnsi="Arial"/>
          <w:sz w:val="21"/>
          <w:szCs w:val="21"/>
          <w:u w:val="single" w:color="auto"/>
          <w:color w:val="auto"/>
        </w:rPr>
        <w:t>Section 8.2</w:t>
      </w:r>
      <w:r>
        <w:rPr>
          <w:rFonts w:ascii="Arial" w:cs="Arial" w:eastAsia="Arial" w:hAnsi="Arial"/>
          <w:sz w:val="21"/>
          <w:szCs w:val="21"/>
          <w:color w:val="auto"/>
        </w:rPr>
        <w:t>, the Collateral Documents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60"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266" w:lineRule="exact"/>
        <w:rPr>
          <w:sz w:val="20"/>
          <w:szCs w:val="20"/>
          <w:color w:val="auto"/>
        </w:rPr>
      </w:pPr>
    </w:p>
    <w:p>
      <w:pPr>
        <w:ind w:left="2800" w:hanging="847"/>
        <w:spacing w:after="0"/>
        <w:tabs>
          <w:tab w:leader="none" w:pos="2800" w:val="left"/>
        </w:tabs>
        <w:numPr>
          <w:ilvl w:val="0"/>
          <w:numId w:val="130"/>
        </w:numPr>
        <w:rPr>
          <w:rFonts w:ascii="Arial" w:cs="Arial" w:eastAsia="Arial" w:hAnsi="Arial"/>
          <w:sz w:val="18"/>
          <w:szCs w:val="18"/>
          <w:color w:val="auto"/>
        </w:rPr>
      </w:pPr>
      <w:r>
        <w:rPr>
          <w:rFonts w:ascii="Arial" w:cs="Arial" w:eastAsia="Arial" w:hAnsi="Arial"/>
          <w:sz w:val="22"/>
          <w:szCs w:val="22"/>
          <w:color w:val="auto"/>
        </w:rPr>
        <w:t>Written Notices.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75" w:right="239" w:bottom="1440" w:gutter="0" w:footer="0" w:header="0"/>
        </w:sectPr>
      </w:pPr>
    </w:p>
    <w:bookmarkStart w:id="137" w:name="page138"/>
    <w:bookmarkEnd w:id="137"/>
    <w:p>
      <w:pPr>
        <w:jc w:val="both"/>
        <w:ind w:left="100" w:firstLine="1301"/>
        <w:spacing w:after="0" w:line="320" w:lineRule="auto"/>
        <w:tabs>
          <w:tab w:leader="none" w:pos="2215" w:val="left"/>
        </w:tabs>
        <w:numPr>
          <w:ilvl w:val="0"/>
          <w:numId w:val="131"/>
        </w:numPr>
        <w:rPr>
          <w:rFonts w:ascii="Arial" w:cs="Arial" w:eastAsia="Arial" w:hAnsi="Arial"/>
          <w:sz w:val="16"/>
          <w:szCs w:val="16"/>
          <w:color w:val="auto"/>
        </w:rPr>
      </w:pPr>
      <w:r>
        <w:rPr>
          <w:rFonts w:ascii="Arial" w:cs="Arial" w:eastAsia="Arial" w:hAnsi="Arial"/>
          <w:sz w:val="19"/>
          <w:szCs w:val="19"/>
          <w:color w:val="auto"/>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telecopy, as follows:</w:t>
      </w:r>
    </w:p>
    <w:p>
      <w:pPr>
        <w:sectPr>
          <w:pgSz w:w="11900" w:h="16838" w:orient="portrait"/>
          <w:cols w:equalWidth="0" w:num="1">
            <w:col w:w="10220"/>
          </w:cols>
          <w:pgMar w:left="1440" w:top="631" w:right="239" w:bottom="1440" w:gutter="0" w:footer="0" w:header="0"/>
        </w:sectPr>
      </w:pPr>
    </w:p>
    <w:p>
      <w:pPr>
        <w:spacing w:after="0" w:line="16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To any Loan Party: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LendingTree, LLC</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11115 Rushmore Drive</w:t>
      </w:r>
    </w:p>
    <w:p>
      <w:pPr>
        <w:spacing w:after="0" w:line="38" w:lineRule="exact"/>
        <w:rPr>
          <w:sz w:val="20"/>
          <w:szCs w:val="20"/>
          <w:color w:val="auto"/>
        </w:rPr>
      </w:pPr>
    </w:p>
    <w:p>
      <w:pPr>
        <w:sectPr>
          <w:pgSz w:w="11900" w:h="16838" w:orient="portrait"/>
          <w:cols w:equalWidth="0" w:num="2">
            <w:col w:w="1980" w:space="720"/>
            <w:col w:w="7520"/>
          </w:cols>
          <w:pgMar w:left="1440" w:top="631" w:right="239" w:bottom="1440" w:gutter="0" w:footer="0" w:header="0"/>
          <w:type w:val="continuous"/>
        </w:sectPr>
      </w:pPr>
    </w:p>
    <w:p>
      <w:pPr>
        <w:ind w:left="3340"/>
        <w:spacing w:after="0"/>
        <w:rPr>
          <w:sz w:val="20"/>
          <w:szCs w:val="20"/>
          <w:color w:val="auto"/>
        </w:rPr>
      </w:pPr>
      <w:r>
        <w:rPr>
          <w:rFonts w:ascii="Arial" w:cs="Arial" w:eastAsia="Arial" w:hAnsi="Arial"/>
          <w:sz w:val="22"/>
          <w:szCs w:val="22"/>
          <w:color w:val="auto"/>
        </w:rPr>
        <w:t>Charlotte, North Carolina 28277</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Attention: Chief Financial Officer</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Telecopy Number: (704) 541-1824</w:t>
      </w:r>
    </w:p>
    <w:p>
      <w:pPr>
        <w:spacing w:after="0" w:line="23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LendingTree, LLC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11115 Rushmore Drive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Charlotte, North Carolina 28277</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Telecopy Number: (704) 541-1824</w:t>
      </w:r>
    </w:p>
    <w:p>
      <w:pPr>
        <w:spacing w:after="0" w:line="27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With a copy to (for</w:t>
      </w:r>
    </w:p>
    <w:p>
      <w:pPr>
        <w:spacing w:after="0" w:line="22" w:lineRule="exact"/>
        <w:rPr>
          <w:sz w:val="20"/>
          <w:szCs w:val="20"/>
          <w:color w:val="auto"/>
        </w:rPr>
      </w:pPr>
    </w:p>
    <w:p>
      <w:pPr>
        <w:ind w:left="2700" w:right="3740" w:hanging="3240"/>
        <w:spacing w:after="0" w:line="214" w:lineRule="auto"/>
        <w:tabs>
          <w:tab w:leader="none" w:pos="2680" w:val="left"/>
        </w:tabs>
        <w:rPr>
          <w:sz w:val="20"/>
          <w:szCs w:val="20"/>
          <w:color w:val="auto"/>
        </w:rPr>
      </w:pPr>
      <w:r>
        <w:rPr>
          <w:rFonts w:ascii="Arial" w:cs="Arial" w:eastAsia="Arial" w:hAnsi="Arial"/>
          <w:sz w:val="22"/>
          <w:szCs w:val="22"/>
          <w:color w:val="auto"/>
        </w:rPr>
        <w:t>Information purposes only):</w:t>
        <w:tab/>
        <w:t>Sheppard, Mullin, Richter &amp; Hampton LLP 333 S. Hope St., 43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Floor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Los Angeles, California 90071</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Brent E. Horstman</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Telecopy Number: (213) 443-2722</w:t>
      </w:r>
    </w:p>
    <w:p>
      <w:pPr>
        <w:spacing w:after="0" w:line="200" w:lineRule="exact"/>
        <w:rPr>
          <w:sz w:val="20"/>
          <w:szCs w:val="20"/>
          <w:color w:val="auto"/>
        </w:rPr>
      </w:pPr>
    </w:p>
    <w:p>
      <w:pPr>
        <w:spacing w:after="0" w:line="266" w:lineRule="exact"/>
        <w:rPr>
          <w:sz w:val="20"/>
          <w:szCs w:val="20"/>
          <w:color w:val="auto"/>
        </w:rPr>
      </w:pPr>
    </w:p>
    <w:p>
      <w:pPr>
        <w:ind w:left="100"/>
        <w:spacing w:after="0"/>
        <w:tabs>
          <w:tab w:leader="none" w:pos="2800" w:val="left"/>
        </w:tabs>
        <w:rPr>
          <w:sz w:val="20"/>
          <w:szCs w:val="20"/>
          <w:color w:val="auto"/>
        </w:rPr>
      </w:pPr>
      <w:r>
        <w:rPr>
          <w:rFonts w:ascii="Arial" w:cs="Arial" w:eastAsia="Arial" w:hAnsi="Arial"/>
          <w:sz w:val="22"/>
          <w:szCs w:val="22"/>
          <w:color w:val="auto"/>
        </w:rPr>
        <w:t>To the Administrative Agent:</w:t>
      </w:r>
      <w:r>
        <w:rPr>
          <w:sz w:val="20"/>
          <w:szCs w:val="20"/>
          <w:color w:val="auto"/>
        </w:rPr>
        <w:tab/>
      </w:r>
      <w:r>
        <w:rPr>
          <w:rFonts w:ascii="Arial" w:cs="Arial" w:eastAsia="Arial" w:hAnsi="Arial"/>
          <w:sz w:val="19"/>
          <w:szCs w:val="19"/>
          <w:color w:val="auto"/>
        </w:rPr>
        <w:t>SunTrust Bank</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Mail Code GA-ATL-2020</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3333 Peachtree Road, NE</w:t>
      </w:r>
    </w:p>
    <w:p>
      <w:pPr>
        <w:ind w:left="2700"/>
        <w:spacing w:after="0" w:line="203" w:lineRule="auto"/>
        <w:rPr>
          <w:sz w:val="20"/>
          <w:szCs w:val="20"/>
          <w:color w:val="auto"/>
        </w:rPr>
      </w:pPr>
      <w:r>
        <w:rPr>
          <w:rFonts w:ascii="Arial" w:cs="Arial" w:eastAsia="Arial" w:hAnsi="Arial"/>
          <w:sz w:val="22"/>
          <w:szCs w:val="22"/>
          <w:color w:val="auto"/>
        </w:rPr>
        <w:t>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Atlanta, Georgia 30326</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Attention: Portfolio Manager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Telecopy Number: (404) 439-7409</w:t>
      </w:r>
    </w:p>
    <w:p>
      <w:pPr>
        <w:spacing w:after="0" w:line="24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With a copy to (for</w:t>
      </w:r>
    </w:p>
    <w:p>
      <w:pPr>
        <w:spacing w:after="0" w:line="22" w:lineRule="exact"/>
        <w:rPr>
          <w:sz w:val="20"/>
          <w:szCs w:val="20"/>
          <w:color w:val="auto"/>
        </w:rPr>
      </w:pPr>
    </w:p>
    <w:p>
      <w:pPr>
        <w:ind w:left="100"/>
        <w:spacing w:after="0"/>
        <w:tabs>
          <w:tab w:leader="none" w:pos="2680" w:val="left"/>
        </w:tabs>
        <w:rPr>
          <w:sz w:val="20"/>
          <w:szCs w:val="20"/>
          <w:color w:val="auto"/>
        </w:rPr>
      </w:pPr>
      <w:r>
        <w:rPr>
          <w:rFonts w:ascii="Arial" w:cs="Arial" w:eastAsia="Arial" w:hAnsi="Arial"/>
          <w:sz w:val="22"/>
          <w:szCs w:val="22"/>
          <w:color w:val="auto"/>
        </w:rPr>
        <w:t>Information purposes only):</w:t>
      </w:r>
      <w:r>
        <w:rPr>
          <w:sz w:val="20"/>
          <w:szCs w:val="20"/>
          <w:color w:val="auto"/>
        </w:rPr>
        <w:tab/>
      </w:r>
      <w:r>
        <w:rPr>
          <w:rFonts w:ascii="Arial" w:cs="Arial" w:eastAsia="Arial" w:hAnsi="Arial"/>
          <w:sz w:val="19"/>
          <w:szCs w:val="19"/>
          <w:color w:val="auto"/>
        </w:rPr>
        <w:t>SunTrust Bank</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Agency Services</w:t>
      </w:r>
    </w:p>
    <w:p>
      <w:pPr>
        <w:ind w:left="2700"/>
        <w:spacing w:after="0" w:line="204" w:lineRule="auto"/>
        <w:rPr>
          <w:sz w:val="20"/>
          <w:szCs w:val="20"/>
          <w:color w:val="auto"/>
        </w:rPr>
      </w:pPr>
      <w:r>
        <w:rPr>
          <w:rFonts w:ascii="Arial" w:cs="Arial" w:eastAsia="Arial" w:hAnsi="Arial"/>
          <w:sz w:val="22"/>
          <w:szCs w:val="22"/>
          <w:color w:val="auto"/>
        </w:rPr>
        <w:t>303 Peachtree Street, N.E. /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2700"/>
        <w:spacing w:after="0"/>
        <w:rPr>
          <w:sz w:val="20"/>
          <w:szCs w:val="20"/>
          <w:color w:val="auto"/>
        </w:rPr>
      </w:pPr>
      <w:r>
        <w:rPr>
          <w:rFonts w:ascii="Arial" w:cs="Arial" w:eastAsia="Arial" w:hAnsi="Arial"/>
          <w:sz w:val="22"/>
          <w:szCs w:val="22"/>
          <w:color w:val="auto"/>
        </w:rPr>
        <w:t>Atlanta, Georgia 30308</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Attention: Doug Weltz</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Telecopy Number: (404) 221-2001</w:t>
      </w:r>
    </w:p>
    <w:p>
      <w:pPr>
        <w:spacing w:after="0" w:line="20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and</w:t>
      </w:r>
    </w:p>
    <w:p>
      <w:pPr>
        <w:spacing w:after="0" w:line="19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Jones Day</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1420 Peachtree Street, N.E.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Suite 800</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Atlanta, Georgia 30309</w:t>
      </w: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220"/>
          </w:cols>
          <w:pgMar w:left="1440" w:top="631" w:right="239" w:bottom="1440" w:gutter="0" w:footer="0" w:header="0"/>
          <w:type w:val="continuous"/>
        </w:sectPr>
      </w:pPr>
    </w:p>
    <w:bookmarkStart w:id="138" w:name="page139"/>
    <w:bookmarkEnd w:id="138"/>
    <w:p>
      <w:pPr>
        <w:ind w:left="3240"/>
        <w:spacing w:after="0"/>
        <w:rPr>
          <w:sz w:val="20"/>
          <w:szCs w:val="20"/>
          <w:color w:val="auto"/>
        </w:rPr>
      </w:pPr>
      <w:r>
        <w:rPr>
          <w:rFonts w:ascii="Arial" w:cs="Arial" w:eastAsia="Arial" w:hAnsi="Arial"/>
          <w:sz w:val="22"/>
          <w:szCs w:val="22"/>
          <w:color w:val="auto"/>
        </w:rPr>
        <w:t>Attention: Aldo L. LaFiandra</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Telecopy Number: (404) 581-8330</w:t>
      </w:r>
    </w:p>
    <w:p>
      <w:pPr>
        <w:sectPr>
          <w:pgSz w:w="11900" w:h="16838" w:orient="portrait"/>
          <w:cols w:equalWidth="0" w:num="1">
            <w:col w:w="10760"/>
          </w:cols>
          <w:pgMar w:left="900" w:top="375" w:right="239" w:bottom="1440" w:gutter="0" w:footer="0" w:header="0"/>
        </w:sectPr>
      </w:pPr>
    </w:p>
    <w:p>
      <w:pPr>
        <w:spacing w:after="0" w:line="2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 the Issuing Bank:</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SunTrust Bank</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25 Park Place, N.E. / Mail Code 3706 / 16</w:t>
      </w:r>
      <w:r>
        <w:rPr>
          <w:rFonts w:ascii="Arial" w:cs="Arial" w:eastAsia="Arial" w:hAnsi="Arial"/>
          <w:sz w:val="13"/>
          <w:szCs w:val="13"/>
          <w:color w:val="auto"/>
        </w:rPr>
        <w:t>th</w:t>
      </w:r>
      <w:r>
        <w:rPr>
          <w:rFonts w:ascii="Arial" w:cs="Arial" w:eastAsia="Arial" w:hAnsi="Arial"/>
          <w:sz w:val="19"/>
          <w:szCs w:val="19"/>
          <w:color w:val="auto"/>
        </w:rPr>
        <w:t xml:space="preserve"> Floor</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Atlanta, Georgia 30303</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Attention: Standby Letter of Credit Dept.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Telecopy Number: (404) 588-8129</w:t>
      </w:r>
    </w:p>
    <w:p>
      <w:pPr>
        <w:spacing w:after="0" w:line="200" w:lineRule="exact"/>
        <w:rPr>
          <w:sz w:val="20"/>
          <w:szCs w:val="20"/>
          <w:color w:val="auto"/>
        </w:rPr>
      </w:pPr>
    </w:p>
    <w:p>
      <w:pPr>
        <w:sectPr>
          <w:pgSz w:w="11900" w:h="16838" w:orient="portrait"/>
          <w:cols w:equalWidth="0" w:num="2">
            <w:col w:w="2440" w:space="360"/>
            <w:col w:w="7960"/>
          </w:cols>
          <w:pgMar w:left="900" w:top="375" w:right="239" w:bottom="1440" w:gutter="0" w:footer="0" w:header="0"/>
          <w:type w:val="continuous"/>
        </w:sectPr>
      </w:pPr>
    </w:p>
    <w:p>
      <w:pPr>
        <w:spacing w:after="0" w:line="4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 the Swingline Lender: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SunTrust Bank</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Agency Services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9"/>
          <w:szCs w:val="19"/>
          <w:color w:val="auto"/>
        </w:rPr>
        <w:t>303 Peachtree Street, N.E. / 25</w:t>
      </w:r>
      <w:r>
        <w:rPr>
          <w:rFonts w:ascii="Arial" w:cs="Arial" w:eastAsia="Arial" w:hAnsi="Arial"/>
          <w:sz w:val="13"/>
          <w:szCs w:val="13"/>
          <w:color w:val="auto"/>
        </w:rPr>
        <w:t>th</w:t>
      </w:r>
      <w:r>
        <w:rPr>
          <w:rFonts w:ascii="Arial" w:cs="Arial" w:eastAsia="Arial" w:hAnsi="Arial"/>
          <w:sz w:val="19"/>
          <w:szCs w:val="19"/>
          <w:color w:val="auto"/>
        </w:rPr>
        <w:t xml:space="preserve"> Floor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Atlanta, Georgia 30308</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Doug Weltz</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Telecopy Number: (404) 221-2001</w:t>
      </w:r>
    </w:p>
    <w:p>
      <w:pPr>
        <w:spacing w:after="0" w:line="200" w:lineRule="exact"/>
        <w:rPr>
          <w:sz w:val="20"/>
          <w:szCs w:val="20"/>
          <w:color w:val="auto"/>
        </w:rPr>
      </w:pPr>
    </w:p>
    <w:p>
      <w:pPr>
        <w:sectPr>
          <w:pgSz w:w="11900" w:h="16838" w:orient="portrait"/>
          <w:cols w:equalWidth="0" w:num="2">
            <w:col w:w="2840" w:space="180"/>
            <w:col w:w="7740"/>
          </w:cols>
          <w:pgMar w:left="900" w:top="375" w:right="239" w:bottom="1440" w:gutter="0" w:footer="0" w:header="0"/>
          <w:type w:val="continuous"/>
        </w:sectPr>
      </w:pPr>
    </w:p>
    <w:p>
      <w:pPr>
        <w:spacing w:after="0" w:line="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 any other Lender: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the address set forth in the Administrative Questionnaire or the Assignment and Assumption executed by such Lender</w:t>
      </w:r>
    </w:p>
    <w:p>
      <w:pPr>
        <w:spacing w:after="0" w:line="148" w:lineRule="exact"/>
        <w:rPr>
          <w:sz w:val="20"/>
          <w:szCs w:val="20"/>
          <w:color w:val="auto"/>
        </w:rPr>
      </w:pPr>
    </w:p>
    <w:p>
      <w:pPr>
        <w:sectPr>
          <w:pgSz w:w="11900" w:h="16838" w:orient="portrait"/>
          <w:cols w:equalWidth="0" w:num="2">
            <w:col w:w="2520" w:space="720"/>
            <w:col w:w="7520"/>
          </w:cols>
          <w:pgMar w:left="900" w:top="375" w:right="239" w:bottom="1440" w:gutter="0" w:footer="0" w:header="0"/>
          <w:type w:val="continuous"/>
        </w:sectPr>
      </w:pPr>
    </w:p>
    <w:p>
      <w:pPr>
        <w:jc w:val="both"/>
        <w:ind w:firstLine="1297"/>
        <w:spacing w:after="0" w:line="292" w:lineRule="auto"/>
        <w:rPr>
          <w:sz w:val="20"/>
          <w:szCs w:val="20"/>
          <w:color w:val="auto"/>
        </w:rPr>
      </w:pPr>
      <w:r>
        <w:rPr>
          <w:rFonts w:ascii="Arial" w:cs="Arial" w:eastAsia="Arial" w:hAnsi="Arial"/>
          <w:sz w:val="19"/>
          <w:szCs w:val="19"/>
          <w:color w:val="auto"/>
        </w:rPr>
        <w:t xml:space="preserve">Any party hereto may change its address or telecopy number for notices and other communications hereunder by notice to the other parties hereto. All such notices and other communications shall be effective upon actual receipt by the relevant Person or, if delivered by overnight courier service, upon the first Business Day after the date deposited with such courier service for overnight (next-day) delivery or, if sent by telecopy, upon transmittal in legible form by facsimile machine or, if mailed, upon the third Business Day after the date deposited into the mail or, if delivered by hand, upon delivery;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delivered to the Administrative Agent, the Issuing Bank or the Swingline Lender shall not be effective until actually received by such Person at its address specified in this Section.</w:t>
      </w:r>
    </w:p>
    <w:p>
      <w:pPr>
        <w:spacing w:after="0" w:line="124" w:lineRule="exact"/>
        <w:rPr>
          <w:sz w:val="20"/>
          <w:szCs w:val="20"/>
          <w:color w:val="auto"/>
        </w:rPr>
      </w:pPr>
    </w:p>
    <w:p>
      <w:pPr>
        <w:jc w:val="both"/>
        <w:ind w:left="640" w:firstLine="1301"/>
        <w:spacing w:after="0" w:line="259" w:lineRule="auto"/>
        <w:tabs>
          <w:tab w:leader="none" w:pos="2805" w:val="left"/>
        </w:tabs>
        <w:numPr>
          <w:ilvl w:val="1"/>
          <w:numId w:val="132"/>
        </w:numPr>
        <w:rPr>
          <w:rFonts w:ascii="Arial" w:cs="Arial" w:eastAsia="Arial" w:hAnsi="Arial"/>
          <w:sz w:val="17"/>
          <w:szCs w:val="17"/>
          <w:color w:val="auto"/>
        </w:rPr>
      </w:pPr>
      <w:r>
        <w:rPr>
          <w:rFonts w:ascii="Arial" w:cs="Arial" w:eastAsia="Arial" w:hAnsi="Arial"/>
          <w:sz w:val="21"/>
          <w:szCs w:val="21"/>
          <w:color w:val="auto"/>
        </w:rPr>
        <w:t>Any agreement of the Administrative Agent, the Issuing Bank or any Lender herein to receive certain notices by telephone or facsimile is solely for the convenience and at the request of Parent and the Borrower. The Administrative Agent, the Issuing Bank and each Lender shall be entitled to rely on the authority of any Person purporting to be a Person authorized by Parent or the Borrower to give such notice and the Administrative Agent, the Issuing Bank and the Lenders shall not have any liability to Parent, the Borrower or other Person on account of any action taken or not taken by the Administrative Agent, the Issuing Bank or any Lender in reliance upon such telephonic or facsimile notice. The obligation of the Borrower to repay the Loans and all other Obligations hereunder shall not be affected in any way or to any extent by any failure of the Administrative Agent, the Issuing Bank or any Lender to receive written confirmation of any telephonic or facsimile notice or the receipt by the Administrative Agent, the Issuing Bank or any Lender of a confirmation which is at variance with the terms understood by the Administrative Agent, the Issuing Bank and such Lender to be contained in any such telephonic or facsimile notice.</w:t>
      </w:r>
    </w:p>
    <w:p>
      <w:pPr>
        <w:spacing w:after="0" w:line="222" w:lineRule="exact"/>
        <w:rPr>
          <w:rFonts w:ascii="Arial" w:cs="Arial" w:eastAsia="Arial" w:hAnsi="Arial"/>
          <w:sz w:val="17"/>
          <w:szCs w:val="17"/>
          <w:color w:val="auto"/>
        </w:rPr>
      </w:pPr>
    </w:p>
    <w:p>
      <w:pPr>
        <w:ind w:left="2160" w:hanging="867"/>
        <w:spacing w:after="0"/>
        <w:tabs>
          <w:tab w:leader="none" w:pos="2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Electronic Communications.</w:t>
      </w:r>
    </w:p>
    <w:p>
      <w:pPr>
        <w:spacing w:after="0" w:line="273" w:lineRule="exact"/>
        <w:rPr>
          <w:rFonts w:ascii="Arial" w:cs="Arial" w:eastAsia="Arial" w:hAnsi="Arial"/>
          <w:sz w:val="18"/>
          <w:szCs w:val="18"/>
          <w:color w:val="auto"/>
        </w:rPr>
      </w:pPr>
    </w:p>
    <w:p>
      <w:pPr>
        <w:jc w:val="both"/>
        <w:ind w:left="640" w:firstLine="1301"/>
        <w:spacing w:after="0" w:line="264" w:lineRule="exact"/>
        <w:tabs>
          <w:tab w:leader="none" w:pos="2755" w:val="left"/>
        </w:tabs>
        <w:numPr>
          <w:ilvl w:val="1"/>
          <w:numId w:val="133"/>
        </w:numPr>
        <w:rPr>
          <w:rFonts w:ascii="Arial" w:cs="Arial" w:eastAsia="Arial" w:hAnsi="Arial"/>
          <w:sz w:val="18"/>
          <w:szCs w:val="18"/>
          <w:color w:val="auto"/>
        </w:rPr>
      </w:pPr>
      <w:r>
        <w:rPr>
          <w:rFonts w:ascii="Arial" w:cs="Arial" w:eastAsia="Arial" w:hAnsi="Arial"/>
          <w:sz w:val="22"/>
          <w:szCs w:val="22"/>
          <w:color w:val="auto"/>
        </w:rPr>
        <w:t>Notices and other communications to the Lenders and the Issuing Bank hereunder may be delivered or furnished by electronic communication (including e</w:t>
      </w:r>
      <w:r>
        <w:rPr>
          <w:rFonts w:ascii="MS PGothic" w:cs="MS PGothic" w:eastAsia="MS PGothic" w:hAnsi="MS PGothic"/>
          <w:sz w:val="22"/>
          <w:szCs w:val="22"/>
          <w:color w:val="auto"/>
        </w:rPr>
        <w:t>‑</w:t>
      </w:r>
      <w:r>
        <w:rPr>
          <w:rFonts w:ascii="Arial" w:cs="Arial" w:eastAsia="Arial" w:hAnsi="Arial"/>
          <w:sz w:val="22"/>
          <w:szCs w:val="22"/>
          <w:color w:val="auto"/>
        </w:rPr>
        <w:t xml:space="preserve">mail and Internet or intranet websites)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to any Lender or the Issuing Bank pursuant</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760"/>
          </w:cols>
          <w:pgMar w:left="900" w:top="375" w:right="239" w:bottom="1440" w:gutter="0" w:footer="0" w:header="0"/>
          <w:type w:val="continuous"/>
        </w:sectPr>
      </w:pPr>
    </w:p>
    <w:bookmarkStart w:id="139" w:name="page140"/>
    <w:bookmarkEnd w:id="139"/>
    <w:p>
      <w:pPr>
        <w:jc w:val="both"/>
        <w:ind w:left="640"/>
        <w:spacing w:after="0" w:line="297" w:lineRule="auto"/>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unless such Lender, the Issuing Bank, as applicable, and the Administrative Agent have agreed to receive notices under any Section thereof by electronic communication and have agreed to the procedures governing such communications. The Administrative Agent, Parent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88" w:lineRule="exact"/>
        <w:rPr>
          <w:sz w:val="20"/>
          <w:szCs w:val="20"/>
          <w:color w:val="auto"/>
        </w:rPr>
      </w:pPr>
    </w:p>
    <w:p>
      <w:pPr>
        <w:jc w:val="both"/>
        <w:ind w:left="640" w:firstLine="1301"/>
        <w:spacing w:after="0" w:line="260" w:lineRule="auto"/>
        <w:tabs>
          <w:tab w:leader="none" w:pos="2805" w:val="left"/>
        </w:tabs>
        <w:numPr>
          <w:ilvl w:val="0"/>
          <w:numId w:val="134"/>
        </w:numPr>
        <w:rPr>
          <w:rFonts w:ascii="Arial" w:cs="Arial" w:eastAsia="Arial" w:hAnsi="Arial"/>
          <w:sz w:val="17"/>
          <w:szCs w:val="17"/>
          <w:color w:val="auto"/>
        </w:rPr>
      </w:pPr>
      <w:r>
        <w:rPr>
          <w:rFonts w:ascii="Arial" w:cs="Arial" w:eastAsia="Arial" w:hAnsi="Arial"/>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19"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u w:val="single" w:color="auto"/>
          <w:color w:val="auto"/>
        </w:rPr>
        <w:t>Waiver; Amendments</w:t>
      </w:r>
      <w:r>
        <w:rPr>
          <w:rFonts w:ascii="Arial" w:cs="Arial" w:eastAsia="Arial" w:hAnsi="Arial"/>
          <w:sz w:val="19"/>
          <w:szCs w:val="19"/>
          <w:color w:val="auto"/>
        </w:rPr>
        <w:t>.</w:t>
      </w:r>
    </w:p>
    <w:p>
      <w:pPr>
        <w:spacing w:after="0" w:line="28" w:lineRule="exact"/>
        <w:rPr>
          <w:sz w:val="20"/>
          <w:szCs w:val="20"/>
          <w:color w:val="auto"/>
        </w:rPr>
      </w:pPr>
    </w:p>
    <w:p>
      <w:pPr>
        <w:jc w:val="both"/>
        <w:ind w:firstLine="1293"/>
        <w:spacing w:after="0" w:line="286" w:lineRule="auto"/>
        <w:tabs>
          <w:tab w:leader="none" w:pos="2144" w:val="left"/>
        </w:tabs>
        <w:numPr>
          <w:ilvl w:val="0"/>
          <w:numId w:val="135"/>
        </w:numPr>
        <w:rPr>
          <w:rFonts w:ascii="Arial" w:cs="Arial" w:eastAsia="Arial" w:hAnsi="Arial"/>
          <w:sz w:val="16"/>
          <w:szCs w:val="16"/>
          <w:color w:val="auto"/>
        </w:rPr>
      </w:pPr>
      <w:r>
        <w:rPr>
          <w:rFonts w:ascii="Arial" w:cs="Arial" w:eastAsia="Arial" w:hAnsi="Arial"/>
          <w:sz w:val="19"/>
          <w:szCs w:val="19"/>
          <w:color w:val="auto"/>
        </w:rPr>
        <w:t>No failure or delay by the Administrative Agent, the Issuing Bank or any Lender in exercising any right or power hereunder or under any other Loan Document, and no course of dealing between Parent and/or the Borrower and the Administrative Agent or any Lender</w:t>
      </w:r>
      <w:r>
        <w:rPr>
          <w:rFonts w:ascii="Arial" w:cs="Arial" w:eastAsia="Arial" w:hAnsi="Arial"/>
          <w:sz w:val="19"/>
          <w:szCs w:val="19"/>
          <w:b w:val="1"/>
          <w:bCs w:val="1"/>
          <w:color w:val="auto"/>
        </w:rPr>
        <w:t>,</w:t>
      </w:r>
      <w:r>
        <w:rPr>
          <w:rFonts w:ascii="Arial" w:cs="Arial" w:eastAsia="Arial" w:hAnsi="Arial"/>
          <w:sz w:val="19"/>
          <w:szCs w:val="19"/>
          <w:color w:val="auto"/>
        </w:rPr>
        <w:t xml:space="preserve">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 and the Lenders hereunder and under the other Loan Documents are cumulative and are not exclusive of any rights or remedies provided by law. No waiver of any provision of this Agreement or of any other Loan Document or consent to any departure by Parent and/or the Borrower therefrom shall in any event be effective unless the same shall be permitted by subsection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Administrative Agent, any Lender or the Issuing Bank may have had notice or knowledge of such Default or Event of Default at the time.</w:t>
      </w: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jc w:val="both"/>
        <w:ind w:firstLine="1293"/>
        <w:spacing w:after="0" w:line="297" w:lineRule="auto"/>
        <w:tabs>
          <w:tab w:leader="none" w:pos="2155" w:val="left"/>
        </w:tabs>
        <w:numPr>
          <w:ilvl w:val="0"/>
          <w:numId w:val="135"/>
        </w:numPr>
        <w:rPr>
          <w:rFonts w:ascii="Arial" w:cs="Arial" w:eastAsia="Arial" w:hAnsi="Arial"/>
          <w:sz w:val="16"/>
          <w:szCs w:val="16"/>
          <w:color w:val="auto"/>
        </w:rPr>
      </w:pPr>
      <w:r>
        <w:rPr>
          <w:rFonts w:ascii="Arial" w:cs="Arial" w:eastAsia="Arial" w:hAnsi="Arial"/>
          <w:sz w:val="19"/>
          <w:szCs w:val="19"/>
          <w:color w:val="auto"/>
        </w:rPr>
        <w:t xml:space="preserve">No amendment or waiver of any provision of this Agreement or of the other Loan Documents (other than the Fee Letter), nor consent to any departure by Parent and/or the Borrower therefrom, shall in any event be effective unless the same shall be in writing and signed by Parent, the Borrower and the Required Lenders, or Parent, the Borrower and the Administrative Agent with the consent of the Required Lenders, and then such amendment,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addition to the consent of the Required Lenders, no amendment, waiver or consent shall:</w:t>
      </w:r>
    </w:p>
    <w:p>
      <w:pPr>
        <w:spacing w:after="0" w:line="187" w:lineRule="exact"/>
        <w:rPr>
          <w:rFonts w:ascii="Arial" w:cs="Arial" w:eastAsia="Arial" w:hAnsi="Arial"/>
          <w:sz w:val="16"/>
          <w:szCs w:val="16"/>
          <w:color w:val="auto"/>
        </w:rPr>
      </w:pPr>
    </w:p>
    <w:p>
      <w:pPr>
        <w:ind w:left="2760" w:hanging="819"/>
        <w:spacing w:after="0"/>
        <w:tabs>
          <w:tab w:leader="none" w:pos="2760" w:val="left"/>
        </w:tabs>
        <w:numPr>
          <w:ilvl w:val="1"/>
          <w:numId w:val="135"/>
        </w:numPr>
        <w:rPr>
          <w:rFonts w:ascii="Arial" w:cs="Arial" w:eastAsia="Arial" w:hAnsi="Arial"/>
          <w:sz w:val="17"/>
          <w:szCs w:val="17"/>
          <w:color w:val="auto"/>
        </w:rPr>
      </w:pPr>
      <w:r>
        <w:rPr>
          <w:rFonts w:ascii="Arial" w:cs="Arial" w:eastAsia="Arial" w:hAnsi="Arial"/>
          <w:sz w:val="21"/>
          <w:szCs w:val="21"/>
          <w:color w:val="auto"/>
        </w:rPr>
        <w:t>increase the Commitment of any Lender without the written consent of such Lender;</w:t>
      </w:r>
    </w:p>
    <w:p>
      <w:pPr>
        <w:spacing w:after="0" w:line="285" w:lineRule="exact"/>
        <w:rPr>
          <w:rFonts w:ascii="Arial" w:cs="Arial" w:eastAsia="Arial" w:hAnsi="Arial"/>
          <w:sz w:val="17"/>
          <w:szCs w:val="17"/>
          <w:color w:val="auto"/>
        </w:rPr>
      </w:pPr>
    </w:p>
    <w:p>
      <w:pPr>
        <w:jc w:val="both"/>
        <w:ind w:left="640" w:firstLine="1301"/>
        <w:spacing w:after="0" w:line="260" w:lineRule="auto"/>
        <w:tabs>
          <w:tab w:leader="none" w:pos="2805" w:val="left"/>
        </w:tabs>
        <w:numPr>
          <w:ilvl w:val="1"/>
          <w:numId w:val="135"/>
        </w:numPr>
        <w:rPr>
          <w:rFonts w:ascii="Arial" w:cs="Arial" w:eastAsia="Arial" w:hAnsi="Arial"/>
          <w:sz w:val="18"/>
          <w:szCs w:val="18"/>
          <w:color w:val="auto"/>
        </w:rPr>
      </w:pPr>
      <w:r>
        <w:rPr>
          <w:rFonts w:ascii="Arial" w:cs="Arial" w:eastAsia="Arial" w:hAnsi="Arial"/>
          <w:sz w:val="22"/>
          <w:szCs w:val="22"/>
          <w:color w:val="auto"/>
        </w:rPr>
        <w:t>reduce the principal amount of any Loan or LC Disbursement or reduce the rate of interest thereon, or reduce any fees payable hereunder, without the written consent of each Lender affected thereby (except that any amendment or modification of defined terms used</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760"/>
          </w:cols>
          <w:pgMar w:left="900" w:top="375" w:right="239" w:bottom="1440" w:gutter="0" w:footer="0" w:header="0"/>
        </w:sectPr>
      </w:pPr>
    </w:p>
    <w:bookmarkStart w:id="140" w:name="page141"/>
    <w:bookmarkEnd w:id="140"/>
    <w:p>
      <w:pPr>
        <w:ind w:left="1300"/>
        <w:spacing w:after="0" w:line="263" w:lineRule="auto"/>
        <w:rPr>
          <w:sz w:val="20"/>
          <w:szCs w:val="20"/>
          <w:color w:val="auto"/>
        </w:rPr>
      </w:pPr>
      <w:r>
        <w:rPr>
          <w:rFonts w:ascii="Arial" w:cs="Arial" w:eastAsia="Arial" w:hAnsi="Arial"/>
          <w:sz w:val="22"/>
          <w:szCs w:val="22"/>
          <w:color w:val="auto"/>
        </w:rPr>
        <w:t>in the financial covenants set forth in Article VI or waiver of post-default rates of interest shall not constitute a reduction in the rate of interest or fees for purposes of this clause (ii));</w:t>
      </w:r>
    </w:p>
    <w:p>
      <w:pPr>
        <w:spacing w:after="0" w:line="215" w:lineRule="exact"/>
        <w:rPr>
          <w:sz w:val="20"/>
          <w:szCs w:val="20"/>
          <w:color w:val="auto"/>
        </w:rPr>
      </w:pPr>
    </w:p>
    <w:p>
      <w:pPr>
        <w:jc w:val="both"/>
        <w:ind w:left="1300" w:firstLine="1301"/>
        <w:spacing w:after="0" w:line="250" w:lineRule="auto"/>
        <w:tabs>
          <w:tab w:leader="none" w:pos="3515" w:val="left"/>
        </w:tabs>
        <w:numPr>
          <w:ilvl w:val="0"/>
          <w:numId w:val="136"/>
        </w:numPr>
        <w:rPr>
          <w:rFonts w:ascii="Arial" w:cs="Arial" w:eastAsia="Arial" w:hAnsi="Arial"/>
          <w:sz w:val="18"/>
          <w:szCs w:val="18"/>
          <w:color w:val="auto"/>
        </w:rPr>
      </w:pPr>
      <w:r>
        <w:rPr>
          <w:rFonts w:ascii="Arial" w:cs="Arial" w:eastAsia="Arial" w:hAnsi="Arial"/>
          <w:sz w:val="22"/>
          <w:szCs w:val="22"/>
          <w:color w:val="auto"/>
        </w:rPr>
        <w:t>postpone the date fixed for any payment of any principal of, or interest on, any Loan or LC Disbursement or any fees hereunder or reduce the amount of, waive or excuse any such payment, or postpone the scheduled date for the termination or reduction of any Commitment, without the written consent of each Lender affected thereby (it being understood that a waiver of any condition precedent or the waiver of any Default, Event of Default or mandatory prepayment shall not constitute a postponement, waiver, extension or increase of any Loan or Commitment hereunder);</w:t>
      </w:r>
    </w:p>
    <w:p>
      <w:pPr>
        <w:spacing w:after="0" w:line="228" w:lineRule="exact"/>
        <w:rPr>
          <w:rFonts w:ascii="Arial" w:cs="Arial" w:eastAsia="Arial" w:hAnsi="Arial"/>
          <w:sz w:val="18"/>
          <w:szCs w:val="18"/>
          <w:color w:val="auto"/>
        </w:rPr>
      </w:pPr>
    </w:p>
    <w:p>
      <w:pPr>
        <w:ind w:left="3500" w:hanging="899"/>
        <w:spacing w:after="0"/>
        <w:tabs>
          <w:tab w:leader="none" w:pos="3500" w:val="left"/>
        </w:tabs>
        <w:numPr>
          <w:ilvl w:val="0"/>
          <w:numId w:val="136"/>
        </w:numPr>
        <w:rPr>
          <w:rFonts w:ascii="Arial" w:cs="Arial" w:eastAsia="Arial" w:hAnsi="Arial"/>
          <w:sz w:val="18"/>
          <w:szCs w:val="18"/>
          <w:color w:val="auto"/>
        </w:rPr>
      </w:pPr>
      <w:r>
        <w:rPr>
          <w:rFonts w:ascii="Arial" w:cs="Arial" w:eastAsia="Arial" w:hAnsi="Arial"/>
          <w:sz w:val="22"/>
          <w:szCs w:val="22"/>
          <w:color w:val="auto"/>
        </w:rPr>
        <w:t>change Section 8.2 without the written consent of each Lender;</w:t>
      </w:r>
    </w:p>
    <w:p>
      <w:pPr>
        <w:spacing w:after="0" w:line="273" w:lineRule="exact"/>
        <w:rPr>
          <w:rFonts w:ascii="Arial" w:cs="Arial" w:eastAsia="Arial" w:hAnsi="Arial"/>
          <w:sz w:val="18"/>
          <w:szCs w:val="18"/>
          <w:color w:val="auto"/>
        </w:rPr>
      </w:pPr>
    </w:p>
    <w:p>
      <w:pPr>
        <w:ind w:left="1300" w:right="20" w:firstLine="1301"/>
        <w:spacing w:after="0" w:line="276" w:lineRule="auto"/>
        <w:tabs>
          <w:tab w:leader="none" w:pos="3454" w:val="left"/>
        </w:tabs>
        <w:numPr>
          <w:ilvl w:val="0"/>
          <w:numId w:val="136"/>
        </w:numPr>
        <w:rPr>
          <w:rFonts w:ascii="Arial" w:cs="Arial" w:eastAsia="Arial" w:hAnsi="Arial"/>
          <w:sz w:val="18"/>
          <w:szCs w:val="18"/>
          <w:color w:val="auto"/>
        </w:rPr>
      </w:pPr>
      <w:r>
        <w:rPr>
          <w:rFonts w:ascii="Arial" w:cs="Arial" w:eastAsia="Arial" w:hAnsi="Arial"/>
          <w:sz w:val="22"/>
          <w:szCs w:val="22"/>
          <w:color w:val="auto"/>
        </w:rPr>
        <w:t xml:space="preserve">change </w:t>
      </w:r>
      <w:r>
        <w:rPr>
          <w:rFonts w:ascii="Arial" w:cs="Arial" w:eastAsia="Arial" w:hAnsi="Arial"/>
          <w:sz w:val="22"/>
          <w:szCs w:val="22"/>
          <w:u w:val="single" w:color="auto"/>
          <w:color w:val="auto"/>
        </w:rPr>
        <w:t>Section 2.21(b)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in a manner that would alter the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sharing of payments required thereby, without the written consent of each Lender;</w:t>
      </w:r>
    </w:p>
    <w:p>
      <w:pPr>
        <w:spacing w:after="0" w:line="201" w:lineRule="exact"/>
        <w:rPr>
          <w:rFonts w:ascii="Arial" w:cs="Arial" w:eastAsia="Arial" w:hAnsi="Arial"/>
          <w:sz w:val="18"/>
          <w:szCs w:val="18"/>
          <w:color w:val="auto"/>
        </w:rPr>
      </w:pPr>
    </w:p>
    <w:p>
      <w:pPr>
        <w:jc w:val="both"/>
        <w:ind w:left="1300" w:firstLine="1301"/>
        <w:spacing w:after="0" w:line="254" w:lineRule="auto"/>
        <w:tabs>
          <w:tab w:leader="none" w:pos="3504" w:val="left"/>
        </w:tabs>
        <w:numPr>
          <w:ilvl w:val="0"/>
          <w:numId w:val="136"/>
        </w:numPr>
        <w:rPr>
          <w:rFonts w:ascii="Arial" w:cs="Arial" w:eastAsia="Arial" w:hAnsi="Arial"/>
          <w:sz w:val="18"/>
          <w:szCs w:val="18"/>
          <w:color w:val="auto"/>
        </w:rPr>
      </w:pPr>
      <w:r>
        <w:rPr>
          <w:rFonts w:ascii="Arial" w:cs="Arial" w:eastAsia="Arial" w:hAnsi="Arial"/>
          <w:sz w:val="22"/>
          <w:szCs w:val="22"/>
          <w:color w:val="auto"/>
        </w:rPr>
        <w:t>change any of the provisions of this subsection (b) or the definition of “Required Lenders” or “Required Revolving Lenders” any other provision hereof specifying the number or percentage of Lenders which are re-quired to waive, amend or modify any rights hereunder or make any determination or grant any consent hereunder, without the consent of each Lender;</w:t>
      </w:r>
    </w:p>
    <w:p>
      <w:pPr>
        <w:spacing w:after="0" w:line="225" w:lineRule="exact"/>
        <w:rPr>
          <w:rFonts w:ascii="Arial" w:cs="Arial" w:eastAsia="Arial" w:hAnsi="Arial"/>
          <w:sz w:val="18"/>
          <w:szCs w:val="18"/>
          <w:color w:val="auto"/>
        </w:rPr>
      </w:pPr>
    </w:p>
    <w:p>
      <w:pPr>
        <w:ind w:left="1300" w:firstLine="1301"/>
        <w:spacing w:after="0" w:line="276" w:lineRule="auto"/>
        <w:tabs>
          <w:tab w:leader="none" w:pos="3554" w:val="left"/>
        </w:tabs>
        <w:numPr>
          <w:ilvl w:val="0"/>
          <w:numId w:val="136"/>
        </w:numPr>
        <w:rPr>
          <w:rFonts w:ascii="Arial" w:cs="Arial" w:eastAsia="Arial" w:hAnsi="Arial"/>
          <w:sz w:val="18"/>
          <w:szCs w:val="18"/>
          <w:color w:val="auto"/>
        </w:rPr>
      </w:pPr>
      <w:r>
        <w:rPr>
          <w:rFonts w:ascii="Arial" w:cs="Arial" w:eastAsia="Arial" w:hAnsi="Arial"/>
          <w:sz w:val="22"/>
          <w:szCs w:val="22"/>
          <w:color w:val="auto"/>
        </w:rPr>
        <w:t>release or limit the liability of all or substantially all of the guarantors under any guaranty agreement guaranteeing any of the Obligations, without the written consent of each Lender; or</w:t>
      </w:r>
    </w:p>
    <w:p>
      <w:pPr>
        <w:spacing w:after="0" w:line="201" w:lineRule="exact"/>
        <w:rPr>
          <w:rFonts w:ascii="Arial" w:cs="Arial" w:eastAsia="Arial" w:hAnsi="Arial"/>
          <w:sz w:val="18"/>
          <w:szCs w:val="18"/>
          <w:color w:val="auto"/>
        </w:rPr>
      </w:pPr>
    </w:p>
    <w:p>
      <w:pPr>
        <w:ind w:left="1300" w:firstLine="1301"/>
        <w:spacing w:after="0" w:line="276" w:lineRule="auto"/>
        <w:tabs>
          <w:tab w:leader="none" w:pos="3604" w:val="left"/>
        </w:tabs>
        <w:numPr>
          <w:ilvl w:val="0"/>
          <w:numId w:val="136"/>
        </w:numPr>
        <w:rPr>
          <w:rFonts w:ascii="Arial" w:cs="Arial" w:eastAsia="Arial" w:hAnsi="Arial"/>
          <w:sz w:val="18"/>
          <w:szCs w:val="18"/>
          <w:color w:val="auto"/>
        </w:rPr>
      </w:pPr>
      <w:r>
        <w:rPr>
          <w:rFonts w:ascii="Arial" w:cs="Arial" w:eastAsia="Arial" w:hAnsi="Arial"/>
          <w:sz w:val="22"/>
          <w:szCs w:val="22"/>
          <w:color w:val="auto"/>
        </w:rPr>
        <w:t>release all or substantially all of the Collateral securing any of the Obligations, without the written consent of each Lender;</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such amendment, waiver or consent shall amend, modify or otherwise affect the rights, duties or obligations of the Administrative Agent, the Swingline Lender or the Issuing Bank without the prior written consent of such Person.</w:t>
      </w:r>
    </w:p>
    <w:p>
      <w:pPr>
        <w:spacing w:after="0" w:line="18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Notwithstanding anything to the contrary herein, (A)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(B) any waiver, amendment or modification requiring the consent of all Lenders or each affected Lender which affects any Defaulting Lender differently than other affected Lenders shall require the consent of such Defaulting Lender, (C) subject to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this Agreement may be amended and restated without the consent of any Lender (but with the consent of Parent,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such Lender shall have no other commitment or other obligation hereunder and such Lender shall have been paid in full all principal, interest and other amounts owing to it or accrued for its account under this Agreement, (D) the Administrative Agent may, with the consent of Parent and the Borrower only, amend, modify or supplement this Agreement or any of the other Loan Documents to cure any ambiguity, omission, mistake, defect or inconsistency so long as, in each case, the Lenders shall have received at least five (5) Business Days’ prior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75" w:right="239" w:bottom="1440" w:gutter="0" w:footer="0" w:header="0"/>
        </w:sectPr>
      </w:pPr>
    </w:p>
    <w:bookmarkStart w:id="141" w:name="page142"/>
    <w:bookmarkEnd w:id="141"/>
    <w:p>
      <w:pPr>
        <w:spacing w:after="0" w:line="291" w:lineRule="auto"/>
        <w:rPr>
          <w:sz w:val="20"/>
          <w:szCs w:val="20"/>
          <w:color w:val="auto"/>
        </w:rPr>
      </w:pPr>
      <w:r>
        <w:rPr>
          <w:rFonts w:ascii="Arial" w:cs="Arial" w:eastAsia="Arial" w:hAnsi="Arial"/>
          <w:sz w:val="19"/>
          <w:szCs w:val="19"/>
          <w:color w:val="auto"/>
        </w:rPr>
        <w:t>written notice thereof and the Administrative Agent shall not have received, within five (5) Business Days of the date of such notice to the Lenders, a written notice from the Required Lenders stating that the Required Lenders object to such amendment, and</w:t>
      </w:r>
    </w:p>
    <w:p>
      <w:pPr>
        <w:spacing w:after="0" w:line="1" w:lineRule="exact"/>
        <w:rPr>
          <w:sz w:val="20"/>
          <w:szCs w:val="20"/>
          <w:color w:val="auto"/>
        </w:rPr>
      </w:pPr>
    </w:p>
    <w:p>
      <w:pPr>
        <w:jc w:val="both"/>
        <w:ind w:firstLine="8"/>
        <w:spacing w:after="0" w:line="245" w:lineRule="auto"/>
        <w:tabs>
          <w:tab w:leader="none" w:pos="33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conditions of Section 3.2 hereof with respect to the Revolving Loans and Letters of Credit shall not be deemed satisfied by virtue of any waiver of an existing Default or Event of Default unless such waiver shall be consented to by Required Revolving Lenders.</w:t>
      </w:r>
    </w:p>
    <w:p>
      <w:pPr>
        <w:spacing w:after="0" w:line="187" w:lineRule="exact"/>
        <w:rPr>
          <w:sz w:val="20"/>
          <w:szCs w:val="20"/>
          <w:color w:val="auto"/>
        </w:rPr>
      </w:pPr>
    </w:p>
    <w:p>
      <w:pPr>
        <w:ind w:left="1300"/>
        <w:spacing w:after="0"/>
        <w:tabs>
          <w:tab w:leader="none" w:pos="368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b w:val="1"/>
          <w:bCs w:val="1"/>
          <w:u w:val="single" w:color="auto"/>
          <w:color w:val="auto"/>
        </w:rPr>
        <w:t>Expenses; Indemnification</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85" w:lineRule="auto"/>
        <w:tabs>
          <w:tab w:leader="none" w:pos="2804" w:val="left"/>
        </w:tabs>
        <w:numPr>
          <w:ilvl w:val="1"/>
          <w:numId w:val="138"/>
        </w:numPr>
        <w:rPr>
          <w:rFonts w:ascii="Arial" w:cs="Arial" w:eastAsia="Arial" w:hAnsi="Arial"/>
          <w:sz w:val="16"/>
          <w:szCs w:val="16"/>
          <w:color w:val="auto"/>
        </w:rPr>
      </w:pPr>
      <w:r>
        <w:rPr>
          <w:rFonts w:ascii="Arial" w:cs="Arial" w:eastAsia="Arial" w:hAnsi="Arial"/>
          <w:sz w:val="19"/>
          <w:szCs w:val="19"/>
          <w:color w:val="auto"/>
        </w:rPr>
        <w:t xml:space="preserve">The Borrower shall pay (i) all reasonable and documented out-of-pocket costs and expenses of the Administrative Agent and its Affiliates, including the reasonable and documented fees, charges and disbursements of counsel for the Administrative Agent and its Affiliates, in connection with the syndication of the credit facilities provided for herein, the preparation, administration and enforcement of the Loan Documents and any amendments, modifications or waivers thereof (whether or not the transactions contemplated in this Agreement or any other Loan Document shall be consummated), including the reasonable and documented fees, charges and disbursements of counsel for the Administrative Agent and its Affiliates, (ii) all reasonable and documented out-of-pocket expenses incurred by the Issuing Bank in connection with the issuance, amendment, renewal or extension of any Letter of Credit or any demand for payment thereunder and (iii) not in limitation of the obligations under clauses (i) and (ii) above, all reasonable and documented out-of-pocket costs and expenses (including, without limitation, the reasonable and documented fees, charges and disbursements of outside counsel and consultants) incurred by the Administrative Agent, the Left Lead Arranger, the Issuing Bank or any Lender in connection with the enforcement or protection of its rights in connection with this Agreement, including its rights under this Section, or in connection with the Loans made or any Letters of Credit issued hereunder, including all such out-of-pocket expenses incurred during any workout, restructuring or negotiations in respect of such Loans or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that the fees, charges and disbursements of outside counsel paid under this clause (iii) shall be limited to the reasonable and documented fees, charges and disbursements of one outside counsel to the Administrative Agent and one outside counsel to the Lenders, taken as a whole, and, solely in the case of an actual or perceived conflict of interest, one additional outside counsel to all affected persons taken as a whole, and, if necessary, of one local outside counsel to the Administrative Agent and one local outside counsel to the Lenders, taken as a whole, in any relevant material jurisdiction to the Administrative Agent and Lenders and, solely in the case of an actual or perceived conflict of interest, one additional outside local counsel to all affected persons, taken as a whole.</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jc w:val="both"/>
        <w:ind w:left="660" w:firstLine="1293"/>
        <w:spacing w:after="0" w:line="286" w:lineRule="auto"/>
        <w:tabs>
          <w:tab w:leader="none" w:pos="2815" w:val="left"/>
        </w:tabs>
        <w:numPr>
          <w:ilvl w:val="1"/>
          <w:numId w:val="138"/>
        </w:numPr>
        <w:rPr>
          <w:rFonts w:ascii="Arial" w:cs="Arial" w:eastAsia="Arial" w:hAnsi="Arial"/>
          <w:sz w:val="16"/>
          <w:szCs w:val="16"/>
          <w:color w:val="auto"/>
        </w:rPr>
      </w:pPr>
      <w:r>
        <w:rPr>
          <w:rFonts w:ascii="Arial" w:cs="Arial" w:eastAsia="Arial" w:hAnsi="Arial"/>
          <w:sz w:val="19"/>
          <w:szCs w:val="19"/>
          <w:color w:val="auto"/>
        </w:rPr>
        <w:t>The Borrower shall indemnify the Administrative Agent (and any sub-agent thereof), the Left Lead Arranger, each Lender and the Issuing Bank,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liabilities and related expenses (including the reasonable and documented out-of-pocket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w:t>
      </w:r>
    </w:p>
    <w:p>
      <w:pPr>
        <w:spacing w:after="0" w:line="5" w:lineRule="exact"/>
        <w:rPr>
          <w:rFonts w:ascii="Arial" w:cs="Arial" w:eastAsia="Arial" w:hAnsi="Arial"/>
          <w:sz w:val="16"/>
          <w:szCs w:val="16"/>
          <w:color w:val="auto"/>
        </w:rPr>
      </w:pPr>
    </w:p>
    <w:p>
      <w:pPr>
        <w:jc w:val="both"/>
        <w:ind w:left="660" w:hanging="4"/>
        <w:spacing w:after="0" w:line="258" w:lineRule="auto"/>
        <w:tabs>
          <w:tab w:leader="none" w:pos="93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75" w:right="239" w:bottom="1440" w:gutter="0" w:footer="0" w:header="0"/>
        </w:sectPr>
      </w:pPr>
    </w:p>
    <w:bookmarkStart w:id="142" w:name="page143"/>
    <w:bookmarkEnd w:id="142"/>
    <w:p>
      <w:pPr>
        <w:jc w:val="both"/>
        <w:spacing w:after="0" w:line="286" w:lineRule="auto"/>
        <w:rPr>
          <w:sz w:val="20"/>
          <w:szCs w:val="20"/>
          <w:color w:val="auto"/>
        </w:rPr>
      </w:pPr>
      <w:r>
        <w:rPr>
          <w:rFonts w:ascii="Arial" w:cs="Arial" w:eastAsia="Arial" w:hAnsi="Arial"/>
          <w:sz w:val="19"/>
          <w:szCs w:val="19"/>
          <w:color w:val="auto"/>
        </w:rPr>
        <w:t xml:space="preserve">Hazardous Materials on or from any property owned or operated by Parent or any of its Subsidiaries, or any Environmental Liability related in any way to Parent or any of its Subsidiaries, or (iv) any actual or prospective claim, litigation, investigation or proceeding relating to any of the foregoing, whether based on contract, tort or any other theory, whether brought by a third party or by Parent, the Borrower or any other Loan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(y) a claim brought by the Borrower or any other Loan Party against an Indemnitee for a material breach of such Indemnitee’s funding obligations hereunder or (z) a proceeding brought by an Indemnitee against another Indemnitee (other than a proceeding brought by an Indemnitee against the Administrative Agent, the Issuing Bank, the Swingline Lender, or any other agent, in each case in its capacity as Administrative Agent, Issuing Bank, Swingline Lender, or other agent, as applicable). No Indemnitee shall be liable for any damages arising from the use by others of any information or other materials obtained through Syndtrak, Intralinks or any other Internet or intranet website, except as a result of such Indemnitee’s gross negligence or willful misconduct as determined by a court of competent jurisdiction in a final and non-appealable judgment.</w:t>
      </w:r>
    </w:p>
    <w:p>
      <w:pPr>
        <w:spacing w:after="0" w:line="204" w:lineRule="exact"/>
        <w:rPr>
          <w:sz w:val="20"/>
          <w:szCs w:val="20"/>
          <w:color w:val="auto"/>
        </w:rPr>
      </w:pPr>
    </w:p>
    <w:p>
      <w:pPr>
        <w:jc w:val="both"/>
        <w:ind w:firstLine="1293"/>
        <w:spacing w:after="0" w:line="266" w:lineRule="auto"/>
        <w:tabs>
          <w:tab w:leader="none" w:pos="2144" w:val="left"/>
        </w:tabs>
        <w:numPr>
          <w:ilvl w:val="0"/>
          <w:numId w:val="140"/>
        </w:numPr>
        <w:rPr>
          <w:rFonts w:ascii="Arial" w:cs="Arial" w:eastAsia="Arial" w:hAnsi="Arial"/>
          <w:sz w:val="17"/>
          <w:szCs w:val="17"/>
          <w:color w:val="auto"/>
        </w:rPr>
      </w:pPr>
      <w:r>
        <w:rPr>
          <w:rFonts w:ascii="Arial" w:cs="Arial" w:eastAsia="Arial" w:hAnsi="Arial"/>
          <w:sz w:val="21"/>
          <w:szCs w:val="21"/>
          <w:color w:val="auto"/>
        </w:rPr>
        <w:t>The Borrower shall pay, and hold the Administrative Agent, the Issuing Bank and each of the Lenders harmless from and against, any and all present and future stamp, documentary, and other similar taxes with respect to this Agreement and any other Loan Documents, any collateral described therein or any payments due thereunder, and save the Administrative Agent, the Issuing Bank and each Lender harmless from and against any and all liabilities with respect to or resulting from any delay or omission to pay such taxes.</w:t>
      </w:r>
    </w:p>
    <w:p>
      <w:pPr>
        <w:spacing w:after="0" w:line="214" w:lineRule="exact"/>
        <w:rPr>
          <w:rFonts w:ascii="Arial" w:cs="Arial" w:eastAsia="Arial" w:hAnsi="Arial"/>
          <w:sz w:val="17"/>
          <w:szCs w:val="17"/>
          <w:color w:val="auto"/>
        </w:rPr>
      </w:pPr>
    </w:p>
    <w:p>
      <w:pPr>
        <w:jc w:val="both"/>
        <w:ind w:firstLine="1293"/>
        <w:spacing w:after="0" w:line="294" w:lineRule="auto"/>
        <w:tabs>
          <w:tab w:leader="none" w:pos="2155" w:val="left"/>
        </w:tabs>
        <w:numPr>
          <w:ilvl w:val="0"/>
          <w:numId w:val="140"/>
        </w:numPr>
        <w:rPr>
          <w:rFonts w:ascii="Arial" w:cs="Arial" w:eastAsia="Arial" w:hAnsi="Arial"/>
          <w:sz w:val="16"/>
          <w:szCs w:val="16"/>
          <w:color w:val="auto"/>
        </w:rPr>
      </w:pPr>
      <w:r>
        <w:rPr>
          <w:rFonts w:ascii="Arial" w:cs="Arial" w:eastAsia="Arial" w:hAnsi="Arial"/>
          <w:sz w:val="19"/>
          <w:szCs w:val="19"/>
          <w:color w:val="auto"/>
        </w:rPr>
        <w:t xml:space="preserve">The Borrower fails to pay any amount required to be paid to the Administrative Agent, the Issuing Bank or the Swingline Lender under subsection (a), (b) or (c) hereof, each Lender severally agrees to pay to the Administrative Agent, the Issuing Bank or the Swingline Lender, as the case may be, such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(in accordance with its respective Revolving Commitment (or Revolving Credit Exposure, as applicable) and Loans determined as of the time that the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payment, claim, damage, liability or related expense, as the case may be, was incurred by or asserted against the Administrative Agent, the Issuing Bank or the Swingline Lender in its capacity as such.</w:t>
      </w:r>
    </w:p>
    <w:p>
      <w:pPr>
        <w:spacing w:after="0" w:line="192" w:lineRule="exact"/>
        <w:rPr>
          <w:rFonts w:ascii="Arial" w:cs="Arial" w:eastAsia="Arial" w:hAnsi="Arial"/>
          <w:sz w:val="16"/>
          <w:szCs w:val="16"/>
          <w:color w:val="auto"/>
        </w:rPr>
      </w:pPr>
    </w:p>
    <w:p>
      <w:pPr>
        <w:jc w:val="both"/>
        <w:ind w:firstLine="1293"/>
        <w:spacing w:after="0" w:line="300" w:lineRule="auto"/>
        <w:tabs>
          <w:tab w:leader="none" w:pos="2144" w:val="left"/>
        </w:tabs>
        <w:numPr>
          <w:ilvl w:val="0"/>
          <w:numId w:val="140"/>
        </w:numPr>
        <w:rPr>
          <w:rFonts w:ascii="Arial" w:cs="Arial" w:eastAsia="Arial" w:hAnsi="Arial"/>
          <w:sz w:val="16"/>
          <w:szCs w:val="16"/>
          <w:color w:val="auto"/>
        </w:rPr>
      </w:pPr>
      <w:r>
        <w:rPr>
          <w:rFonts w:ascii="Arial" w:cs="Arial" w:eastAsia="Arial" w:hAnsi="Arial"/>
          <w:sz w:val="19"/>
          <w:szCs w:val="19"/>
          <w:color w:val="auto"/>
        </w:rPr>
        <w:t>To the extent permitted by applicable law, neither Parent nor the Borrower shall assert, and each of Parent and the Borrower hereby waives, any claim against any Indemnitee, on any theory of liability, for special, indirect, consequential or punitive damages (as opposed to actual or direct damages) arising out of, in connection with or as a result of this Agreement, any other Loan Document or any agreement or instrument contemplated hereby, the transactions contemplated therein, any Loan or any Letter of Credit or the use of proceeds thereof.</w:t>
      </w:r>
    </w:p>
    <w:p>
      <w:pPr>
        <w:spacing w:after="0" w:line="187" w:lineRule="exact"/>
        <w:rPr>
          <w:rFonts w:ascii="Arial" w:cs="Arial" w:eastAsia="Arial" w:hAnsi="Arial"/>
          <w:sz w:val="16"/>
          <w:szCs w:val="16"/>
          <w:color w:val="auto"/>
        </w:rPr>
      </w:pPr>
    </w:p>
    <w:p>
      <w:pPr>
        <w:ind w:left="2120" w:hanging="827"/>
        <w:spacing w:after="0"/>
        <w:tabs>
          <w:tab w:leader="none" w:pos="2120" w:val="left"/>
        </w:tabs>
        <w:numPr>
          <w:ilvl w:val="0"/>
          <w:numId w:val="140"/>
        </w:numPr>
        <w:rPr>
          <w:rFonts w:ascii="Arial" w:cs="Arial" w:eastAsia="Arial" w:hAnsi="Arial"/>
          <w:sz w:val="17"/>
          <w:szCs w:val="17"/>
          <w:color w:val="auto"/>
        </w:rPr>
      </w:pPr>
      <w:r>
        <w:rPr>
          <w:rFonts w:ascii="Arial" w:cs="Arial" w:eastAsia="Arial" w:hAnsi="Arial"/>
          <w:sz w:val="21"/>
          <w:szCs w:val="21"/>
          <w:color w:val="auto"/>
        </w:rPr>
        <w:t>All amounts due under this Section shall be payable promptly after written demand therefor.</w:t>
      </w:r>
    </w:p>
    <w:p>
      <w:pPr>
        <w:spacing w:after="0" w:line="279"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w:t>
      </w:r>
    </w:p>
    <w:p>
      <w:pPr>
        <w:spacing w:after="0" w:line="266" w:lineRule="exact"/>
        <w:rPr>
          <w:sz w:val="20"/>
          <w:szCs w:val="20"/>
          <w:color w:val="auto"/>
        </w:rPr>
      </w:pPr>
    </w:p>
    <w:p>
      <w:pPr>
        <w:ind w:firstLine="1293"/>
        <w:spacing w:after="0" w:line="276" w:lineRule="auto"/>
        <w:tabs>
          <w:tab w:leader="none" w:pos="2144" w:val="left"/>
        </w:tabs>
        <w:numPr>
          <w:ilvl w:val="0"/>
          <w:numId w:val="141"/>
        </w:numPr>
        <w:rPr>
          <w:rFonts w:ascii="Arial" w:cs="Arial" w:eastAsia="Arial" w:hAnsi="Arial"/>
          <w:sz w:val="18"/>
          <w:szCs w:val="18"/>
          <w:color w:val="auto"/>
        </w:rPr>
      </w:pPr>
      <w:r>
        <w:rPr>
          <w:rFonts w:ascii="Arial" w:cs="Arial" w:eastAsia="Arial" w:hAnsi="Arial"/>
          <w:sz w:val="22"/>
          <w:szCs w:val="22"/>
          <w:color w:val="auto"/>
        </w:rPr>
        <w:t>The provisions of this Agreement shall be binding upon and inure to the benefit of the parties hereto and their respective successors and assigns permitted hereby, except that neither</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760"/>
          </w:cols>
          <w:pgMar w:left="900" w:top="375" w:right="239" w:bottom="1440" w:gutter="0" w:footer="0" w:header="0"/>
        </w:sectPr>
      </w:pPr>
    </w:p>
    <w:bookmarkStart w:id="143" w:name="page144"/>
    <w:bookmarkEnd w:id="143"/>
    <w:p>
      <w:pPr>
        <w:jc w:val="both"/>
        <w:spacing w:after="0" w:line="258" w:lineRule="auto"/>
        <w:rPr>
          <w:sz w:val="20"/>
          <w:szCs w:val="20"/>
          <w:color w:val="auto"/>
        </w:rPr>
      </w:pPr>
      <w:r>
        <w:rPr>
          <w:rFonts w:ascii="Arial" w:cs="Arial" w:eastAsia="Arial" w:hAnsi="Arial"/>
          <w:sz w:val="21"/>
          <w:szCs w:val="21"/>
          <w:color w:val="auto"/>
        </w:rPr>
        <w:t>Parent nor the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227" w:lineRule="exact"/>
        <w:rPr>
          <w:sz w:val="20"/>
          <w:szCs w:val="20"/>
          <w:color w:val="auto"/>
        </w:rPr>
      </w:pPr>
    </w:p>
    <w:p>
      <w:pPr>
        <w:jc w:val="both"/>
        <w:ind w:firstLine="1293"/>
        <w:spacing w:after="0" w:line="278" w:lineRule="auto"/>
        <w:tabs>
          <w:tab w:leader="none" w:pos="2155" w:val="left"/>
        </w:tabs>
        <w:numPr>
          <w:ilvl w:val="0"/>
          <w:numId w:val="142"/>
        </w:numPr>
        <w:rPr>
          <w:rFonts w:ascii="Arial" w:cs="Arial" w:eastAsia="Arial" w:hAnsi="Arial"/>
          <w:sz w:val="17"/>
          <w:szCs w:val="17"/>
          <w:color w:val="auto"/>
        </w:rPr>
      </w:pPr>
      <w:r>
        <w:rPr>
          <w:rFonts w:ascii="Arial" w:cs="Arial" w:eastAsia="Arial" w:hAnsi="Arial"/>
          <w:sz w:val="21"/>
          <w:szCs w:val="21"/>
          <w:color w:val="auto"/>
        </w:rPr>
        <w:t xml:space="preserve">Any Lender may at any time assign to one or more assignees all or a portion of its rights and obligations under this Agreement (including all or a portion of its Commitments, Loans and other Revolving Credit Exposure at the time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assignment shall be subject to the following conditions:</w:t>
      </w:r>
    </w:p>
    <w:p>
      <w:pPr>
        <w:spacing w:after="0" w:line="200" w:lineRule="exact"/>
        <w:rPr>
          <w:rFonts w:ascii="Arial" w:cs="Arial" w:eastAsia="Arial" w:hAnsi="Arial"/>
          <w:sz w:val="17"/>
          <w:szCs w:val="17"/>
          <w:color w:val="auto"/>
        </w:rPr>
      </w:pPr>
    </w:p>
    <w:p>
      <w:pPr>
        <w:ind w:left="2760" w:hanging="819"/>
        <w:spacing w:after="0"/>
        <w:tabs>
          <w:tab w:leader="none" w:pos="2760" w:val="left"/>
        </w:tabs>
        <w:numPr>
          <w:ilvl w:val="1"/>
          <w:numId w:val="142"/>
        </w:numPr>
        <w:rPr>
          <w:rFonts w:ascii="Arial" w:cs="Arial" w:eastAsia="Arial" w:hAnsi="Arial"/>
          <w:sz w:val="18"/>
          <w:szCs w:val="18"/>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74" w:lineRule="exact"/>
        <w:rPr>
          <w:sz w:val="20"/>
          <w:szCs w:val="20"/>
          <w:color w:val="auto"/>
        </w:rPr>
      </w:pPr>
    </w:p>
    <w:p>
      <w:pPr>
        <w:jc w:val="both"/>
        <w:ind w:left="640" w:firstLine="1301"/>
        <w:spacing w:after="0" w:line="320" w:lineRule="auto"/>
        <w:tabs>
          <w:tab w:leader="none" w:pos="2835" w:val="left"/>
        </w:tabs>
        <w:numPr>
          <w:ilvl w:val="0"/>
          <w:numId w:val="143"/>
        </w:numPr>
        <w:rPr>
          <w:rFonts w:ascii="Arial" w:cs="Arial" w:eastAsia="Arial" w:hAnsi="Arial"/>
          <w:sz w:val="16"/>
          <w:szCs w:val="16"/>
          <w:color w:val="auto"/>
        </w:rPr>
      </w:pPr>
      <w:r>
        <w:rPr>
          <w:rFonts w:ascii="Arial" w:cs="Arial" w:eastAsia="Arial" w:hAnsi="Arial"/>
          <w:sz w:val="19"/>
          <w:szCs w:val="19"/>
          <w:color w:val="auto"/>
        </w:rPr>
        <w:t>in the case of an assignment of the entire remaining amount of the assigning Lender’s Commitments, Loans and other Revolving Credit Exposure at the time owing to it or in the case of an assignment to a Lender, an Affiliate of a Lender or an Approved Fund, no minimum amount need be assigned; and</w:t>
      </w:r>
    </w:p>
    <w:p>
      <w:pPr>
        <w:spacing w:after="0" w:line="165" w:lineRule="exact"/>
        <w:rPr>
          <w:rFonts w:ascii="Arial" w:cs="Arial" w:eastAsia="Arial" w:hAnsi="Arial"/>
          <w:sz w:val="16"/>
          <w:szCs w:val="16"/>
          <w:color w:val="auto"/>
        </w:rPr>
      </w:pPr>
    </w:p>
    <w:p>
      <w:pPr>
        <w:jc w:val="both"/>
        <w:ind w:left="640" w:firstLine="1301"/>
        <w:spacing w:after="0" w:line="260" w:lineRule="auto"/>
        <w:tabs>
          <w:tab w:leader="none" w:pos="2825" w:val="left"/>
        </w:tabs>
        <w:numPr>
          <w:ilvl w:val="0"/>
          <w:numId w:val="143"/>
        </w:numPr>
        <w:rPr>
          <w:rFonts w:ascii="Arial" w:cs="Arial" w:eastAsia="Arial" w:hAnsi="Arial"/>
          <w:sz w:val="17"/>
          <w:szCs w:val="17"/>
          <w:color w:val="auto"/>
        </w:rPr>
      </w:pPr>
      <w:r>
        <w:rPr>
          <w:rFonts w:ascii="Arial" w:cs="Arial" w:eastAsia="Arial" w:hAnsi="Arial"/>
          <w:sz w:val="21"/>
          <w:szCs w:val="21"/>
          <w:color w:val="auto"/>
        </w:rPr>
        <w:t>in any case not described in subsection (b)(i)(A) of this Section, the aggregate amount of the Commitment (which for this purpose includes Loans and Revolving Credit Exposure outstanding thereunder) or, if the applicable Commitment is not then in effect, the principal outstanding balance of the Loans and Revolving Credit Exposure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and in minimum increments of $1,000,000, unless each of the Administrative Agent and, so long as no Event of Default has occurred and is continuing, the Borrower otherwise consents (each such consent not to be unreasonably withheld or delayed).</w:t>
      </w:r>
    </w:p>
    <w:p>
      <w:pPr>
        <w:spacing w:after="0" w:line="225" w:lineRule="exact"/>
        <w:rPr>
          <w:sz w:val="20"/>
          <w:szCs w:val="20"/>
          <w:color w:val="auto"/>
        </w:rPr>
      </w:pPr>
    </w:p>
    <w:p>
      <w:pPr>
        <w:jc w:val="both"/>
        <w:ind w:left="640" w:firstLine="1301"/>
        <w:spacing w:after="0" w:line="251" w:lineRule="auto"/>
        <w:tabs>
          <w:tab w:leader="none" w:pos="2805" w:val="left"/>
        </w:tabs>
        <w:numPr>
          <w:ilvl w:val="0"/>
          <w:numId w:val="144"/>
        </w:numPr>
        <w:rPr>
          <w:rFonts w:ascii="Arial" w:cs="Arial" w:eastAsia="Arial" w:hAnsi="Arial"/>
          <w:sz w:val="18"/>
          <w:szCs w:val="18"/>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shall be made as an assignment of a proportionate part of all the assigning Lender’s rights and obligations under this Agreement with respect to the Loans, other Revolving Credit Exposure or the Commitments assigned, except that this subsection (b)(ii) shall not prohibit any Lender from assigning all or a portion of its rights and obligations among separate Commitments on a non-</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w:t>
      </w:r>
    </w:p>
    <w:p>
      <w:pPr>
        <w:spacing w:after="0" w:line="230" w:lineRule="exact"/>
        <w:rPr>
          <w:rFonts w:ascii="Arial" w:cs="Arial" w:eastAsia="Arial" w:hAnsi="Arial"/>
          <w:sz w:val="18"/>
          <w:szCs w:val="18"/>
          <w:color w:val="auto"/>
        </w:rPr>
      </w:pPr>
    </w:p>
    <w:p>
      <w:pPr>
        <w:ind w:left="640" w:firstLine="1301"/>
        <w:spacing w:after="0" w:line="276" w:lineRule="auto"/>
        <w:tabs>
          <w:tab w:leader="none" w:pos="2855" w:val="left"/>
        </w:tabs>
        <w:numPr>
          <w:ilvl w:val="0"/>
          <w:numId w:val="144"/>
        </w:numPr>
        <w:rPr>
          <w:rFonts w:ascii="Arial" w:cs="Arial" w:eastAsia="Arial" w:hAnsi="Arial"/>
          <w:sz w:val="18"/>
          <w:szCs w:val="18"/>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to the extent required by subsection (b)(i)(B) of this Section and, in addition:</w:t>
      </w:r>
    </w:p>
    <w:p>
      <w:pPr>
        <w:spacing w:after="0" w:line="201" w:lineRule="exact"/>
        <w:rPr>
          <w:sz w:val="20"/>
          <w:szCs w:val="20"/>
          <w:color w:val="auto"/>
        </w:rPr>
      </w:pPr>
    </w:p>
    <w:p>
      <w:pPr>
        <w:jc w:val="both"/>
        <w:ind w:left="640" w:firstLine="1301"/>
        <w:spacing w:after="0" w:line="254" w:lineRule="auto"/>
        <w:tabs>
          <w:tab w:leader="none" w:pos="2835" w:val="left"/>
        </w:tabs>
        <w:numPr>
          <w:ilvl w:val="0"/>
          <w:numId w:val="145"/>
        </w:numPr>
        <w:rPr>
          <w:rFonts w:ascii="Arial" w:cs="Arial" w:eastAsia="Arial" w:hAnsi="Arial"/>
          <w:sz w:val="18"/>
          <w:szCs w:val="18"/>
          <w:color w:val="auto"/>
        </w:rPr>
      </w:pPr>
      <w:r>
        <w:rPr>
          <w:rFonts w:ascii="Arial" w:cs="Arial" w:eastAsia="Arial" w:hAnsi="Arial"/>
          <w:sz w:val="22"/>
          <w:szCs w:val="22"/>
          <w:color w:val="auto"/>
        </w:rPr>
        <w:t>the consent of the Borrower (such consent not to be unreasonably withheld or delayed) shall be required unless (x) an Event of Default has occurred and is continuing at the time of such assignment, or (y) such assignment is to a Revolving Lender, an Affiliate of such Revolving Lender or an Approved Fund of such Revolving Lender;</w:t>
      </w:r>
    </w:p>
    <w:p>
      <w:pPr>
        <w:spacing w:after="0" w:line="200" w:lineRule="exact"/>
        <w:rPr>
          <w:sz w:val="20"/>
          <w:szCs w:val="20"/>
          <w:color w:val="auto"/>
        </w:rPr>
      </w:pPr>
    </w:p>
    <w:p>
      <w:pPr>
        <w:spacing w:after="0" w:line="26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760"/>
          </w:cols>
          <w:pgMar w:left="900" w:top="375" w:right="239" w:bottom="1440" w:gutter="0" w:footer="0" w:header="0"/>
        </w:sectPr>
      </w:pPr>
    </w:p>
    <w:bookmarkStart w:id="144" w:name="page145"/>
    <w:bookmarkEnd w:id="144"/>
    <w:p>
      <w:pPr>
        <w:jc w:val="both"/>
        <w:ind w:left="100" w:firstLine="1301"/>
        <w:spacing w:after="0" w:line="250" w:lineRule="auto"/>
        <w:tabs>
          <w:tab w:leader="none" w:pos="2285" w:val="left"/>
        </w:tabs>
        <w:numPr>
          <w:ilvl w:val="0"/>
          <w:numId w:val="146"/>
        </w:numPr>
        <w:rPr>
          <w:rFonts w:ascii="Arial" w:cs="Arial" w:eastAsia="Arial" w:hAnsi="Arial"/>
          <w:sz w:val="18"/>
          <w:szCs w:val="18"/>
          <w:color w:val="auto"/>
        </w:rPr>
      </w:pPr>
      <w:r>
        <w:rPr>
          <w:rFonts w:ascii="Arial" w:cs="Arial" w:eastAsia="Arial" w:hAnsi="Arial"/>
          <w:sz w:val="22"/>
          <w:szCs w:val="22"/>
          <w:color w:val="auto"/>
        </w:rPr>
        <w:t>the consent of the Administrative Agent (such consent not to be unreasonably withheld or delayed) shall be required unless such assignment is (x) an assignment of all or any portion of the Revolving Commitment, Revolving Loans, or other Revolving Credit Exposure to a Revolving Lender or an Affiliate of a Revolving Lender (provided that such Affiliate shall be of substantially the same credit quality as the assignor Revolving Lender) or (y) an assignment of all or any portion of the Incremental Term Loans to a Lender, an Affiliate of a Lender, or an Approved Fund of a Lender; and</w:t>
      </w:r>
    </w:p>
    <w:p>
      <w:pPr>
        <w:spacing w:after="0" w:line="228" w:lineRule="exact"/>
        <w:rPr>
          <w:rFonts w:ascii="Arial" w:cs="Arial" w:eastAsia="Arial" w:hAnsi="Arial"/>
          <w:sz w:val="18"/>
          <w:szCs w:val="18"/>
          <w:color w:val="auto"/>
        </w:rPr>
      </w:pPr>
    </w:p>
    <w:p>
      <w:pPr>
        <w:jc w:val="both"/>
        <w:ind w:left="100" w:firstLine="1301"/>
        <w:spacing w:after="0" w:line="251" w:lineRule="auto"/>
        <w:tabs>
          <w:tab w:leader="none" w:pos="2285" w:val="left"/>
        </w:tabs>
        <w:numPr>
          <w:ilvl w:val="0"/>
          <w:numId w:val="146"/>
        </w:numPr>
        <w:rPr>
          <w:rFonts w:ascii="Arial" w:cs="Arial" w:eastAsia="Arial" w:hAnsi="Arial"/>
          <w:sz w:val="18"/>
          <w:szCs w:val="18"/>
          <w:color w:val="auto"/>
        </w:rPr>
      </w:pPr>
      <w:r>
        <w:rPr>
          <w:rFonts w:ascii="Arial" w:cs="Arial" w:eastAsia="Arial" w:hAnsi="Arial"/>
          <w:sz w:val="22"/>
          <w:szCs w:val="22"/>
          <w:color w:val="auto"/>
        </w:rPr>
        <w:t>the consent of the Issuing Bank (such consent not to be unreasonably withheld or delayed) shall be required for any assignment that increases the obligation of the assignee to participate in exposure under one or more Letters of Credit (whether or not then outstanding), and the consent of the Swingline Lender (such consent not to be unreasonably withheld or delayed) shall be required for any assignment in respect of the Revolving Commitments.</w:t>
      </w:r>
    </w:p>
    <w:p>
      <w:pPr>
        <w:spacing w:after="0" w:line="230" w:lineRule="exact"/>
        <w:rPr>
          <w:sz w:val="20"/>
          <w:szCs w:val="20"/>
          <w:color w:val="auto"/>
        </w:rPr>
      </w:pPr>
    </w:p>
    <w:p>
      <w:pPr>
        <w:jc w:val="both"/>
        <w:ind w:left="100" w:firstLine="1301"/>
        <w:spacing w:after="0" w:line="254" w:lineRule="auto"/>
        <w:tabs>
          <w:tab w:leader="none" w:pos="2304" w:val="left"/>
        </w:tabs>
        <w:numPr>
          <w:ilvl w:val="1"/>
          <w:numId w:val="147"/>
        </w:numPr>
        <w:rPr>
          <w:rFonts w:ascii="Arial" w:cs="Arial" w:eastAsia="Arial" w:hAnsi="Arial"/>
          <w:sz w:val="18"/>
          <w:szCs w:val="18"/>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parties to each assignment shall deliver to the Administrative Agent (A) a duly executed Assignment and Assumption, (B) a processing and recordation fee of $3,500, (C) an Administrative Questionnaire unless the assignee is already a Lender and (D) the documents required under </w:t>
      </w:r>
      <w:r>
        <w:rPr>
          <w:rFonts w:ascii="Arial" w:cs="Arial" w:eastAsia="Arial" w:hAnsi="Arial"/>
          <w:sz w:val="22"/>
          <w:szCs w:val="22"/>
          <w:u w:val="single" w:color="auto"/>
          <w:color w:val="auto"/>
        </w:rPr>
        <w:t>Section 2.20(e)</w:t>
      </w:r>
      <w:r>
        <w:rPr>
          <w:rFonts w:ascii="Arial" w:cs="Arial" w:eastAsia="Arial" w:hAnsi="Arial"/>
          <w:sz w:val="22"/>
          <w:szCs w:val="22"/>
          <w:color w:val="auto"/>
        </w:rPr>
        <w:t>.</w:t>
      </w:r>
    </w:p>
    <w:p>
      <w:pPr>
        <w:spacing w:after="0" w:line="225" w:lineRule="exact"/>
        <w:rPr>
          <w:rFonts w:ascii="Arial" w:cs="Arial" w:eastAsia="Arial" w:hAnsi="Arial"/>
          <w:sz w:val="18"/>
          <w:szCs w:val="18"/>
          <w:color w:val="auto"/>
        </w:rPr>
      </w:pPr>
    </w:p>
    <w:p>
      <w:pPr>
        <w:jc w:val="both"/>
        <w:ind w:left="100" w:firstLine="1301"/>
        <w:spacing w:after="0" w:line="293" w:lineRule="auto"/>
        <w:tabs>
          <w:tab w:leader="none" w:pos="2254" w:val="left"/>
        </w:tabs>
        <w:numPr>
          <w:ilvl w:val="1"/>
          <w:numId w:val="147"/>
        </w:numPr>
        <w:rPr>
          <w:rFonts w:ascii="Arial" w:cs="Arial" w:eastAsia="Arial" w:hAnsi="Arial"/>
          <w:sz w:val="16"/>
          <w:szCs w:val="16"/>
          <w:color w:val="auto"/>
        </w:rPr>
      </w:pPr>
      <w:r>
        <w:rPr>
          <w:rFonts w:ascii="Arial" w:cs="Arial" w:eastAsia="Arial" w:hAnsi="Arial"/>
          <w:sz w:val="19"/>
          <w:szCs w:val="19"/>
          <w:u w:val="single" w:color="auto"/>
          <w:color w:val="auto"/>
        </w:rPr>
        <w:t>No Assignment to the certain Persons</w:t>
      </w:r>
      <w:r>
        <w:rPr>
          <w:rFonts w:ascii="Arial" w:cs="Arial" w:eastAsia="Arial" w:hAnsi="Arial"/>
          <w:sz w:val="19"/>
          <w:szCs w:val="19"/>
          <w:color w:val="auto"/>
        </w:rPr>
        <w:t>. No such assignment shall be made to (A) Parent or any of Parent’ Affiliates or Subsidiaries, (B) to any Defaulting Lender or any of its Subsidiaries, or any Person who, upon becoming a Lender hereunder, would constitute any of the foregoing Persons described in this clause (B) or</w:t>
      </w:r>
    </w:p>
    <w:p>
      <w:pPr>
        <w:spacing w:after="0" w:line="1" w:lineRule="exact"/>
        <w:rPr>
          <w:rFonts w:ascii="Arial" w:cs="Arial" w:eastAsia="Arial" w:hAnsi="Arial"/>
          <w:sz w:val="16"/>
          <w:szCs w:val="16"/>
          <w:color w:val="auto"/>
        </w:rPr>
      </w:pPr>
    </w:p>
    <w:p>
      <w:pPr>
        <w:jc w:val="both"/>
        <w:ind w:left="100" w:firstLine="5"/>
        <w:spacing w:after="0" w:line="262" w:lineRule="auto"/>
        <w:tabs>
          <w:tab w:leader="none" w:pos="45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so long as no Event of Default is in existence, any Disqualified Institution. Upon the request of any Lender, the Administrative Agent shall provide to such Lender the current list of Disqualified Institutions provided by the Borrower pursuant to the terms of the definitions of “Competitor” and “Disqualified Lender.”</w:t>
      </w:r>
    </w:p>
    <w:p>
      <w:pPr>
        <w:spacing w:after="0" w:line="217" w:lineRule="exact"/>
        <w:rPr>
          <w:rFonts w:ascii="Arial" w:cs="Arial" w:eastAsia="Arial" w:hAnsi="Arial"/>
          <w:sz w:val="21"/>
          <w:szCs w:val="21"/>
          <w:color w:val="auto"/>
        </w:rPr>
      </w:pPr>
    </w:p>
    <w:p>
      <w:pPr>
        <w:ind w:left="2300" w:hanging="899"/>
        <w:spacing w:after="0"/>
        <w:tabs>
          <w:tab w:leader="none" w:pos="2300" w:val="left"/>
        </w:tabs>
        <w:numPr>
          <w:ilvl w:val="1"/>
          <w:numId w:val="148"/>
        </w:numPr>
        <w:rPr>
          <w:rFonts w:ascii="Arial" w:cs="Arial" w:eastAsia="Arial" w:hAnsi="Arial"/>
          <w:sz w:val="16"/>
          <w:szCs w:val="16"/>
          <w:color w:val="auto"/>
        </w:rPr>
      </w:pPr>
      <w:r>
        <w:rPr>
          <w:rFonts w:ascii="Arial" w:cs="Arial" w:eastAsia="Arial" w:hAnsi="Arial"/>
          <w:sz w:val="19"/>
          <w:szCs w:val="19"/>
          <w:u w:val="single" w:color="auto"/>
          <w:color w:val="auto"/>
        </w:rPr>
        <w:t>No Assignment to Natural Persons</w:t>
      </w:r>
      <w:r>
        <w:rPr>
          <w:rFonts w:ascii="Arial" w:cs="Arial" w:eastAsia="Arial" w:hAnsi="Arial"/>
          <w:sz w:val="19"/>
          <w:szCs w:val="19"/>
          <w:color w:val="auto"/>
        </w:rPr>
        <w:t>. No such assignment shall be made to a natural person.</w:t>
      </w:r>
    </w:p>
    <w:p>
      <w:pPr>
        <w:spacing w:after="0" w:line="308" w:lineRule="exact"/>
        <w:rPr>
          <w:rFonts w:ascii="Arial" w:cs="Arial" w:eastAsia="Arial" w:hAnsi="Arial"/>
          <w:sz w:val="16"/>
          <w:szCs w:val="16"/>
          <w:color w:val="auto"/>
        </w:rPr>
      </w:pPr>
    </w:p>
    <w:p>
      <w:pPr>
        <w:jc w:val="both"/>
        <w:ind w:left="100" w:firstLine="1301"/>
        <w:spacing w:after="0" w:line="287" w:lineRule="auto"/>
        <w:tabs>
          <w:tab w:leader="none" w:pos="2354" w:val="left"/>
        </w:tabs>
        <w:numPr>
          <w:ilvl w:val="1"/>
          <w:numId w:val="148"/>
        </w:numPr>
        <w:rPr>
          <w:rFonts w:ascii="Arial" w:cs="Arial" w:eastAsia="Arial" w:hAnsi="Arial"/>
          <w:sz w:val="16"/>
          <w:szCs w:val="16"/>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Bank, the Swingline Lender and each other Lender hereunder (and interest accrued thereon), and (y) acquire (and fund as appropriate) its full pro rata share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20"/>
          </w:cols>
          <w:pgMar w:left="1440" w:top="375" w:right="239" w:bottom="1440" w:gutter="0" w:footer="0" w:header="0"/>
        </w:sectPr>
      </w:pPr>
    </w:p>
    <w:bookmarkStart w:id="145" w:name="page146"/>
    <w:bookmarkEnd w:id="145"/>
    <w:p>
      <w:pPr>
        <w:jc w:val="both"/>
        <w:spacing w:after="0" w:line="286"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If the consent of the Borrower to an assignment is required 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notice thereof has actually been delivered by the assigning Lender (through the Administrative Agent) to the Borrower.</w:t>
      </w:r>
    </w:p>
    <w:p>
      <w:pPr>
        <w:spacing w:after="0" w:line="200" w:lineRule="exact"/>
        <w:rPr>
          <w:sz w:val="20"/>
          <w:szCs w:val="20"/>
          <w:color w:val="auto"/>
        </w:rPr>
      </w:pP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Administrative Agent, acting solely for this purpose as an agent of the Borrower, shall maintain at one of its offices in Atlanta, Georgia a copy of each Assignment and Assumption delivered to it and a register for the recordation of the names and addresses of the Lenders, and the Commitments of, and principal amount of the Loans and Revolving Credit Exposure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solely for tax purposes and solely with respect to the actions described in this Section, and the Borrower hereby agrees that, to the extent SunTrust Bank serves in such capacity, SunTrust Bank and its officers, directors, employees, agents, sub-agents and affiliates shall constitute “Indemnitees”.</w:t>
      </w:r>
    </w:p>
    <w:p>
      <w:pPr>
        <w:spacing w:after="0" w:line="160" w:lineRule="exact"/>
        <w:rPr>
          <w:sz w:val="20"/>
          <w:szCs w:val="20"/>
          <w:color w:val="auto"/>
        </w:rPr>
      </w:pPr>
    </w:p>
    <w:p>
      <w:pPr>
        <w:jc w:val="both"/>
        <w:ind w:left="660" w:firstLine="1293"/>
        <w:spacing w:after="0" w:line="292" w:lineRule="auto"/>
        <w:tabs>
          <w:tab w:leader="none" w:pos="2804" w:val="left"/>
        </w:tabs>
        <w:numPr>
          <w:ilvl w:val="0"/>
          <w:numId w:val="149"/>
        </w:numPr>
        <w:rPr>
          <w:rFonts w:ascii="Arial" w:cs="Arial" w:eastAsia="Arial" w:hAnsi="Arial"/>
          <w:sz w:val="16"/>
          <w:szCs w:val="16"/>
          <w:color w:val="auto"/>
        </w:rPr>
      </w:pPr>
      <w:r>
        <w:rPr>
          <w:rFonts w:ascii="Arial" w:cs="Arial" w:eastAsia="Arial" w:hAnsi="Arial"/>
          <w:sz w:val="19"/>
          <w:szCs w:val="19"/>
          <w:color w:val="auto"/>
        </w:rPr>
        <w:t>Any Lender may at any time, without the consent of, or notice to, Parent, the Borrower, the Administrative Agent, the Swingline Lender or the Issuing Bank, sell participations to any Person (other than a natural person, Parent or any of Parent’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the Swingline Lender and the other Lenders shall continue to deal solely and directly with such Lender in connection with such Lender’s rights and obligations under this Agreement.</w:t>
      </w:r>
    </w:p>
    <w:p>
      <w:pPr>
        <w:spacing w:after="0" w:line="19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agreement or instrument may provide that such Lender will not, without the consent of the Participant, agree to any amendment, modification or waiver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75" w:right="239" w:bottom="1440" w:gutter="0" w:footer="0" w:header="0"/>
        </w:sectPr>
      </w:pPr>
    </w:p>
    <w:bookmarkStart w:id="146" w:name="page147"/>
    <w:bookmarkEnd w:id="146"/>
    <w:p>
      <w:pPr>
        <w:jc w:val="both"/>
        <w:spacing w:after="0" w:line="291" w:lineRule="auto"/>
        <w:rPr>
          <w:sz w:val="20"/>
          <w:szCs w:val="20"/>
          <w:color w:val="auto"/>
        </w:rPr>
      </w:pPr>
      <w:r>
        <w:rPr>
          <w:rFonts w:ascii="Arial" w:cs="Arial" w:eastAsia="Arial" w:hAnsi="Arial"/>
          <w:sz w:val="19"/>
          <w:szCs w:val="19"/>
          <w:color w:val="auto"/>
        </w:rPr>
        <w:t>with respect to the following to the extent affecting such Participant: (i) increase the Commitment of such Lender; (ii) reduce the principal amount of any Loan or LC Disbursement or reduce the rate of interest thereon, or reduce any fees payable hereunder;</w:t>
      </w:r>
    </w:p>
    <w:p>
      <w:pPr>
        <w:spacing w:after="0" w:line="1" w:lineRule="exact"/>
        <w:rPr>
          <w:sz w:val="20"/>
          <w:szCs w:val="20"/>
          <w:color w:val="auto"/>
        </w:rPr>
      </w:pPr>
    </w:p>
    <w:p>
      <w:pPr>
        <w:jc w:val="both"/>
        <w:ind w:firstLine="8"/>
        <w:spacing w:after="0" w:line="281" w:lineRule="auto"/>
        <w:tabs>
          <w:tab w:leader="none" w:pos="41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postpone the date fixed for any payment of any principal of, or interest on, any Loan or LC Disbursement or any fees hereunder or reduce the amount of, waive or excuse any such payment, or postpone the scheduled date for the termination or reduction of any Commitment; (iv) change </w:t>
      </w:r>
      <w:r>
        <w:rPr>
          <w:rFonts w:ascii="Arial" w:cs="Arial" w:eastAsia="Arial" w:hAnsi="Arial"/>
          <w:sz w:val="19"/>
          <w:szCs w:val="19"/>
          <w:u w:val="single" w:color="auto"/>
          <w:color w:val="auto"/>
        </w:rPr>
        <w:t>Section 2.21(b)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in a manner that would alter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sharing of payments required thereby; (v) change any of the provisions of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or the definition of “Required Lenders” or “Required Revolving Lenders” or any other provision hereof specifying the number or percentage of Lenders which are required to waive, amend or modify any rights hereunder or make any determination or grant any consent hereunder; (vi) release all or substantially all of the guarantors, or limit the liability of such guarantors, under any guaranty agreement guaranteeing any of the Obligations; or</w:t>
      </w:r>
    </w:p>
    <w:p>
      <w:pPr>
        <w:spacing w:after="0" w:line="5" w:lineRule="exact"/>
        <w:rPr>
          <w:rFonts w:ascii="Arial" w:cs="Arial" w:eastAsia="Arial" w:hAnsi="Arial"/>
          <w:sz w:val="19"/>
          <w:szCs w:val="19"/>
          <w:color w:val="auto"/>
        </w:rPr>
      </w:pPr>
    </w:p>
    <w:p>
      <w:pPr>
        <w:jc w:val="both"/>
        <w:ind w:firstLine="8"/>
        <w:spacing w:after="0" w:line="244" w:lineRule="auto"/>
        <w:tabs>
          <w:tab w:leader="none" w:pos="43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release all or substantially all collateral (if any) securing any of the Obligations. Subject to subsection (e) of this Section, the Borrower agrees that each Participant shall be entitled to the benefits of </w:t>
      </w:r>
      <w:r>
        <w:rPr>
          <w:rFonts w:ascii="Arial" w:cs="Arial" w:eastAsia="Arial" w:hAnsi="Arial"/>
          <w:sz w:val="22"/>
          <w:szCs w:val="22"/>
          <w:u w:val="single" w:color="auto"/>
          <w:color w:val="auto"/>
        </w:rPr>
        <w:t>Sections 2.18</w:t>
      </w:r>
      <w:r>
        <w:rPr>
          <w:rFonts w:ascii="Arial" w:cs="Arial" w:eastAsia="Arial" w:hAnsi="Arial"/>
          <w:sz w:val="22"/>
          <w:szCs w:val="22"/>
          <w:color w:val="auto"/>
        </w:rPr>
        <w:t xml:space="preserve">, </w:t>
      </w:r>
      <w:r>
        <w:rPr>
          <w:rFonts w:ascii="Arial" w:cs="Arial" w:eastAsia="Arial" w:hAnsi="Arial"/>
          <w:sz w:val="22"/>
          <w:szCs w:val="22"/>
          <w:u w:val="single" w:color="auto"/>
          <w:color w:val="auto"/>
        </w:rPr>
        <w:t>2.19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2.20</w:t>
      </w:r>
      <w:r>
        <w:rPr>
          <w:rFonts w:ascii="Arial" w:cs="Arial" w:eastAsia="Arial" w:hAnsi="Arial"/>
          <w:sz w:val="22"/>
          <w:szCs w:val="22"/>
          <w:color w:val="auto"/>
        </w:rPr>
        <w:t xml:space="preserve"> to the same extent as if it were a Lender and had acquired its interest by assignment pursuant to subsection (b) of this Section;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Participant agrees to be subject to </w:t>
      </w:r>
      <w:r>
        <w:rPr>
          <w:rFonts w:ascii="Arial" w:cs="Arial" w:eastAsia="Arial" w:hAnsi="Arial"/>
          <w:sz w:val="22"/>
          <w:szCs w:val="22"/>
          <w:u w:val="single" w:color="auto"/>
          <w:color w:val="auto"/>
        </w:rPr>
        <w:t>Section 2.24</w:t>
      </w:r>
      <w:r>
        <w:rPr>
          <w:rFonts w:ascii="Arial" w:cs="Arial" w:eastAsia="Arial" w:hAnsi="Arial"/>
          <w:sz w:val="22"/>
          <w:szCs w:val="22"/>
          <w:color w:val="auto"/>
        </w:rPr>
        <w:t xml:space="preserve"> as though it were a Lender. To the extent permitted by law, each Participant also shall be entitled to the benefits of </w:t>
      </w:r>
      <w:r>
        <w:rPr>
          <w:rFonts w:ascii="Arial" w:cs="Arial" w:eastAsia="Arial" w:hAnsi="Arial"/>
          <w:sz w:val="22"/>
          <w:szCs w:val="22"/>
          <w:u w:val="single" w:color="auto"/>
          <w:color w:val="auto"/>
        </w:rPr>
        <w:t>Section 10.7</w:t>
      </w:r>
      <w:r>
        <w:rPr>
          <w:rFonts w:ascii="Arial" w:cs="Arial" w:eastAsia="Arial" w:hAnsi="Arial"/>
          <w:sz w:val="22"/>
          <w:szCs w:val="22"/>
          <w:color w:val="auto"/>
        </w:rPr>
        <w:t xml:space="preserve"> as though it were a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Participant agrees to be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2.21</w:t>
      </w:r>
      <w:r>
        <w:rPr>
          <w:rFonts w:ascii="Arial" w:cs="Arial" w:eastAsia="Arial" w:hAnsi="Arial"/>
          <w:sz w:val="22"/>
          <w:szCs w:val="22"/>
          <w:color w:val="auto"/>
        </w:rPr>
        <w:t xml:space="preserve"> as though it were a Lender.</w:t>
      </w:r>
    </w:p>
    <w:p>
      <w:pPr>
        <w:spacing w:after="0" w:line="19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Each Lender that sells a participation shall, acting solely for this purpose as an agent of the Borrower, maintain a register in the United States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Borrower and the Administrative Agent shall have inspection rights to such Participant Register (upon reasonable prior notice to the applicable Lender) solely for purposes of demonstrating that such Loans or other obligations under the Loan Documents are in “registered form” for purposes of the Code.</w:t>
      </w:r>
    </w:p>
    <w:p>
      <w:pPr>
        <w:spacing w:after="0" w:line="157" w:lineRule="exact"/>
        <w:rPr>
          <w:sz w:val="20"/>
          <w:szCs w:val="20"/>
          <w:color w:val="auto"/>
        </w:rPr>
      </w:pPr>
    </w:p>
    <w:p>
      <w:pPr>
        <w:jc w:val="both"/>
        <w:ind w:left="660" w:firstLine="1293"/>
        <w:spacing w:after="0" w:line="300" w:lineRule="auto"/>
        <w:tabs>
          <w:tab w:leader="none" w:pos="2815" w:val="left"/>
        </w:tabs>
        <w:numPr>
          <w:ilvl w:val="0"/>
          <w:numId w:val="152"/>
        </w:numPr>
        <w:rPr>
          <w:rFonts w:ascii="Arial" w:cs="Arial" w:eastAsia="Arial" w:hAnsi="Arial"/>
          <w:sz w:val="16"/>
          <w:szCs w:val="16"/>
          <w:color w:val="auto"/>
        </w:rPr>
      </w:pPr>
      <w:r>
        <w:rPr>
          <w:rFonts w:ascii="Arial" w:cs="Arial" w:eastAsia="Arial" w:hAnsi="Arial"/>
          <w:sz w:val="19"/>
          <w:szCs w:val="19"/>
          <w:color w:val="auto"/>
        </w:rPr>
        <w:t xml:space="preserve">A Participant shall not be entitled to receive any greater payment under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unless the Borrower is notified of the participation sold to such Participant and such Participant agrees, for the benefit of the Borrower, to comply with </w:t>
      </w:r>
      <w:r>
        <w:rPr>
          <w:rFonts w:ascii="Arial" w:cs="Arial" w:eastAsia="Arial" w:hAnsi="Arial"/>
          <w:sz w:val="19"/>
          <w:szCs w:val="19"/>
          <w:u w:val="single" w:color="auto"/>
          <w:color w:val="auto"/>
        </w:rPr>
        <w:t>Section 2.20(e)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as though it were a Lender.</w:t>
      </w:r>
    </w:p>
    <w:p>
      <w:pPr>
        <w:spacing w:after="0" w:line="187" w:lineRule="exact"/>
        <w:rPr>
          <w:rFonts w:ascii="Arial" w:cs="Arial" w:eastAsia="Arial" w:hAnsi="Arial"/>
          <w:sz w:val="16"/>
          <w:szCs w:val="16"/>
          <w:color w:val="auto"/>
        </w:rPr>
      </w:pPr>
    </w:p>
    <w:p>
      <w:pPr>
        <w:jc w:val="both"/>
        <w:ind w:left="660" w:firstLine="1293"/>
        <w:spacing w:after="0" w:line="307" w:lineRule="auto"/>
        <w:tabs>
          <w:tab w:leader="none" w:pos="2804" w:val="left"/>
        </w:tabs>
        <w:numPr>
          <w:ilvl w:val="0"/>
          <w:numId w:val="152"/>
        </w:numPr>
        <w:rPr>
          <w:rFonts w:ascii="Arial" w:cs="Arial" w:eastAsia="Arial" w:hAnsi="Arial"/>
          <w:sz w:val="16"/>
          <w:szCs w:val="16"/>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3"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b w:val="1"/>
          <w:bCs w:val="1"/>
          <w:u w:val="single" w:color="auto"/>
          <w:color w:val="auto"/>
        </w:rPr>
        <w:t>Governing Law; Jurisdiction; Consent to Service of Process</w:t>
      </w:r>
      <w:r>
        <w:rPr>
          <w:rFonts w:ascii="Arial" w:cs="Arial" w:eastAsia="Arial" w:hAnsi="Arial"/>
          <w:sz w:val="19"/>
          <w:szCs w:val="19"/>
          <w:color w:val="auto"/>
        </w:rPr>
        <w:t>.</w:t>
      </w:r>
    </w:p>
    <w:p>
      <w:pPr>
        <w:spacing w:after="0" w:line="266" w:lineRule="exact"/>
        <w:rPr>
          <w:sz w:val="20"/>
          <w:szCs w:val="20"/>
          <w:color w:val="auto"/>
        </w:rPr>
      </w:pPr>
    </w:p>
    <w:p>
      <w:pPr>
        <w:jc w:val="both"/>
        <w:ind w:left="660" w:firstLine="1293"/>
        <w:spacing w:after="0" w:line="251" w:lineRule="auto"/>
        <w:tabs>
          <w:tab w:leader="none" w:pos="2804" w:val="left"/>
        </w:tabs>
        <w:numPr>
          <w:ilvl w:val="0"/>
          <w:numId w:val="153"/>
        </w:numPr>
        <w:rPr>
          <w:rFonts w:ascii="Arial" w:cs="Arial" w:eastAsia="Arial" w:hAnsi="Arial"/>
          <w:sz w:val="18"/>
          <w:szCs w:val="18"/>
          <w:color w:val="auto"/>
        </w:rPr>
      </w:pPr>
      <w:r>
        <w:rPr>
          <w:rFonts w:ascii="Arial" w:cs="Arial" w:eastAsia="Arial" w:hAnsi="Arial"/>
          <w:sz w:val="22"/>
          <w:szCs w:val="22"/>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of the State of New York.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75" w:right="239" w:bottom="1440" w:gutter="0" w:footer="0" w:header="0"/>
        </w:sectPr>
      </w:pPr>
    </w:p>
    <w:bookmarkStart w:id="147" w:name="page148"/>
    <w:bookmarkEnd w:id="147"/>
    <w:p>
      <w:pPr>
        <w:jc w:val="both"/>
        <w:ind w:left="660" w:firstLine="1293"/>
        <w:spacing w:after="0" w:line="288" w:lineRule="auto"/>
        <w:tabs>
          <w:tab w:leader="none" w:pos="2815" w:val="left"/>
        </w:tabs>
        <w:numPr>
          <w:ilvl w:val="0"/>
          <w:numId w:val="154"/>
        </w:numPr>
        <w:rPr>
          <w:rFonts w:ascii="Arial" w:cs="Arial" w:eastAsia="Arial" w:hAnsi="Arial"/>
          <w:sz w:val="16"/>
          <w:szCs w:val="16"/>
          <w:color w:val="auto"/>
        </w:rPr>
      </w:pPr>
      <w:r>
        <w:rPr>
          <w:rFonts w:ascii="Arial" w:cs="Arial" w:eastAsia="Arial" w:hAnsi="Arial"/>
          <w:sz w:val="19"/>
          <w:szCs w:val="19"/>
          <w:color w:val="auto"/>
        </w:rPr>
        <w:t>Each of Parent and the Borrower hereby irrevocably and unconditionally submits, for itself and its property, to the exclusive jurisdiction of the United States District Court for the Southern District of New York, and of the Supreme Court of the State of New York sitting in New York County,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such New York state court,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Parent, the Borrower or their respective properties in the courts of any jurisdiction.</w:t>
      </w:r>
    </w:p>
    <w:p>
      <w:pPr>
        <w:spacing w:after="0" w:line="203" w:lineRule="exact"/>
        <w:rPr>
          <w:rFonts w:ascii="Arial" w:cs="Arial" w:eastAsia="Arial" w:hAnsi="Arial"/>
          <w:sz w:val="16"/>
          <w:szCs w:val="16"/>
          <w:color w:val="auto"/>
        </w:rPr>
      </w:pPr>
    </w:p>
    <w:p>
      <w:pPr>
        <w:jc w:val="both"/>
        <w:ind w:left="660" w:firstLine="1293"/>
        <w:spacing w:after="0" w:line="251" w:lineRule="auto"/>
        <w:tabs>
          <w:tab w:leader="none" w:pos="2804" w:val="left"/>
        </w:tabs>
        <w:numPr>
          <w:ilvl w:val="0"/>
          <w:numId w:val="154"/>
        </w:numPr>
        <w:rPr>
          <w:rFonts w:ascii="Arial" w:cs="Arial" w:eastAsia="Arial" w:hAnsi="Arial"/>
          <w:sz w:val="18"/>
          <w:szCs w:val="18"/>
          <w:color w:val="auto"/>
        </w:rPr>
      </w:pPr>
      <w:r>
        <w:rPr>
          <w:rFonts w:ascii="Arial" w:cs="Arial" w:eastAsia="Arial" w:hAnsi="Arial"/>
          <w:sz w:val="22"/>
          <w:szCs w:val="22"/>
          <w:color w:val="auto"/>
        </w:rPr>
        <w:t>Each of Parent and the Borrower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pacing w:after="0" w:line="230" w:lineRule="exact"/>
        <w:rPr>
          <w:rFonts w:ascii="Arial" w:cs="Arial" w:eastAsia="Arial" w:hAnsi="Arial"/>
          <w:sz w:val="18"/>
          <w:szCs w:val="18"/>
          <w:color w:val="auto"/>
        </w:rPr>
      </w:pPr>
    </w:p>
    <w:p>
      <w:pPr>
        <w:jc w:val="both"/>
        <w:ind w:left="660" w:firstLine="1293"/>
        <w:spacing w:after="0" w:line="260" w:lineRule="auto"/>
        <w:tabs>
          <w:tab w:leader="none" w:pos="2815" w:val="left"/>
        </w:tabs>
        <w:numPr>
          <w:ilvl w:val="0"/>
          <w:numId w:val="154"/>
        </w:numPr>
        <w:rPr>
          <w:rFonts w:ascii="Arial" w:cs="Arial" w:eastAsia="Arial" w:hAnsi="Arial"/>
          <w:sz w:val="18"/>
          <w:szCs w:val="18"/>
          <w:color w:val="auto"/>
        </w:rPr>
      </w:pPr>
      <w:r>
        <w:rPr>
          <w:rFonts w:ascii="Arial" w:cs="Arial" w:eastAsia="Arial" w:hAnsi="Arial"/>
          <w:sz w:val="22"/>
          <w:szCs w:val="22"/>
          <w:color w:val="auto"/>
        </w:rPr>
        <w:t xml:space="preserve">Each party to this Agreement irrevocably consents to the service of process in the manner provided for notices in </w:t>
      </w:r>
      <w:r>
        <w:rPr>
          <w:rFonts w:ascii="Arial" w:cs="Arial" w:eastAsia="Arial" w:hAnsi="Arial"/>
          <w:sz w:val="22"/>
          <w:szCs w:val="22"/>
          <w:u w:val="single" w:color="auto"/>
          <w:color w:val="auto"/>
        </w:rPr>
        <w:t>Section 10.1</w:t>
      </w:r>
      <w:r>
        <w:rPr>
          <w:rFonts w:ascii="Arial" w:cs="Arial" w:eastAsia="Arial" w:hAnsi="Arial"/>
          <w:sz w:val="22"/>
          <w:szCs w:val="22"/>
          <w:color w:val="auto"/>
        </w:rPr>
        <w:t>. Nothing in this Agreement or in any other Loan Document will affect the right of any party hereto to serve process in any other manner permitted by law.</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 xml:space="preserve">Section 10.6 </w:t>
      </w:r>
      <w:r>
        <w:rPr>
          <w:rFonts w:ascii="Arial" w:cs="Arial" w:eastAsia="Arial" w:hAnsi="Arial"/>
          <w:sz w:val="22"/>
          <w:szCs w:val="22"/>
          <w:b w:val="1"/>
          <w:bCs w:val="1"/>
          <w:u w:val="single" w:color="auto"/>
          <w:color w:val="auto"/>
        </w:rPr>
        <w:t>WAIVER OF JURY TRIAL</w:t>
      </w:r>
      <w:r>
        <w:rPr>
          <w:rFonts w:ascii="Arial" w:cs="Arial" w:eastAsia="Arial" w:hAnsi="Arial"/>
          <w:sz w:val="22"/>
          <w:szCs w:val="22"/>
          <w:color w:val="auto"/>
        </w:rPr>
        <w:t>. EACH PARTY HERETO IRREVOCABLY WAIVES,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3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10.7 </w:t>
      </w:r>
      <w:r>
        <w:rPr>
          <w:rFonts w:ascii="Arial" w:cs="Arial" w:eastAsia="Arial" w:hAnsi="Arial"/>
          <w:sz w:val="19"/>
          <w:szCs w:val="19"/>
          <w:b w:val="1"/>
          <w:bCs w:val="1"/>
          <w:u w:val="single" w:color="auto"/>
          <w:color w:val="auto"/>
        </w:rPr>
        <w:t>Right of Set-off</w:t>
      </w:r>
      <w:r>
        <w:rPr>
          <w:rFonts w:ascii="Arial" w:cs="Arial" w:eastAsia="Arial" w:hAnsi="Arial"/>
          <w:sz w:val="19"/>
          <w:szCs w:val="19"/>
          <w:color w:val="auto"/>
        </w:rPr>
        <w:t>. In addition to any rights now or hereafter granted under applicable law and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way of limitation of any such rights, each Lender and the Issuing Bank shall have the right, at any time or from time to time upon the occurrence and during the continuance of an Event of Default, without prior notice to Parent or the Borrower, any such notice being expressly waived by Parent and the Borrower to the extent permitted by applicable law, to set off and apply against all deposits (general or special, time or demand, provisional or final) of Parent and/or the Borrower at any time held or other obligations at any time owing by such Lender and the Issuing Bank to or for the credit or the account of Parent and/or the Borrower against any and all Obligations held by such Lender or the Issuing Bank, as the case may be, irrespective of whether such Lender or the Issuing Bank shall have made demand hereunder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the Administrative Agent for further application in accordance with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631" w:right="239" w:bottom="1440" w:gutter="0" w:footer="0" w:header="0"/>
        </w:sectPr>
      </w:pPr>
    </w:p>
    <w:bookmarkStart w:id="148" w:name="page149"/>
    <w:bookmarkEnd w:id="148"/>
    <w:p>
      <w:pPr>
        <w:jc w:val="both"/>
        <w:spacing w:after="0" w:line="259" w:lineRule="auto"/>
        <w:rPr>
          <w:sz w:val="20"/>
          <w:szCs w:val="20"/>
          <w:color w:val="auto"/>
        </w:rPr>
      </w:pPr>
      <w:r>
        <w:rPr>
          <w:rFonts w:ascii="Arial" w:cs="Arial" w:eastAsia="Arial" w:hAnsi="Arial"/>
          <w:sz w:val="21"/>
          <w:szCs w:val="21"/>
          <w:color w:val="auto"/>
        </w:rPr>
        <w:t xml:space="preserve">the provisions of </w:t>
      </w:r>
      <w:r>
        <w:rPr>
          <w:rFonts w:ascii="Arial" w:cs="Arial" w:eastAsia="Arial" w:hAnsi="Arial"/>
          <w:sz w:val="21"/>
          <w:szCs w:val="21"/>
          <w:u w:val="single" w:color="auto"/>
          <w:color w:val="auto"/>
        </w:rPr>
        <w:t>Section 2.26(b)</w:t>
      </w:r>
      <w:r>
        <w:rPr>
          <w:rFonts w:ascii="Arial" w:cs="Arial" w:eastAsia="Arial" w:hAnsi="Arial"/>
          <w:sz w:val="21"/>
          <w:szCs w:val="21"/>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Each Lender and the Issuing Bank agrees promptly to notify the Administrative Agent, Parent and the Borrower after any such set-off and any application made by such Lender or the Issuing Bank, as the case may be;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 Each Lender and the Issuing Bank agrees to apply all amounts collected from any such set-off to the Obligations before applying such amounts to any other Indebtedness or other obligations owed by Parent, the Borrower and any of their respective Subsidiaries to such Lender or the Issuing Bank.</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Section 10.8 </w:t>
      </w:r>
      <w:r>
        <w:rPr>
          <w:rFonts w:ascii="Arial" w:cs="Arial" w:eastAsia="Arial" w:hAnsi="Arial"/>
          <w:sz w:val="22"/>
          <w:szCs w:val="22"/>
          <w:b w:val="1"/>
          <w:bCs w:val="1"/>
          <w:u w:val="single" w:color="auto"/>
          <w:color w:val="auto"/>
        </w:rPr>
        <w:t>Counterparts; Integration</w:t>
      </w:r>
      <w:r>
        <w:rPr>
          <w:rFonts w:ascii="Arial" w:cs="Arial" w:eastAsia="Arial" w:hAnsi="Arial"/>
          <w:sz w:val="22"/>
          <w:szCs w:val="22"/>
          <w:color w:val="auto"/>
        </w:rPr>
        <w:t>. This Agreement may be executed by one or more of the parties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on any number of separate counterparts, and all of said counterparts taken together shall be deemed to constitute one and the same instrument. This Agreement, the Fee Letter,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in pdf format shall be as effective as delivery of a manually executed counterpart hereof.</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10.9 </w:t>
      </w:r>
      <w:r>
        <w:rPr>
          <w:rFonts w:ascii="Arial" w:cs="Arial" w:eastAsia="Arial" w:hAnsi="Arial"/>
          <w:sz w:val="21"/>
          <w:szCs w:val="21"/>
          <w:b w:val="1"/>
          <w:bCs w:val="1"/>
          <w:u w:val="single" w:color="auto"/>
          <w:color w:val="auto"/>
        </w:rPr>
        <w:t>Survival</w:t>
      </w:r>
      <w:r>
        <w:rPr>
          <w:rFonts w:ascii="Arial" w:cs="Arial" w:eastAsia="Arial" w:hAnsi="Arial"/>
          <w:sz w:val="21"/>
          <w:szCs w:val="21"/>
          <w:color w:val="auto"/>
        </w:rPr>
        <w:t>. All covenants, agreements, representations and warranties made by Parent and/or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Borrower herein and 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21"/>
          <w:szCs w:val="21"/>
          <w:u w:val="single" w:color="auto"/>
          <w:color w:val="auto"/>
        </w:rPr>
        <w:t>Sections 2.18</w:t>
      </w:r>
      <w:r>
        <w:rPr>
          <w:rFonts w:ascii="Arial" w:cs="Arial" w:eastAsia="Arial" w:hAnsi="Arial"/>
          <w:sz w:val="21"/>
          <w:szCs w:val="21"/>
          <w:color w:val="auto"/>
        </w:rPr>
        <w:t xml:space="preserve">, </w:t>
      </w:r>
      <w:r>
        <w:rPr>
          <w:rFonts w:ascii="Arial" w:cs="Arial" w:eastAsia="Arial" w:hAnsi="Arial"/>
          <w:sz w:val="21"/>
          <w:szCs w:val="21"/>
          <w:u w:val="single" w:color="auto"/>
          <w:color w:val="auto"/>
        </w:rPr>
        <w:t>2.19</w:t>
      </w:r>
      <w:r>
        <w:rPr>
          <w:rFonts w:ascii="Arial" w:cs="Arial" w:eastAsia="Arial" w:hAnsi="Arial"/>
          <w:sz w:val="21"/>
          <w:szCs w:val="21"/>
          <w:color w:val="auto"/>
        </w:rPr>
        <w:t xml:space="preserve">, </w:t>
      </w:r>
      <w:r>
        <w:rPr>
          <w:rFonts w:ascii="Arial" w:cs="Arial" w:eastAsia="Arial" w:hAnsi="Arial"/>
          <w:sz w:val="21"/>
          <w:szCs w:val="21"/>
          <w:u w:val="single" w:color="auto"/>
          <w:color w:val="auto"/>
        </w:rPr>
        <w:t>2.20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10.10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Any provision of this Agreement -or any other Loan Document held to be illegal,</w:t>
      </w:r>
      <w:r>
        <w:rPr>
          <w:rFonts w:ascii="Arial" w:cs="Arial" w:eastAsia="Arial" w:hAnsi="Arial"/>
          <w:sz w:val="22"/>
          <w:szCs w:val="22"/>
          <w:b w:val="1"/>
          <w:bCs w:val="1"/>
          <w:color w:val="auto"/>
        </w:rPr>
        <w:t xml:space="preserve"> </w:t>
      </w:r>
      <w:r>
        <w:rPr>
          <w:rFonts w:ascii="Arial" w:cs="Arial" w:eastAsia="Arial" w:hAnsi="Arial"/>
          <w:sz w:val="22"/>
          <w:szCs w:val="22"/>
          <w:color w:val="auto"/>
        </w:rPr>
        <w:t>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2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10.11 </w:t>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 Each of the Administrative Agent, the Issuing Bank and the Lenders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take normal and reasonable precautions to maintain the confidentiality of any information relating to Parent or any of its Subsidiaries or any of their respective businesses, to the extent designated in writing as confidential and provided to it by Parent or any of its Subsidiaries, other than any such information that is available to the Administrative Agent, the Issuing Bank or any Lender on a non-confidential basis prior to disclosure by Parent or any of its Subsidiaries, except that such information may be disclosed (i) to any Related Party of the Administrative Agent, the Issuing Bank or any such Lender including, without limitation, accountants, legal counsel and other advisors, (ii) to the extent required by applicable laws or regulations or by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75" w:right="239" w:bottom="1440" w:gutter="0" w:footer="0" w:header="0"/>
        </w:sectPr>
      </w:pPr>
    </w:p>
    <w:bookmarkStart w:id="149" w:name="page150"/>
    <w:bookmarkEnd w:id="149"/>
    <w:p>
      <w:pPr>
        <w:jc w:val="both"/>
        <w:spacing w:after="0" w:line="285" w:lineRule="auto"/>
        <w:rPr>
          <w:sz w:val="20"/>
          <w:szCs w:val="20"/>
          <w:color w:val="auto"/>
        </w:rPr>
      </w:pPr>
      <w:r>
        <w:rPr>
          <w:rFonts w:ascii="Arial" w:cs="Arial" w:eastAsia="Arial" w:hAnsi="Arial"/>
          <w:sz w:val="19"/>
          <w:szCs w:val="19"/>
          <w:color w:val="auto"/>
        </w:rPr>
        <w:t>any subpoena or similar legal process, (iii) to the extent requested by any regulatory agency or authority purporting to have jurisdiction over it (including any self-regulatory authority such as the National Association of Insurance Commissioners), (iv) to the extent that such information becomes publicly available other than as a result of a breach of this Section, or which becomes available to the Administrative Agent, the Issuing Bank, any Lender or any Related Party of any of the foregoing on a non-confidential basis from a source other than Parent or any of its Subsidiaries, (v) in connection with the exercise of any remedy hereunder or under any other Loan Documents or any suit, action or proceeding relating to this Agreement or any other Loan Documents or the enforcement of rights hereunder or thereunder, (vi) subject to execution by such Person of an agreement containing provisions substantially the same as those of this Section, to (A) any assignee of or Participant in, or any prospective assignee of or Participant in, any of its rights or obligations under this Agreement, or (B) any actual or prospective party (or its Related Parties) to any swap or derivative or other transaction under which payments are to be made by reference to Parent, the Borrower and their respective obligations, this Agreement or payments hereunder, (vii) to any rating agency, (viii) to the CUSIP Service Bureau or any similar organization, (ix) by the Administrative Agent, the Issuing Bank and the Lenders in connection with marketing, press releases or other transactional announcements or updates provided to investor or trade publications, including, but not limited to, the placement of “tombstone” advertisements in publications of their choice at their own expense, or (x) with the consent of Parent and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Contractual Obligation entered into with any Loan Party (whether or not a Loan Document), the terms of this Section shall govern.</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10.12 </w:t>
      </w:r>
      <w:r>
        <w:rPr>
          <w:rFonts w:ascii="Arial" w:cs="Arial" w:eastAsia="Arial" w:hAnsi="Arial"/>
          <w:sz w:val="21"/>
          <w:szCs w:val="21"/>
          <w:b w:val="1"/>
          <w:bCs w:val="1"/>
          <w:u w:val="single" w:color="auto"/>
          <w:color w:val="auto"/>
        </w:rPr>
        <w:t>Interest Rate Limitation</w:t>
      </w:r>
      <w:r>
        <w:rPr>
          <w:rFonts w:ascii="Arial" w:cs="Arial" w:eastAsia="Arial" w:hAnsi="Arial"/>
          <w:sz w:val="21"/>
          <w:szCs w:val="21"/>
          <w:color w:val="auto"/>
        </w:rPr>
        <w:t>. Notwithstanding anything herein to the contrary, if at any time the</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 rate applicable to any Loan, together with all fees, charges and other amounts which may be treated as interest on such Loan under applicable law (collectively, the “</w:t>
      </w:r>
      <w:r>
        <w:rPr>
          <w:rFonts w:ascii="Arial" w:cs="Arial" w:eastAsia="Arial" w:hAnsi="Arial"/>
          <w:sz w:val="21"/>
          <w:szCs w:val="21"/>
          <w:u w:val="single" w:color="auto"/>
          <w:color w:val="auto"/>
        </w:rPr>
        <w:t>Charges</w:t>
      </w:r>
      <w:r>
        <w:rPr>
          <w:rFonts w:ascii="Arial" w:cs="Arial" w:eastAsia="Arial" w:hAnsi="Arial"/>
          <w:sz w:val="21"/>
          <w:szCs w:val="21"/>
          <w:color w:val="auto"/>
        </w:rPr>
        <w:t>”), shall exceed the maximum lawful rate of interest (the “</w:t>
      </w:r>
      <w:r>
        <w:rPr>
          <w:rFonts w:ascii="Arial" w:cs="Arial" w:eastAsia="Arial" w:hAnsi="Arial"/>
          <w:sz w:val="21"/>
          <w:szCs w:val="21"/>
          <w:u w:val="single" w:color="auto"/>
          <w:color w:val="auto"/>
        </w:rPr>
        <w:t>Maximum Rate</w:t>
      </w:r>
      <w:r>
        <w:rPr>
          <w:rFonts w:ascii="Arial" w:cs="Arial" w:eastAsia="Arial" w:hAnsi="Arial"/>
          <w:sz w:val="21"/>
          <w:szCs w:val="21"/>
          <w:color w:val="auto"/>
        </w:rPr>
        <w:t>”) which may be contracted for, charged, taken, received or reserved by a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(to the extent permitted by applicable law), shall have been received by such Lender.</w:t>
      </w:r>
    </w:p>
    <w:p>
      <w:pPr>
        <w:spacing w:after="0" w:line="21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10.13 </w:t>
      </w:r>
      <w:r>
        <w:rPr>
          <w:rFonts w:ascii="Arial" w:cs="Arial" w:eastAsia="Arial" w:hAnsi="Arial"/>
          <w:sz w:val="22"/>
          <w:szCs w:val="22"/>
          <w:b w:val="1"/>
          <w:bCs w:val="1"/>
          <w:u w:val="single" w:color="auto"/>
          <w:color w:val="auto"/>
        </w:rPr>
        <w:t>Waiver of Effect of Corporate Seal</w:t>
      </w:r>
      <w:r>
        <w:rPr>
          <w:rFonts w:ascii="Arial" w:cs="Arial" w:eastAsia="Arial" w:hAnsi="Arial"/>
          <w:sz w:val="22"/>
          <w:szCs w:val="22"/>
          <w:color w:val="auto"/>
        </w:rPr>
        <w:t>. Each of Parent and the Borrower represents and warrants</w:t>
      </w:r>
      <w:r>
        <w:rPr>
          <w:rFonts w:ascii="Arial" w:cs="Arial" w:eastAsia="Arial" w:hAnsi="Arial"/>
          <w:sz w:val="22"/>
          <w:szCs w:val="22"/>
          <w:b w:val="1"/>
          <w:bCs w:val="1"/>
          <w:color w:val="auto"/>
        </w:rPr>
        <w:t xml:space="preserve"> </w:t>
      </w:r>
      <w:r>
        <w:rPr>
          <w:rFonts w:ascii="Arial" w:cs="Arial" w:eastAsia="Arial" w:hAnsi="Arial"/>
          <w:sz w:val="22"/>
          <w:szCs w:val="22"/>
          <w:color w:val="auto"/>
        </w:rPr>
        <w:t>that neither it nor any other Loan Party is required to affix its corporate seal to this Agreement or any other Loan Document pursuant to any Requirement of Law, agrees that this Agreement is delivered by Parent and the Borrower under seal and waives any shortening of the statute of limitations that may result from not affixing the corporate seal to this Agreement or such other Loan Documents.</w:t>
      </w:r>
    </w:p>
    <w:p>
      <w:pPr>
        <w:spacing w:after="0" w:line="2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Section 10.14 </w:t>
      </w:r>
      <w:r>
        <w:rPr>
          <w:rFonts w:ascii="Arial" w:cs="Arial" w:eastAsia="Arial" w:hAnsi="Arial"/>
          <w:sz w:val="21"/>
          <w:szCs w:val="21"/>
          <w:b w:val="1"/>
          <w:bCs w:val="1"/>
          <w:u w:val="single" w:color="auto"/>
          <w:color w:val="auto"/>
        </w:rPr>
        <w:t>Patriot Act</w:t>
      </w:r>
      <w:r>
        <w:rPr>
          <w:rFonts w:ascii="Arial" w:cs="Arial" w:eastAsia="Arial" w:hAnsi="Arial"/>
          <w:sz w:val="21"/>
          <w:szCs w:val="21"/>
          <w:color w:val="auto"/>
        </w:rPr>
        <w:t>. The Administrative Agent and each Lender hereby notifies the Loan Parties that,</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requirements of the Patriot Act,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w:t>
      </w:r>
    </w:p>
    <w:p>
      <w:pPr>
        <w:spacing w:after="0" w:line="20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Section 10.15 </w:t>
      </w:r>
      <w:r>
        <w:rPr>
          <w:rFonts w:ascii="Arial" w:cs="Arial" w:eastAsia="Arial" w:hAnsi="Arial"/>
          <w:sz w:val="22"/>
          <w:szCs w:val="22"/>
          <w:b w:val="1"/>
          <w:bCs w:val="1"/>
          <w:u w:val="single" w:color="auto"/>
          <w:color w:val="auto"/>
        </w:rPr>
        <w:t>No Advisory or Fiduciary Responsibility</w:t>
      </w:r>
      <w:r>
        <w:rPr>
          <w:rFonts w:ascii="Arial" w:cs="Arial" w:eastAsia="Arial" w:hAnsi="Arial"/>
          <w:sz w:val="22"/>
          <w:szCs w:val="22"/>
          <w:color w:val="auto"/>
        </w:rPr>
        <w:t>. In connection with all aspects of each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hereby (including in connection with any amendment, waiver or other modification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75" w:right="239" w:bottom="1440" w:gutter="0" w:footer="0" w:header="0"/>
        </w:sectPr>
      </w:pPr>
    </w:p>
    <w:bookmarkStart w:id="150" w:name="page151"/>
    <w:bookmarkEnd w:id="150"/>
    <w:p>
      <w:pPr>
        <w:jc w:val="both"/>
        <w:spacing w:after="0" w:line="285" w:lineRule="auto"/>
        <w:rPr>
          <w:sz w:val="20"/>
          <w:szCs w:val="20"/>
          <w:color w:val="auto"/>
        </w:rPr>
      </w:pPr>
      <w:r>
        <w:rPr>
          <w:rFonts w:ascii="Arial" w:cs="Arial" w:eastAsia="Arial" w:hAnsi="Arial"/>
          <w:sz w:val="19"/>
          <w:szCs w:val="19"/>
          <w:color w:val="auto"/>
        </w:rPr>
        <w:t>hereof or of any other Loan Document), each of Parent, the Borrower and each other Loan Party acknowledges and agrees and acknowledges its Affiliates’ understanding that (i) (A) the services regarding this Agreement provided by the Administrative Agent and/or the Lenders are arm’s-length commercial transactions between Parent, the Borrower, each other Loan Party and their respective Affiliates, on the one hand, and the Administrative Agent and the Lenders, on the other hand, (B) each of Parent, the Borrower and the other Loan Parties have consulted their own legal, accounting, regulatory and tax advisors to the extent they have deemed appropriate, and (C) each of Parent, the Borrower and each other Loan Party is capable of evaluating and understanding,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Parent, and (B) neither the Administrative Agent nor any Lender has any obligation to Parent, the Borrower, any other Loan Party or any of their Affiliates with respect to the transaction contemplated hereby except those obligations expressly set forth herein and in the other Loan Documents; and (iii) the Administrative Agent, the Lenders and their respective Affiliates may be engaged in a broad range of transactions that involve interests that differ from those of Parent, the Borrower, the other Loan Parties and their respective Affiliates, and each of the Administrative Agent and the Lenders has no obligation to disclose any of such interests to Parent, the Borrower, any other Loan Party or any of their respective Affiliates. To the fullest extent permitted by law, each of Parent, the Borrower and the other Loan Parties hereby waives and releases any claims that it may have against the Administrative Agent or any Lender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10.16 </w:t>
      </w:r>
      <w:r>
        <w:rPr>
          <w:rFonts w:ascii="Arial" w:cs="Arial" w:eastAsia="Arial" w:hAnsi="Arial"/>
          <w:sz w:val="22"/>
          <w:szCs w:val="22"/>
          <w:b w:val="1"/>
          <w:bCs w:val="1"/>
          <w:u w:val="single" w:color="auto"/>
          <w:color w:val="auto"/>
        </w:rPr>
        <w:t>Joint and Several Obligations</w:t>
      </w:r>
      <w:r>
        <w:rPr>
          <w:rFonts w:ascii="Arial" w:cs="Arial" w:eastAsia="Arial" w:hAnsi="Arial"/>
          <w:sz w:val="22"/>
          <w:szCs w:val="22"/>
          <w:color w:val="auto"/>
        </w:rPr>
        <w:t>. Parent and the Borrower hereby acknowledge and agree that</w:t>
      </w:r>
      <w:r>
        <w:rPr>
          <w:rFonts w:ascii="Arial" w:cs="Arial" w:eastAsia="Arial" w:hAnsi="Arial"/>
          <w:sz w:val="22"/>
          <w:szCs w:val="22"/>
          <w:b w:val="1"/>
          <w:bCs w:val="1"/>
          <w:color w:val="auto"/>
        </w:rPr>
        <w:t xml:space="preserve"> </w:t>
      </w:r>
      <w:r>
        <w:rPr>
          <w:rFonts w:ascii="Arial" w:cs="Arial" w:eastAsia="Arial" w:hAnsi="Arial"/>
          <w:sz w:val="22"/>
          <w:szCs w:val="22"/>
          <w:color w:val="auto"/>
        </w:rPr>
        <w:t>all obligations and liabilities of Parent and the Borrower hereunder shall be joint and several.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left intentionally blank)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75" w:right="239" w:bottom="1440" w:gutter="0" w:footer="0" w:header="0"/>
        </w:sectPr>
      </w:pPr>
    </w:p>
    <w:bookmarkStart w:id="151" w:name="page152"/>
    <w:bookmarkEnd w:id="151"/>
    <w:p>
      <w:pPr>
        <w:ind w:firstLine="1297"/>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duly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officers as of the day and year first above written.</w:t>
      </w: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LENDINGTREE, LLC</w:t>
      </w:r>
    </w:p>
    <w:p>
      <w:pPr>
        <w:spacing w:after="0" w:line="200" w:lineRule="exact"/>
        <w:rPr>
          <w:sz w:val="20"/>
          <w:szCs w:val="20"/>
          <w:color w:val="auto"/>
        </w:rPr>
      </w:pPr>
    </w:p>
    <w:p>
      <w:pPr>
        <w:spacing w:after="0" w:line="242" w:lineRule="exact"/>
        <w:rPr>
          <w:sz w:val="20"/>
          <w:szCs w:val="20"/>
          <w:color w:val="auto"/>
        </w:rPr>
      </w:pPr>
    </w:p>
    <w:p>
      <w:pPr>
        <w:ind w:left="4220"/>
        <w:spacing w:after="0"/>
        <w:tabs>
          <w:tab w:leader="none" w:pos="4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Gabriel Dalporto</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Gabriel Dalporto</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LendingTree, Inc.</w:t>
      </w:r>
    </w:p>
    <w:p>
      <w:pPr>
        <w:spacing w:after="0" w:line="200" w:lineRule="exact"/>
        <w:rPr>
          <w:sz w:val="20"/>
          <w:szCs w:val="20"/>
          <w:color w:val="auto"/>
        </w:rPr>
      </w:pPr>
    </w:p>
    <w:p>
      <w:pPr>
        <w:spacing w:after="0" w:line="242" w:lineRule="exact"/>
        <w:rPr>
          <w:sz w:val="20"/>
          <w:szCs w:val="20"/>
          <w:color w:val="auto"/>
        </w:rPr>
      </w:pPr>
    </w:p>
    <w:p>
      <w:pPr>
        <w:ind w:left="4220"/>
        <w:spacing w:after="0"/>
        <w:tabs>
          <w:tab w:leader="none" w:pos="4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Gabriel Dalporto</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Gabriel Dalporto</w:t>
      </w:r>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420"/>
          </w:cols>
          <w:pgMar w:left="240" w:top="585" w:right="239" w:bottom="1440" w:gutter="0" w:footer="0" w:header="0"/>
        </w:sectPr>
      </w:pPr>
    </w:p>
    <w:bookmarkStart w:id="152" w:name="page153"/>
    <w:bookmarkEnd w:id="152"/>
    <w:p>
      <w:pPr>
        <w:ind w:left="3020"/>
        <w:spacing w:after="0"/>
        <w:rPr>
          <w:sz w:val="20"/>
          <w:szCs w:val="20"/>
          <w:color w:val="auto"/>
        </w:rPr>
      </w:pPr>
      <w:r>
        <w:rPr>
          <w:rFonts w:ascii="Arial" w:cs="Arial" w:eastAsia="Arial" w:hAnsi="Arial"/>
          <w:sz w:val="22"/>
          <w:szCs w:val="22"/>
          <w:b w:val="1"/>
          <w:bCs w:val="1"/>
          <w:color w:val="auto"/>
        </w:rPr>
        <w:t>SUNTRUST BANK</w:t>
      </w:r>
    </w:p>
    <w:p>
      <w:pPr>
        <w:spacing w:after="0" w:line="28" w:lineRule="exact"/>
        <w:rPr>
          <w:sz w:val="20"/>
          <w:szCs w:val="20"/>
          <w:color w:val="auto"/>
        </w:rPr>
      </w:pPr>
    </w:p>
    <w:p>
      <w:pPr>
        <w:ind w:left="3020"/>
        <w:spacing w:after="0"/>
        <w:rPr>
          <w:sz w:val="20"/>
          <w:szCs w:val="20"/>
          <w:color w:val="auto"/>
        </w:rPr>
      </w:pPr>
      <w:r>
        <w:rPr>
          <w:rFonts w:ascii="Arial" w:cs="Arial" w:eastAsia="Arial" w:hAnsi="Arial"/>
          <w:sz w:val="19"/>
          <w:szCs w:val="19"/>
          <w:color w:val="auto"/>
        </w:rPr>
        <w:t>as the Administrative Agent, the Issuing Bank, the Swingline Lender and a Lender</w:t>
      </w:r>
    </w:p>
    <w:p>
      <w:pPr>
        <w:spacing w:after="0" w:line="200" w:lineRule="exact"/>
        <w:rPr>
          <w:sz w:val="20"/>
          <w:szCs w:val="20"/>
          <w:color w:val="auto"/>
        </w:rPr>
      </w:pPr>
    </w:p>
    <w:p>
      <w:pPr>
        <w:spacing w:after="0" w:line="252" w:lineRule="exact"/>
        <w:rPr>
          <w:sz w:val="20"/>
          <w:szCs w:val="20"/>
          <w:color w:val="auto"/>
        </w:rPr>
      </w:pPr>
    </w:p>
    <w:p>
      <w:pPr>
        <w:ind w:left="3020"/>
        <w:spacing w:after="0"/>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Marshall T. Mangum, III</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Marshall T. Mangum, III</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10160"/>
          </w:cols>
          <w:pgMar w:left="1440" w:top="369" w:right="299" w:bottom="1440" w:gutter="0" w:footer="0" w:header="0"/>
        </w:sectPr>
      </w:pPr>
    </w:p>
    <w:bookmarkStart w:id="153" w:name="page154"/>
    <w:bookmarkEnd w:id="153"/>
    <w:p>
      <w:pPr>
        <w:ind w:left="302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w:t>
      </w:r>
    </w:p>
    <w:p>
      <w:pPr>
        <w:spacing w:after="0" w:line="2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3020"/>
        <w:spacing w:after="0"/>
        <w:tabs>
          <w:tab w:leader="none" w:pos="35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Charles R. Dickerson</w:t>
      </w:r>
    </w:p>
    <w:p>
      <w:pPr>
        <w:spacing w:after="0" w:line="3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Charles R. Dickerson</w:t>
      </w:r>
    </w:p>
    <w:p>
      <w:pPr>
        <w:spacing w:after="0" w:line="52"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Senior Vice President</w:t>
      </w:r>
    </w:p>
    <w:p>
      <w:pPr>
        <w:sectPr>
          <w:pgSz w:w="11900" w:h="16838" w:orient="portrait"/>
          <w:cols w:equalWidth="0" w:num="1">
            <w:col w:w="9019"/>
          </w:cols>
          <w:pgMar w:left="1440" w:top="585" w:right="1440" w:bottom="1440" w:gutter="0" w:footer="0" w:header="0"/>
        </w:sectPr>
      </w:pPr>
    </w:p>
    <w:bookmarkStart w:id="154" w:name="page155"/>
    <w:bookmarkEnd w:id="154"/>
    <w:p>
      <w:pPr>
        <w:ind w:left="3020"/>
        <w:spacing w:after="0"/>
        <w:rPr>
          <w:sz w:val="20"/>
          <w:szCs w:val="20"/>
          <w:color w:val="auto"/>
        </w:rPr>
      </w:pPr>
      <w:r>
        <w:rPr>
          <w:rFonts w:ascii="Arial" w:cs="Arial" w:eastAsia="Arial" w:hAnsi="Arial"/>
          <w:sz w:val="21"/>
          <w:szCs w:val="21"/>
          <w:b w:val="1"/>
          <w:bCs w:val="1"/>
          <w:color w:val="auto"/>
        </w:rPr>
        <w:t>ROYAL BANK OF CANADA</w:t>
      </w:r>
      <w:r>
        <w:rPr>
          <w:rFonts w:ascii="Arial" w:cs="Arial" w:eastAsia="Arial" w:hAnsi="Arial"/>
          <w:sz w:val="21"/>
          <w:szCs w:val="21"/>
          <w:color w:val="auto"/>
        </w:rPr>
        <w:t>,</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3020"/>
        <w:spacing w:after="0"/>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Christian Gutierrez</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Name: Christian Gutierrez</w:t>
      </w:r>
    </w:p>
    <w:p>
      <w:pPr>
        <w:spacing w:after="0" w:line="29"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9019"/>
          </w:cols>
          <w:pgMar w:left="1440" w:top="369" w:right="1440" w:bottom="1440" w:gutter="0" w:footer="0" w:header="0"/>
        </w:sectPr>
      </w:pPr>
    </w:p>
    <w:bookmarkStart w:id="155" w:name="page156"/>
    <w:bookmarkEnd w:id="155"/>
    <w:p>
      <w:pPr>
        <w:ind w:left="3020"/>
        <w:spacing w:after="0"/>
        <w:rPr>
          <w:sz w:val="20"/>
          <w:szCs w:val="20"/>
          <w:color w:val="auto"/>
        </w:rPr>
      </w:pPr>
      <w:r>
        <w:rPr>
          <w:rFonts w:ascii="Arial" w:cs="Arial" w:eastAsia="Arial" w:hAnsi="Arial"/>
          <w:sz w:val="22"/>
          <w:szCs w:val="22"/>
          <w:b w:val="1"/>
          <w:bCs w:val="1"/>
          <w:color w:val="auto"/>
        </w:rPr>
        <w:t>FIFTH THIRD BANK</w:t>
      </w:r>
      <w:r>
        <w:rPr>
          <w:rFonts w:ascii="Arial" w:cs="Arial" w:eastAsia="Arial" w:hAnsi="Arial"/>
          <w:sz w:val="22"/>
          <w:szCs w:val="22"/>
          <w:color w:val="auto"/>
        </w:rPr>
        <w:t>,</w:t>
      </w:r>
    </w:p>
    <w:p>
      <w:pPr>
        <w:spacing w:after="0" w:line="2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3020"/>
        <w:spacing w:after="0"/>
        <w:tabs>
          <w:tab w:leader="none" w:pos="35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Jodie R. Ayres</w:t>
      </w:r>
    </w:p>
    <w:p>
      <w:pPr>
        <w:spacing w:after="0" w:line="3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Jodie R. Ayres</w:t>
      </w:r>
    </w:p>
    <w:p>
      <w:pPr>
        <w:spacing w:after="0" w:line="52"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Title: Vice President</w:t>
      </w:r>
    </w:p>
    <w:p>
      <w:pPr>
        <w:sectPr>
          <w:pgSz w:w="11900" w:h="16838" w:orient="portrait"/>
          <w:cols w:equalWidth="0" w:num="1">
            <w:col w:w="9019"/>
          </w:cols>
          <w:pgMar w:left="1440" w:top="369" w:right="1440" w:bottom="1440" w:gutter="0" w:footer="0" w:header="0"/>
        </w:sectPr>
      </w:pPr>
    </w:p>
    <w:bookmarkStart w:id="156" w:name="page157"/>
    <w:bookmarkEnd w:id="156"/>
    <w:p>
      <w:pPr>
        <w:ind w:left="3020"/>
        <w:spacing w:after="0"/>
        <w:rPr>
          <w:sz w:val="20"/>
          <w:szCs w:val="20"/>
          <w:color w:val="auto"/>
        </w:rPr>
      </w:pPr>
      <w:r>
        <w:rPr>
          <w:rFonts w:ascii="Arial" w:cs="Arial" w:eastAsia="Arial" w:hAnsi="Arial"/>
          <w:sz w:val="21"/>
          <w:szCs w:val="21"/>
          <w:b w:val="1"/>
          <w:bCs w:val="1"/>
          <w:color w:val="auto"/>
        </w:rPr>
        <w:t>JPMORGAN CHASE BANK, N.A.</w:t>
      </w:r>
      <w:r>
        <w:rPr>
          <w:rFonts w:ascii="Arial" w:cs="Arial" w:eastAsia="Arial" w:hAnsi="Arial"/>
          <w:sz w:val="21"/>
          <w:szCs w:val="21"/>
          <w:color w:val="auto"/>
        </w:rPr>
        <w:t>,</w:t>
      </w:r>
    </w:p>
    <w:p>
      <w:pPr>
        <w:spacing w:after="0" w:line="3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3020"/>
        <w:spacing w:after="0"/>
        <w:tabs>
          <w:tab w:leader="none" w:pos="3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Justin Kelley</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Justin Kelley</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369" w:right="1440" w:bottom="1440" w:gutter="0" w:footer="0" w:header="0"/>
        </w:sectPr>
      </w:pPr>
    </w:p>
    <w:bookmarkStart w:id="157" w:name="page158"/>
    <w:bookmarkEnd w:id="157"/>
    <w:p>
      <w:pPr>
        <w:ind w:left="3020"/>
        <w:spacing w:after="0"/>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w:t>
      </w:r>
    </w:p>
    <w:p>
      <w:pPr>
        <w:spacing w:after="0" w:line="2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3020"/>
        <w:spacing w:after="0"/>
        <w:tabs>
          <w:tab w:leader="none" w:pos="35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Christopher J. DeLauro</w:t>
      </w:r>
    </w:p>
    <w:p>
      <w:pPr>
        <w:spacing w:after="0" w:line="3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Christopher J. DeLauro</w:t>
      </w:r>
    </w:p>
    <w:p>
      <w:pPr>
        <w:spacing w:after="0" w:line="5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369"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SCHEDULE I</w:t>
      </w:r>
    </w:p>
    <w:p>
      <w:pPr>
        <w:spacing w:after="0" w:line="220" w:lineRule="exact"/>
        <w:rPr>
          <w:sz w:val="20"/>
          <w:szCs w:val="20"/>
          <w:color w:val="auto"/>
        </w:rPr>
      </w:pPr>
    </w:p>
    <w:p>
      <w:pPr>
        <w:ind w:left="3060"/>
        <w:spacing w:after="0"/>
        <w:rPr>
          <w:sz w:val="20"/>
          <w:szCs w:val="20"/>
          <w:color w:val="auto"/>
        </w:rPr>
      </w:pPr>
      <w:r>
        <w:rPr>
          <w:rFonts w:ascii="Arial" w:cs="Arial" w:eastAsia="Arial" w:hAnsi="Arial"/>
          <w:sz w:val="22"/>
          <w:szCs w:val="22"/>
          <w:b w:val="1"/>
          <w:bCs w:val="1"/>
          <w:u w:val="single" w:color="auto"/>
          <w:color w:val="auto"/>
        </w:rPr>
        <w:t>Applicable Margin and Applicable Percentage</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60" w:type="dxa"/>
            <w:vAlign w:val="bottom"/>
            <w:tcBorders>
              <w:top w:val="single" w:sz="8" w:color="auto"/>
              <w:left w:val="single" w:sz="8" w:color="auto"/>
              <w:right w:val="single" w:sz="8" w:color="auto"/>
            </w:tcBorders>
          </w:tcPr>
          <w:p>
            <w:pPr>
              <w:spacing w:after="0"/>
              <w:rPr>
                <w:sz w:val="20"/>
                <w:szCs w:val="20"/>
                <w:color w:val="auto"/>
              </w:rPr>
            </w:pPr>
          </w:p>
        </w:tc>
        <w:tc>
          <w:tcPr>
            <w:tcW w:w="366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tcPr>
          <w:p>
            <w:pPr>
              <w:spacing w:after="0"/>
              <w:rPr>
                <w:sz w:val="20"/>
                <w:szCs w:val="20"/>
                <w:color w:val="auto"/>
              </w:rPr>
            </w:pPr>
          </w:p>
        </w:tc>
        <w:tc>
          <w:tcPr>
            <w:tcW w:w="1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Applicable</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9"/>
              </w:rPr>
              <w:t>Applicable Margin for</w:t>
            </w:r>
          </w:p>
        </w:tc>
        <w:tc>
          <w:tcPr>
            <w:tcW w:w="1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Applicable Margin for</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Percentage for</w:t>
            </w:r>
          </w:p>
        </w:tc>
        <w:tc>
          <w:tcPr>
            <w:tcW w:w="0" w:type="dxa"/>
            <w:vAlign w:val="bottom"/>
          </w:tcPr>
          <w:p>
            <w:pPr>
              <w:spacing w:after="0"/>
              <w:rPr>
                <w:sz w:val="1"/>
                <w:szCs w:val="1"/>
                <w:color w:val="auto"/>
              </w:rPr>
            </w:pPr>
          </w:p>
        </w:tc>
      </w:tr>
      <w:tr>
        <w:trPr>
          <w:trHeight w:val="23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6"/>
              </w:rPr>
              <w:t>Pricing Level</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Consolidated Leverage Ratio</w:t>
            </w: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Eurodollar Loans</w:t>
            </w:r>
          </w:p>
        </w:tc>
        <w:tc>
          <w:tcPr>
            <w:tcW w:w="1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Base Rate Loans</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Commitment Fee</w:t>
            </w:r>
          </w:p>
        </w:tc>
        <w:tc>
          <w:tcPr>
            <w:tcW w:w="0" w:type="dxa"/>
            <w:vAlign w:val="bottom"/>
          </w:tcPr>
          <w:p>
            <w:pPr>
              <w:spacing w:after="0"/>
              <w:rPr>
                <w:sz w:val="1"/>
                <w:szCs w:val="1"/>
                <w:color w:val="auto"/>
              </w:rPr>
            </w:pPr>
          </w:p>
        </w:tc>
      </w:tr>
      <w:tr>
        <w:trPr>
          <w:trHeight w:val="27"/>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2.50 to 1.00</w:t>
            </w:r>
          </w:p>
        </w:tc>
        <w:tc>
          <w:tcPr>
            <w:tcW w:w="1880" w:type="dxa"/>
            <w:vAlign w:val="bottom"/>
            <w:tcBorders>
              <w:right w:val="single" w:sz="8" w:color="auto"/>
            </w:tcBorders>
          </w:tcPr>
          <w:p>
            <w:pPr>
              <w:jc w:val="right"/>
              <w:ind w:right="605"/>
              <w:spacing w:after="0"/>
              <w:rPr>
                <w:sz w:val="20"/>
                <w:szCs w:val="20"/>
                <w:color w:val="auto"/>
              </w:rPr>
            </w:pPr>
            <w:r>
              <w:rPr>
                <w:rFonts w:ascii="Arial" w:cs="Arial" w:eastAsia="Arial" w:hAnsi="Arial"/>
                <w:sz w:val="20"/>
                <w:szCs w:val="20"/>
                <w:color w:val="auto"/>
              </w:rPr>
              <w:t>3.00%</w:t>
            </w:r>
          </w:p>
        </w:tc>
        <w:tc>
          <w:tcPr>
            <w:tcW w:w="1960" w:type="dxa"/>
            <w:vAlign w:val="bottom"/>
            <w:tcBorders>
              <w:right w:val="single" w:sz="8" w:color="auto"/>
            </w:tcBorders>
          </w:tcPr>
          <w:p>
            <w:pPr>
              <w:jc w:val="right"/>
              <w:ind w:right="645"/>
              <w:spacing w:after="0"/>
              <w:rPr>
                <w:sz w:val="20"/>
                <w:szCs w:val="20"/>
                <w:color w:val="auto"/>
              </w:rPr>
            </w:pPr>
            <w:r>
              <w:rPr>
                <w:rFonts w:ascii="Arial" w:cs="Arial" w:eastAsia="Arial" w:hAnsi="Arial"/>
                <w:sz w:val="20"/>
                <w:szCs w:val="20"/>
                <w:color w:val="auto"/>
              </w:rPr>
              <w:t>2.00%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0" w:type="dxa"/>
            <w:vAlign w:val="bottom"/>
          </w:tcPr>
          <w:p>
            <w:pPr>
              <w:spacing w:after="0"/>
              <w:rPr>
                <w:sz w:val="1"/>
                <w:szCs w:val="1"/>
                <w:color w:val="auto"/>
              </w:rPr>
            </w:pP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1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II</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to 1.50 to 1.00 but less than or</w:t>
            </w:r>
          </w:p>
        </w:tc>
        <w:tc>
          <w:tcPr>
            <w:tcW w:w="1880" w:type="dxa"/>
            <w:vAlign w:val="bottom"/>
            <w:tcBorders>
              <w:right w:val="single" w:sz="8" w:color="auto"/>
            </w:tcBorders>
            <w:vMerge w:val="restart"/>
          </w:tcPr>
          <w:p>
            <w:pPr>
              <w:jc w:val="right"/>
              <w:ind w:right="605"/>
              <w:spacing w:after="0"/>
              <w:rPr>
                <w:sz w:val="20"/>
                <w:szCs w:val="20"/>
                <w:color w:val="auto"/>
              </w:rPr>
            </w:pPr>
            <w:r>
              <w:rPr>
                <w:rFonts w:ascii="Arial" w:cs="Arial" w:eastAsia="Arial" w:hAnsi="Arial"/>
                <w:sz w:val="20"/>
                <w:szCs w:val="20"/>
                <w:color w:val="auto"/>
              </w:rPr>
              <w:t>2.50%</w:t>
            </w:r>
          </w:p>
        </w:tc>
        <w:tc>
          <w:tcPr>
            <w:tcW w:w="1960" w:type="dxa"/>
            <w:vAlign w:val="bottom"/>
            <w:tcBorders>
              <w:right w:val="single" w:sz="8" w:color="auto"/>
            </w:tcBorders>
            <w:vMerge w:val="restart"/>
          </w:tcPr>
          <w:p>
            <w:pPr>
              <w:jc w:val="right"/>
              <w:ind w:right="645"/>
              <w:spacing w:after="0"/>
              <w:rPr>
                <w:sz w:val="20"/>
                <w:szCs w:val="20"/>
                <w:color w:val="auto"/>
              </w:rPr>
            </w:pPr>
            <w:r>
              <w:rPr>
                <w:rFonts w:ascii="Arial" w:cs="Arial" w:eastAsia="Arial" w:hAnsi="Arial"/>
                <w:sz w:val="20"/>
                <w:szCs w:val="20"/>
                <w:color w:val="auto"/>
              </w:rPr>
              <w:t>1.50%</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0.375%</w:t>
            </w:r>
          </w:p>
        </w:tc>
        <w:tc>
          <w:tcPr>
            <w:tcW w:w="0" w:type="dxa"/>
            <w:vAlign w:val="bottom"/>
          </w:tcPr>
          <w:p>
            <w:pPr>
              <w:spacing w:after="0"/>
              <w:rPr>
                <w:sz w:val="1"/>
                <w:szCs w:val="1"/>
                <w:color w:val="auto"/>
              </w:rPr>
            </w:pPr>
          </w:p>
        </w:tc>
      </w:tr>
      <w:tr>
        <w:trPr>
          <w:trHeight w:val="129"/>
        </w:trPr>
        <w:tc>
          <w:tcPr>
            <w:tcW w:w="1160" w:type="dxa"/>
            <w:vAlign w:val="bottom"/>
            <w:tcBorders>
              <w:left w:val="single" w:sz="8" w:color="auto"/>
              <w:right w:val="single" w:sz="8" w:color="auto"/>
            </w:tcBorders>
            <w:vMerge w:val="continue"/>
          </w:tcPr>
          <w:p>
            <w:pPr>
              <w:spacing w:after="0"/>
              <w:rPr>
                <w:sz w:val="11"/>
                <w:szCs w:val="11"/>
                <w:color w:val="auto"/>
              </w:rPr>
            </w:pPr>
          </w:p>
        </w:tc>
        <w:tc>
          <w:tcPr>
            <w:tcW w:w="3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equal 2.50 to 1.00</w:t>
            </w:r>
          </w:p>
        </w:tc>
        <w:tc>
          <w:tcPr>
            <w:tcW w:w="188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tcPr>
          <w:p>
            <w:pPr>
              <w:spacing w:after="0"/>
              <w:rPr>
                <w:sz w:val="10"/>
                <w:szCs w:val="10"/>
                <w:color w:val="auto"/>
              </w:rPr>
            </w:pPr>
          </w:p>
        </w:tc>
        <w:tc>
          <w:tcPr>
            <w:tcW w:w="366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III</w:t>
            </w: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or equal to 1.50 to 1.00</w:t>
            </w:r>
          </w:p>
        </w:tc>
        <w:tc>
          <w:tcPr>
            <w:tcW w:w="1880" w:type="dxa"/>
            <w:vAlign w:val="bottom"/>
            <w:tcBorders>
              <w:right w:val="single" w:sz="8" w:color="auto"/>
            </w:tcBorders>
          </w:tcPr>
          <w:p>
            <w:pPr>
              <w:jc w:val="right"/>
              <w:ind w:right="605"/>
              <w:spacing w:after="0"/>
              <w:rPr>
                <w:sz w:val="20"/>
                <w:szCs w:val="20"/>
                <w:color w:val="auto"/>
              </w:rPr>
            </w:pPr>
            <w:r>
              <w:rPr>
                <w:rFonts w:ascii="Arial" w:cs="Arial" w:eastAsia="Arial" w:hAnsi="Arial"/>
                <w:sz w:val="20"/>
                <w:szCs w:val="20"/>
                <w:color w:val="auto"/>
              </w:rPr>
              <w:t>2.00%</w:t>
            </w:r>
          </w:p>
        </w:tc>
        <w:tc>
          <w:tcPr>
            <w:tcW w:w="1960" w:type="dxa"/>
            <w:vAlign w:val="bottom"/>
            <w:tcBorders>
              <w:right w:val="single" w:sz="8" w:color="auto"/>
            </w:tcBorders>
          </w:tcPr>
          <w:p>
            <w:pPr>
              <w:jc w:val="right"/>
              <w:ind w:right="645"/>
              <w:spacing w:after="0"/>
              <w:rPr>
                <w:sz w:val="20"/>
                <w:szCs w:val="20"/>
                <w:color w:val="auto"/>
              </w:rPr>
            </w:pPr>
            <w:r>
              <w:rPr>
                <w:rFonts w:ascii="Arial" w:cs="Arial" w:eastAsia="Arial" w:hAnsi="Arial"/>
                <w:sz w:val="20"/>
                <w:szCs w:val="20"/>
                <w:color w:val="auto"/>
              </w:rPr>
              <w:t>1.00%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0.25%</w:t>
            </w:r>
          </w:p>
        </w:tc>
        <w:tc>
          <w:tcPr>
            <w:tcW w:w="0" w:type="dxa"/>
            <w:vAlign w:val="bottom"/>
          </w:tcPr>
          <w:p>
            <w:pPr>
              <w:spacing w:after="0"/>
              <w:rPr>
                <w:sz w:val="1"/>
                <w:szCs w:val="1"/>
                <w:color w:val="auto"/>
              </w:rPr>
            </w:pP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760" w:top="842"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ASSIGNMENT AND ASSUMPTION</w:t>
      </w:r>
    </w:p>
    <w:p>
      <w:pPr>
        <w:spacing w:after="0" w:line="21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[the][each] For bracketed language here and elsewhere in this form relating to the Assignor(s), if the assignment is from a single Assignor, choose the first bracketed language. If the assignment is from multiple Assignors, choose the second bracketed language. Assignor identified in item 1 below ([the][each, an] “</w:t>
      </w:r>
      <w:r>
        <w:rPr>
          <w:rFonts w:ascii="Arial" w:cs="Arial" w:eastAsia="Arial" w:hAnsi="Arial"/>
          <w:sz w:val="19"/>
          <w:szCs w:val="19"/>
          <w:u w:val="single" w:color="auto"/>
          <w:color w:val="auto"/>
        </w:rPr>
        <w:t>Assignor</w:t>
      </w:r>
      <w:r>
        <w:rPr>
          <w:rFonts w:ascii="Arial" w:cs="Arial" w:eastAsia="Arial" w:hAnsi="Arial"/>
          <w:sz w:val="19"/>
          <w:szCs w:val="19"/>
          <w:color w:val="auto"/>
        </w:rPr>
        <w:t>”) and [the][each] For bracketed language here and elsewhere in this form relating to the Assignee(s), if the assignment is to a single Assignee, choose the first bracketed language. If the assignment is to multiple Assignees, choose the second bracketed language. Assignee identified in item 2 below ([the] [each, an] “</w:t>
      </w:r>
      <w:r>
        <w:rPr>
          <w:rFonts w:ascii="Arial" w:cs="Arial" w:eastAsia="Arial" w:hAnsi="Arial"/>
          <w:sz w:val="19"/>
          <w:szCs w:val="19"/>
          <w:u w:val="single" w:color="auto"/>
          <w:color w:val="auto"/>
        </w:rPr>
        <w:t>Assignee</w:t>
      </w:r>
      <w:r>
        <w:rPr>
          <w:rFonts w:ascii="Arial" w:cs="Arial" w:eastAsia="Arial" w:hAnsi="Arial"/>
          <w:sz w:val="19"/>
          <w:szCs w:val="19"/>
          <w:color w:val="auto"/>
        </w:rPr>
        <w:t>”). [It is understood and agreed that the rights and obligations of [the Assignors] [the Assignees] Select as appropriate. hereunder are several and not joint.] Include bracketed language if there are either multiple Assignors or multiple Assignees. Capitalized terms used but not defined herein shall have the meanings given to them in the Credit Agreement identified below (as amended, amended and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receipt of a copy of which is hereby acknowledged by [the][each] Assignee. The Standard Terms and Conditions set forth in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attached hereto are hereby agreed to and incorporated herein by reference and made a part of this Assignment and Assumption as if set forth herein in full.</w:t>
      </w:r>
    </w:p>
    <w:p>
      <w:pPr>
        <w:spacing w:after="0" w:line="19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 [any] Assignor and, except as expressly provided in this Assignment and Assumption, without representation or warranty by [the] [any] Assignor.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144" w:lineRule="exact"/>
        <w:rPr>
          <w:sz w:val="20"/>
          <w:szCs w:val="20"/>
          <w:color w:val="auto"/>
        </w:rPr>
      </w:pPr>
    </w:p>
    <w:p>
      <w:pPr>
        <w:ind w:left="340" w:hanging="332"/>
        <w:spacing w:after="0" w:line="216" w:lineRule="auto"/>
        <w:tabs>
          <w:tab w:leader="none" w:pos="143" w:val="left"/>
        </w:tabs>
        <w:numPr>
          <w:ilvl w:val="0"/>
          <w:numId w:val="155"/>
        </w:numPr>
        <w:rPr>
          <w:rFonts w:ascii="Arial" w:cs="Arial" w:eastAsia="Arial" w:hAnsi="Arial"/>
          <w:sz w:val="29"/>
          <w:szCs w:val="29"/>
          <w:color w:val="auto"/>
          <w:vertAlign w:val="superscript"/>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35" w:lineRule="exact"/>
        <w:rPr>
          <w:sz w:val="20"/>
          <w:szCs w:val="20"/>
          <w:color w:val="auto"/>
        </w:rPr>
      </w:pPr>
    </w:p>
    <w:p>
      <w:pPr>
        <w:ind w:left="340" w:hanging="332"/>
        <w:spacing w:after="0" w:line="216" w:lineRule="auto"/>
        <w:tabs>
          <w:tab w:leader="none" w:pos="151" w:val="left"/>
        </w:tabs>
        <w:numPr>
          <w:ilvl w:val="0"/>
          <w:numId w:val="156"/>
        </w:numPr>
        <w:rPr>
          <w:rFonts w:ascii="Arial" w:cs="Arial" w:eastAsia="Arial" w:hAnsi="Arial"/>
          <w:sz w:val="29"/>
          <w:szCs w:val="29"/>
          <w:color w:val="auto"/>
          <w:vertAlign w:val="superscript"/>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32" w:lineRule="exact"/>
        <w:rPr>
          <w:sz w:val="20"/>
          <w:szCs w:val="20"/>
          <w:color w:val="auto"/>
        </w:rPr>
      </w:pPr>
    </w:p>
    <w:p>
      <w:pPr>
        <w:ind w:left="120" w:hanging="112"/>
        <w:spacing w:after="0"/>
        <w:tabs>
          <w:tab w:leader="none" w:pos="120" w:val="left"/>
        </w:tabs>
        <w:numPr>
          <w:ilvl w:val="0"/>
          <w:numId w:val="157"/>
        </w:numPr>
        <w:rPr>
          <w:rFonts w:ascii="Arial" w:cs="Arial" w:eastAsia="Arial" w:hAnsi="Arial"/>
          <w:sz w:val="29"/>
          <w:szCs w:val="29"/>
          <w:color w:val="auto"/>
          <w:vertAlign w:val="superscript"/>
        </w:rPr>
      </w:pPr>
      <w:r>
        <w:rPr>
          <w:rFonts w:ascii="Arial" w:cs="Arial" w:eastAsia="Arial" w:hAnsi="Arial"/>
          <w:sz w:val="18"/>
          <w:szCs w:val="18"/>
          <w:color w:val="auto"/>
        </w:rPr>
        <w:t>Select as appropriate.</w:t>
      </w:r>
    </w:p>
    <w:p>
      <w:pPr>
        <w:spacing w:after="0" w:line="31" w:lineRule="exact"/>
        <w:rPr>
          <w:sz w:val="20"/>
          <w:szCs w:val="20"/>
          <w:color w:val="auto"/>
        </w:rPr>
      </w:pPr>
    </w:p>
    <w:p>
      <w:pPr>
        <w:ind w:left="120" w:hanging="112"/>
        <w:spacing w:after="0"/>
        <w:tabs>
          <w:tab w:leader="none" w:pos="120" w:val="left"/>
        </w:tabs>
        <w:numPr>
          <w:ilvl w:val="0"/>
          <w:numId w:val="158"/>
        </w:numPr>
        <w:rPr>
          <w:rFonts w:ascii="Arial" w:cs="Arial" w:eastAsia="Arial" w:hAnsi="Arial"/>
          <w:sz w:val="29"/>
          <w:szCs w:val="29"/>
          <w:color w:val="auto"/>
          <w:vertAlign w:val="superscript"/>
        </w:rPr>
      </w:pPr>
      <w:r>
        <w:rPr>
          <w:rFonts w:ascii="Arial" w:cs="Arial" w:eastAsia="Arial" w:hAnsi="Arial"/>
          <w:sz w:val="18"/>
          <w:szCs w:val="18"/>
          <w:color w:val="auto"/>
        </w:rPr>
        <w:t>Include bracketed language if there are either multiple Assignors or multiple Assignees.</w:t>
      </w:r>
    </w:p>
    <w:p>
      <w:pPr>
        <w:sectPr>
          <w:pgSz w:w="11900" w:h="16838" w:orient="portrait"/>
          <w:cols w:equalWidth="0" w:num="1">
            <w:col w:w="11420"/>
          </w:cols>
          <w:pgMar w:left="240" w:top="369" w:right="239" w:bottom="1440" w:gutter="0" w:footer="0" w:header="0"/>
        </w:sectPr>
      </w:pPr>
    </w:p>
    <w:bookmarkStart w:id="160" w:name="page161"/>
    <w:bookmarkEnd w:id="160"/>
    <w:tbl>
      <w:tblPr>
        <w:tblLayout w:type="fixed"/>
        <w:tblInd w:w="10" w:type="dxa"/>
        <w:tblCellMar>
          <w:top w:w="0" w:type="dxa"/>
          <w:left w:w="0" w:type="dxa"/>
          <w:bottom w:w="0" w:type="dxa"/>
          <w:right w:w="0" w:type="dxa"/>
        </w:tblCellMar>
      </w:tblPr>
      <w:tr>
        <w:trPr>
          <w:trHeight w:val="250"/>
        </w:trPr>
        <w:tc>
          <w:tcPr>
            <w:tcW w:w="180" w:type="dxa"/>
            <w:vAlign w:val="bottom"/>
          </w:tcPr>
          <w:p>
            <w:pPr>
              <w:spacing w:after="0"/>
              <w:rPr>
                <w:sz w:val="20"/>
                <w:szCs w:val="20"/>
                <w:color w:val="auto"/>
              </w:rPr>
            </w:pPr>
            <w:r>
              <w:rPr>
                <w:rFonts w:ascii="Arial" w:cs="Arial" w:eastAsia="Arial" w:hAnsi="Arial"/>
                <w:sz w:val="20"/>
                <w:szCs w:val="20"/>
                <w:color w:val="auto"/>
                <w:w w:val="95"/>
              </w:rPr>
              <w:t>1.</w:t>
            </w:r>
          </w:p>
        </w:tc>
        <w:tc>
          <w:tcPr>
            <w:tcW w:w="1380" w:type="dxa"/>
            <w:vAlign w:val="bottom"/>
            <w:gridSpan w:val="2"/>
          </w:tcPr>
          <w:p>
            <w:pPr>
              <w:ind w:left="20"/>
              <w:spacing w:after="0"/>
              <w:rPr>
                <w:sz w:val="20"/>
                <w:szCs w:val="20"/>
                <w:color w:val="auto"/>
              </w:rPr>
            </w:pPr>
            <w:r>
              <w:rPr>
                <w:rFonts w:ascii="Arial" w:cs="Arial" w:eastAsia="Arial" w:hAnsi="Arial"/>
                <w:sz w:val="20"/>
                <w:szCs w:val="20"/>
                <w:color w:val="auto"/>
              </w:rPr>
              <w:t>Assignor[s]:</w:t>
            </w:r>
          </w:p>
        </w:tc>
        <w:tc>
          <w:tcPr>
            <w:tcW w:w="160" w:type="dxa"/>
            <w:vAlign w:val="bottom"/>
          </w:tcPr>
          <w:p>
            <w:pPr>
              <w:spacing w:after="0"/>
              <w:rPr>
                <w:sz w:val="21"/>
                <w:szCs w:val="21"/>
                <w:color w:val="auto"/>
              </w:rPr>
            </w:pPr>
          </w:p>
        </w:tc>
        <w:tc>
          <w:tcPr>
            <w:tcW w:w="3380" w:type="dxa"/>
            <w:vAlign w:val="bottom"/>
            <w:gridSpan w:val="5"/>
          </w:tcPr>
          <w:p>
            <w:pPr>
              <w:jc w:val="right"/>
              <w:ind w:right="288"/>
              <w:spacing w:after="0"/>
              <w:rPr>
                <w:sz w:val="20"/>
                <w:szCs w:val="20"/>
                <w:color w:val="auto"/>
              </w:rPr>
            </w:pPr>
            <w:r>
              <w:rPr>
                <w:rFonts w:ascii="Arial" w:cs="Arial" w:eastAsia="Arial" w:hAnsi="Arial"/>
                <w:sz w:val="20"/>
                <w:szCs w:val="20"/>
                <w:color w:val="auto"/>
                <w:w w:val="89"/>
              </w:rPr>
              <w:t>______________________________</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20" w:type="dxa"/>
            <w:vAlign w:val="bottom"/>
            <w:gridSpan w:val="9"/>
          </w:tcPr>
          <w:p>
            <w:pPr>
              <w:ind w:left="1140"/>
              <w:spacing w:after="0"/>
              <w:rPr>
                <w:sz w:val="20"/>
                <w:szCs w:val="20"/>
                <w:color w:val="auto"/>
              </w:rPr>
            </w:pPr>
            <w:r>
              <w:rPr>
                <w:rFonts w:ascii="Arial" w:cs="Arial" w:eastAsia="Arial" w:hAnsi="Arial"/>
                <w:sz w:val="20"/>
                <w:szCs w:val="20"/>
                <w:color w:val="auto"/>
              </w:rPr>
              <w:t>______________________________</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80" w:type="dxa"/>
            <w:vAlign w:val="bottom"/>
          </w:tcPr>
          <w:p>
            <w:pPr>
              <w:spacing w:after="0"/>
              <w:rPr>
                <w:sz w:val="20"/>
                <w:szCs w:val="20"/>
                <w:color w:val="auto"/>
              </w:rPr>
            </w:pPr>
            <w:r>
              <w:rPr>
                <w:rFonts w:ascii="Arial" w:cs="Arial" w:eastAsia="Arial" w:hAnsi="Arial"/>
                <w:sz w:val="20"/>
                <w:szCs w:val="20"/>
                <w:color w:val="auto"/>
                <w:w w:val="95"/>
              </w:rPr>
              <w:t>2.</w:t>
            </w:r>
          </w:p>
        </w:tc>
        <w:tc>
          <w:tcPr>
            <w:tcW w:w="1380" w:type="dxa"/>
            <w:vAlign w:val="bottom"/>
            <w:gridSpan w:val="2"/>
          </w:tcPr>
          <w:p>
            <w:pPr>
              <w:ind w:left="20"/>
              <w:spacing w:after="0"/>
              <w:rPr>
                <w:sz w:val="20"/>
                <w:szCs w:val="20"/>
                <w:color w:val="auto"/>
              </w:rPr>
            </w:pPr>
            <w:r>
              <w:rPr>
                <w:rFonts w:ascii="Arial" w:cs="Arial" w:eastAsia="Arial" w:hAnsi="Arial"/>
                <w:sz w:val="20"/>
                <w:szCs w:val="20"/>
                <w:color w:val="auto"/>
              </w:rPr>
              <w:t>Assignee[s]: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gridSpan w:val="8"/>
          </w:tcPr>
          <w:p>
            <w:pPr>
              <w:ind w:left="480"/>
              <w:spacing w:after="0"/>
              <w:rPr>
                <w:sz w:val="20"/>
                <w:szCs w:val="20"/>
                <w:color w:val="auto"/>
              </w:rPr>
            </w:pPr>
            <w:r>
              <w:rPr>
                <w:rFonts w:ascii="Arial" w:cs="Arial" w:eastAsia="Arial" w:hAnsi="Arial"/>
                <w:sz w:val="20"/>
                <w:szCs w:val="20"/>
                <w:color w:val="auto"/>
                <w:w w:val="88"/>
              </w:rPr>
              <w:t>______________________________</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20" w:type="dxa"/>
            <w:vAlign w:val="bottom"/>
            <w:gridSpan w:val="9"/>
          </w:tcPr>
          <w:p>
            <w:pPr>
              <w:ind w:left="1140"/>
              <w:spacing w:after="0"/>
              <w:rPr>
                <w:sz w:val="20"/>
                <w:szCs w:val="20"/>
                <w:color w:val="auto"/>
              </w:rPr>
            </w:pPr>
            <w:r>
              <w:rPr>
                <w:rFonts w:ascii="Arial" w:cs="Arial" w:eastAsia="Arial" w:hAnsi="Arial"/>
                <w:sz w:val="20"/>
                <w:szCs w:val="20"/>
                <w:color w:val="auto"/>
              </w:rPr>
              <w:t>______________________________</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20" w:type="dxa"/>
            <w:vAlign w:val="bottom"/>
            <w:gridSpan w:val="13"/>
          </w:tcPr>
          <w:p>
            <w:pPr>
              <w:spacing w:after="0"/>
              <w:rPr>
                <w:sz w:val="20"/>
                <w:szCs w:val="20"/>
                <w:color w:val="auto"/>
              </w:rPr>
            </w:pPr>
            <w:r>
              <w:rPr>
                <w:rFonts w:ascii="Arial" w:cs="Arial" w:eastAsia="Arial" w:hAnsi="Arial"/>
                <w:sz w:val="20"/>
                <w:szCs w:val="20"/>
                <w:color w:val="auto"/>
                <w:w w:val="95"/>
              </w:rPr>
              <w:t>[for each Assignee, indicate [Affiliate] [Approved Fund] of [</w:t>
            </w:r>
            <w:r>
              <w:rPr>
                <w:rFonts w:ascii="Arial" w:cs="Arial" w:eastAsia="Arial" w:hAnsi="Arial"/>
                <w:sz w:val="20"/>
                <w:szCs w:val="20"/>
                <w:i w:val="1"/>
                <w:iCs w:val="1"/>
                <w:color w:val="auto"/>
                <w:w w:val="95"/>
              </w:rPr>
              <w:t>identify Lender</w:t>
            </w:r>
            <w:r>
              <w:rPr>
                <w:rFonts w:ascii="Arial" w:cs="Arial" w:eastAsia="Arial" w:hAnsi="Arial"/>
                <w:sz w:val="20"/>
                <w:szCs w:val="20"/>
                <w:color w:val="auto"/>
                <w:w w:val="95"/>
              </w:rPr>
              <w:t>]</w:t>
            </w: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180" w:type="dxa"/>
            <w:vAlign w:val="bottom"/>
          </w:tcPr>
          <w:p>
            <w:pPr>
              <w:spacing w:after="0"/>
              <w:rPr>
                <w:sz w:val="20"/>
                <w:szCs w:val="20"/>
                <w:color w:val="auto"/>
              </w:rPr>
            </w:pPr>
            <w:r>
              <w:rPr>
                <w:rFonts w:ascii="Arial" w:cs="Arial" w:eastAsia="Arial" w:hAnsi="Arial"/>
                <w:sz w:val="20"/>
                <w:szCs w:val="20"/>
                <w:color w:val="auto"/>
                <w:w w:val="95"/>
              </w:rPr>
              <w:t>3.</w:t>
            </w:r>
          </w:p>
        </w:tc>
        <w:tc>
          <w:tcPr>
            <w:tcW w:w="1380" w:type="dxa"/>
            <w:vAlign w:val="bottom"/>
            <w:gridSpan w:val="2"/>
          </w:tcPr>
          <w:p>
            <w:pPr>
              <w:ind w:left="480"/>
              <w:spacing w:after="0"/>
              <w:rPr>
                <w:sz w:val="20"/>
                <w:szCs w:val="20"/>
                <w:color w:val="auto"/>
              </w:rPr>
            </w:pPr>
            <w:r>
              <w:rPr>
                <w:rFonts w:ascii="Arial" w:cs="Arial" w:eastAsia="Arial" w:hAnsi="Arial"/>
                <w:sz w:val="20"/>
                <w:szCs w:val="20"/>
                <w:color w:val="auto"/>
              </w:rPr>
              <w:t>Borrower:</w:t>
            </w:r>
          </w:p>
        </w:tc>
        <w:tc>
          <w:tcPr>
            <w:tcW w:w="160" w:type="dxa"/>
            <w:vAlign w:val="bottom"/>
          </w:tcPr>
          <w:p>
            <w:pPr>
              <w:spacing w:after="0"/>
              <w:rPr>
                <w:sz w:val="24"/>
                <w:szCs w:val="24"/>
                <w:color w:val="auto"/>
              </w:rPr>
            </w:pPr>
          </w:p>
        </w:tc>
        <w:tc>
          <w:tcPr>
            <w:tcW w:w="6420" w:type="dxa"/>
            <w:vAlign w:val="bottom"/>
            <w:gridSpan w:val="11"/>
          </w:tcPr>
          <w:p>
            <w:pPr>
              <w:jc w:val="center"/>
              <w:ind w:right="1200"/>
              <w:spacing w:after="0"/>
              <w:rPr>
                <w:sz w:val="20"/>
                <w:szCs w:val="20"/>
                <w:color w:val="auto"/>
              </w:rPr>
            </w:pPr>
            <w:r>
              <w:rPr>
                <w:rFonts w:ascii="Arial" w:cs="Arial" w:eastAsia="Arial" w:hAnsi="Arial"/>
                <w:sz w:val="20"/>
                <w:szCs w:val="20"/>
                <w:color w:val="auto"/>
                <w:w w:val="93"/>
              </w:rPr>
              <w:t>LendingTree, LLC, a Delaware limited liability company</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20" w:type="dxa"/>
            <w:vAlign w:val="bottom"/>
            <w:gridSpan w:val="7"/>
          </w:tcPr>
          <w:p>
            <w:pPr>
              <w:ind w:left="200"/>
              <w:spacing w:after="0" w:line="206" w:lineRule="exact"/>
              <w:rPr>
                <w:sz w:val="20"/>
                <w:szCs w:val="20"/>
                <w:color w:val="auto"/>
              </w:rPr>
            </w:pPr>
            <w:r>
              <w:rPr>
                <w:rFonts w:ascii="Arial" w:cs="Arial" w:eastAsia="Arial" w:hAnsi="Arial"/>
                <w:sz w:val="20"/>
                <w:szCs w:val="20"/>
                <w:color w:val="auto"/>
              </w:rPr>
              <w:t>(the “Borrower”)</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3"/>
        </w:trPr>
        <w:tc>
          <w:tcPr>
            <w:tcW w:w="180" w:type="dxa"/>
            <w:vAlign w:val="bottom"/>
          </w:tcPr>
          <w:p>
            <w:pPr>
              <w:spacing w:after="0"/>
              <w:rPr>
                <w:sz w:val="20"/>
                <w:szCs w:val="20"/>
                <w:color w:val="auto"/>
              </w:rPr>
            </w:pPr>
            <w:r>
              <w:rPr>
                <w:rFonts w:ascii="Arial" w:cs="Arial" w:eastAsia="Arial" w:hAnsi="Arial"/>
                <w:sz w:val="20"/>
                <w:szCs w:val="20"/>
                <w:color w:val="auto"/>
                <w:w w:val="95"/>
              </w:rPr>
              <w:t>4.</w:t>
            </w:r>
          </w:p>
        </w:tc>
        <w:tc>
          <w:tcPr>
            <w:tcW w:w="1380" w:type="dxa"/>
            <w:vAlign w:val="bottom"/>
            <w:gridSpan w:val="2"/>
          </w:tcPr>
          <w:p>
            <w:pPr>
              <w:ind w:left="20"/>
              <w:spacing w:after="0"/>
              <w:rPr>
                <w:sz w:val="20"/>
                <w:szCs w:val="20"/>
                <w:color w:val="auto"/>
              </w:rPr>
            </w:pPr>
            <w:r>
              <w:rPr>
                <w:rFonts w:ascii="Arial" w:cs="Arial" w:eastAsia="Arial" w:hAnsi="Arial"/>
                <w:sz w:val="20"/>
                <w:szCs w:val="20"/>
                <w:color w:val="auto"/>
              </w:rPr>
              <w:t>Administrative</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380" w:type="dxa"/>
            <w:vAlign w:val="bottom"/>
            <w:gridSpan w:val="2"/>
          </w:tcPr>
          <w:p>
            <w:pPr>
              <w:ind w:left="480"/>
              <w:spacing w:after="0"/>
              <w:rPr>
                <w:sz w:val="20"/>
                <w:szCs w:val="20"/>
                <w:color w:val="auto"/>
              </w:rPr>
            </w:pPr>
            <w:r>
              <w:rPr>
                <w:rFonts w:ascii="Arial" w:cs="Arial" w:eastAsia="Arial" w:hAnsi="Arial"/>
                <w:sz w:val="20"/>
                <w:szCs w:val="20"/>
                <w:color w:val="auto"/>
              </w:rPr>
              <w:t>Agent:</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80" w:type="dxa"/>
            <w:vAlign w:val="bottom"/>
            <w:gridSpan w:val="12"/>
          </w:tcPr>
          <w:p>
            <w:pPr>
              <w:ind w:left="480"/>
              <w:spacing w:after="0"/>
              <w:rPr>
                <w:sz w:val="20"/>
                <w:szCs w:val="20"/>
                <w:color w:val="auto"/>
              </w:rPr>
            </w:pPr>
            <w:r>
              <w:rPr>
                <w:rFonts w:ascii="Arial" w:cs="Arial" w:eastAsia="Arial" w:hAnsi="Arial"/>
                <w:sz w:val="20"/>
                <w:szCs w:val="20"/>
                <w:color w:val="auto"/>
                <w:w w:val="93"/>
              </w:rPr>
              <w:t>SunTrust Bank, as the administrative agent under the Credit Agreement (in such capacity, together</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380" w:type="dxa"/>
            <w:vAlign w:val="bottom"/>
            <w:gridSpan w:val="10"/>
          </w:tcPr>
          <w:p>
            <w:pPr>
              <w:ind w:left="480"/>
              <w:spacing w:after="0" w:line="206" w:lineRule="exact"/>
              <w:rPr>
                <w:sz w:val="20"/>
                <w:szCs w:val="20"/>
                <w:color w:val="auto"/>
              </w:rPr>
            </w:pPr>
            <w:r>
              <w:rPr>
                <w:rFonts w:ascii="Arial" w:cs="Arial" w:eastAsia="Arial" w:hAnsi="Arial"/>
                <w:sz w:val="20"/>
                <w:szCs w:val="20"/>
                <w:color w:val="auto"/>
                <w:w w:val="92"/>
              </w:rPr>
              <w:t>with its successors and assigns, the “Administrative Agent”)</w:t>
            </w:r>
          </w:p>
        </w:tc>
        <w:tc>
          <w:tcPr>
            <w:tcW w:w="1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180" w:type="dxa"/>
            <w:vAlign w:val="bottom"/>
          </w:tcPr>
          <w:p>
            <w:pPr>
              <w:spacing w:after="0"/>
              <w:rPr>
                <w:sz w:val="20"/>
                <w:szCs w:val="20"/>
                <w:color w:val="auto"/>
              </w:rPr>
            </w:pPr>
            <w:r>
              <w:rPr>
                <w:rFonts w:ascii="Arial" w:cs="Arial" w:eastAsia="Arial" w:hAnsi="Arial"/>
                <w:sz w:val="20"/>
                <w:szCs w:val="20"/>
                <w:color w:val="auto"/>
                <w:w w:val="95"/>
              </w:rPr>
              <w:t>5.</w:t>
            </w:r>
          </w:p>
        </w:tc>
        <w:tc>
          <w:tcPr>
            <w:tcW w:w="1540" w:type="dxa"/>
            <w:vAlign w:val="bottom"/>
            <w:gridSpan w:val="3"/>
          </w:tcPr>
          <w:p>
            <w:pPr>
              <w:ind w:left="20"/>
              <w:spacing w:after="0"/>
              <w:rPr>
                <w:sz w:val="20"/>
                <w:szCs w:val="20"/>
                <w:color w:val="auto"/>
              </w:rPr>
            </w:pPr>
            <w:r>
              <w:rPr>
                <w:rFonts w:ascii="Arial" w:cs="Arial" w:eastAsia="Arial" w:hAnsi="Arial"/>
                <w:sz w:val="20"/>
                <w:szCs w:val="20"/>
                <w:color w:val="auto"/>
                <w:w w:val="92"/>
              </w:rPr>
              <w:t>Credit Agreement:</w:t>
            </w:r>
          </w:p>
        </w:tc>
        <w:tc>
          <w:tcPr>
            <w:tcW w:w="6420" w:type="dxa"/>
            <w:vAlign w:val="bottom"/>
            <w:gridSpan w:val="11"/>
          </w:tcPr>
          <w:p>
            <w:pPr>
              <w:ind w:left="360"/>
              <w:spacing w:after="0"/>
              <w:rPr>
                <w:sz w:val="20"/>
                <w:szCs w:val="20"/>
                <w:color w:val="auto"/>
              </w:rPr>
            </w:pPr>
            <w:r>
              <w:rPr>
                <w:rFonts w:ascii="Arial" w:cs="Arial" w:eastAsia="Arial" w:hAnsi="Arial"/>
                <w:sz w:val="20"/>
                <w:szCs w:val="20"/>
                <w:color w:val="auto"/>
                <w:w w:val="95"/>
              </w:rPr>
              <w:t>Credit Agreement dated as of October 22, 2015 (as amended, restated,</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320" w:type="dxa"/>
            <w:vAlign w:val="bottom"/>
            <w:gridSpan w:val="11"/>
          </w:tcPr>
          <w:p>
            <w:pPr>
              <w:ind w:left="480"/>
              <w:spacing w:after="0"/>
              <w:rPr>
                <w:sz w:val="20"/>
                <w:szCs w:val="20"/>
                <w:color w:val="auto"/>
              </w:rPr>
            </w:pPr>
            <w:r>
              <w:rPr>
                <w:rFonts w:ascii="Arial" w:cs="Arial" w:eastAsia="Arial" w:hAnsi="Arial"/>
                <w:sz w:val="20"/>
                <w:szCs w:val="20"/>
                <w:color w:val="auto"/>
              </w:rPr>
              <w:t>amended and restated, supplemented and/or otherwise modified from time</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320" w:type="dxa"/>
            <w:vAlign w:val="bottom"/>
            <w:gridSpan w:val="11"/>
          </w:tcPr>
          <w:p>
            <w:pPr>
              <w:ind w:left="480"/>
              <w:spacing w:after="0" w:line="206" w:lineRule="exact"/>
              <w:rPr>
                <w:sz w:val="20"/>
                <w:szCs w:val="20"/>
                <w:color w:val="auto"/>
              </w:rPr>
            </w:pPr>
            <w:r>
              <w:rPr>
                <w:rFonts w:ascii="Arial" w:cs="Arial" w:eastAsia="Arial" w:hAnsi="Arial"/>
                <w:sz w:val="20"/>
                <w:szCs w:val="20"/>
                <w:color w:val="auto"/>
              </w:rPr>
              <w:t>to time, the “Credit Agreement”) by and among the Borrower, LendingTree,</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right w:val="single" w:sz="8" w:color="auto"/>
            </w:tcBorders>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320" w:type="dxa"/>
            <w:vAlign w:val="bottom"/>
            <w:gridSpan w:val="11"/>
          </w:tcPr>
          <w:p>
            <w:pPr>
              <w:ind w:left="480"/>
              <w:spacing w:after="0"/>
              <w:rPr>
                <w:sz w:val="20"/>
                <w:szCs w:val="20"/>
                <w:color w:val="auto"/>
              </w:rPr>
            </w:pPr>
            <w:r>
              <w:rPr>
                <w:rFonts w:ascii="Arial" w:cs="Arial" w:eastAsia="Arial" w:hAnsi="Arial"/>
                <w:sz w:val="20"/>
                <w:szCs w:val="20"/>
                <w:color w:val="auto"/>
              </w:rPr>
              <w:t>Inc., a Delaware corporation, each lender from time to time party thereto</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320" w:type="dxa"/>
            <w:vAlign w:val="bottom"/>
            <w:gridSpan w:val="11"/>
          </w:tcPr>
          <w:p>
            <w:pPr>
              <w:ind w:left="480"/>
              <w:spacing w:after="0" w:line="206" w:lineRule="exact"/>
              <w:rPr>
                <w:sz w:val="20"/>
                <w:szCs w:val="20"/>
                <w:color w:val="auto"/>
              </w:rPr>
            </w:pPr>
            <w:r>
              <w:rPr>
                <w:rFonts w:ascii="Arial" w:cs="Arial" w:eastAsia="Arial" w:hAnsi="Arial"/>
                <w:sz w:val="20"/>
                <w:szCs w:val="20"/>
                <w:color w:val="auto"/>
              </w:rPr>
              <w:t>(the “Lenders”) and SunTrust Bank, as Administrative Agent for itself and</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w w:val="88"/>
              </w:rPr>
              <w:t>the Lenders.</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0"/>
                <w:szCs w:val="20"/>
                <w:color w:val="auto"/>
              </w:rPr>
            </w:pPr>
            <w:r>
              <w:rPr>
                <w:rFonts w:ascii="Arial" w:cs="Arial" w:eastAsia="Arial" w:hAnsi="Arial"/>
                <w:sz w:val="20"/>
                <w:szCs w:val="20"/>
                <w:color w:val="auto"/>
                <w:w w:val="95"/>
              </w:rPr>
              <w:t>6.</w:t>
            </w:r>
          </w:p>
        </w:tc>
        <w:tc>
          <w:tcPr>
            <w:tcW w:w="2580" w:type="dxa"/>
            <w:vAlign w:val="bottom"/>
            <w:gridSpan w:val="4"/>
          </w:tcPr>
          <w:p>
            <w:pPr>
              <w:ind w:left="20"/>
              <w:spacing w:after="0"/>
              <w:rPr>
                <w:sz w:val="20"/>
                <w:szCs w:val="20"/>
                <w:color w:val="auto"/>
              </w:rPr>
            </w:pPr>
            <w:r>
              <w:rPr>
                <w:rFonts w:ascii="Arial" w:cs="Arial" w:eastAsia="Arial" w:hAnsi="Arial"/>
                <w:sz w:val="20"/>
                <w:szCs w:val="20"/>
                <w:color w:val="auto"/>
              </w:rPr>
              <w:t>Assigned Interest[s]: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80" w:type="dxa"/>
            <w:vAlign w:val="bottom"/>
            <w:tcBorders>
              <w:lef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Borders>
              <w:right w:val="single" w:sz="8" w:color="auto"/>
            </w:tcBorders>
            <w:gridSpan w:val="4"/>
            <w:vMerge w:val="restart"/>
          </w:tcPr>
          <w:p>
            <w:pPr>
              <w:jc w:val="center"/>
              <w:ind w:right="120"/>
              <w:spacing w:after="0"/>
              <w:rPr>
                <w:sz w:val="20"/>
                <w:szCs w:val="20"/>
                <w:color w:val="auto"/>
              </w:rPr>
            </w:pPr>
            <w:r>
              <w:rPr>
                <w:rFonts w:ascii="Arial" w:cs="Arial" w:eastAsia="Arial" w:hAnsi="Arial"/>
                <w:sz w:val="14"/>
                <w:szCs w:val="14"/>
                <w:color w:val="auto"/>
                <w:w w:val="95"/>
              </w:rPr>
              <w:t>Aggregate Amount of</w:t>
            </w: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Percentage Assigned of</w:t>
            </w: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0" w:type="dxa"/>
            <w:vAlign w:val="bottom"/>
            <w:tcBorders>
              <w:lef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Borders>
              <w:right w:val="single" w:sz="8" w:color="auto"/>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Commitment/</w:t>
            </w: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tcBorders>
              <w:lef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Borders>
              <w:right w:val="single" w:sz="8" w:color="auto"/>
            </w:tcBorders>
            <w:gridSpan w:val="4"/>
            <w:vMerge w:val="restart"/>
          </w:tcPr>
          <w:p>
            <w:pPr>
              <w:jc w:val="center"/>
              <w:ind w:right="120"/>
              <w:spacing w:after="0" w:line="149" w:lineRule="exact"/>
              <w:rPr>
                <w:sz w:val="20"/>
                <w:szCs w:val="20"/>
                <w:color w:val="auto"/>
              </w:rPr>
            </w:pPr>
            <w:r>
              <w:rPr>
                <w:rFonts w:ascii="Arial" w:cs="Arial" w:eastAsia="Arial" w:hAnsi="Arial"/>
                <w:sz w:val="14"/>
                <w:szCs w:val="14"/>
                <w:color w:val="auto"/>
                <w:w w:val="96"/>
              </w:rPr>
              <w:t>Commitment/Loans for all</w:t>
            </w:r>
          </w:p>
        </w:tc>
        <w:tc>
          <w:tcPr>
            <w:tcW w:w="20" w:type="dxa"/>
            <w:vAlign w:val="bottom"/>
          </w:tcPr>
          <w:p>
            <w:pPr>
              <w:spacing w:after="0"/>
              <w:rPr>
                <w:sz w:val="11"/>
                <w:szCs w:val="11"/>
                <w:color w:val="auto"/>
              </w:rPr>
            </w:pPr>
          </w:p>
        </w:tc>
        <w:tc>
          <w:tcPr>
            <w:tcW w:w="1920" w:type="dxa"/>
            <w:vAlign w:val="bottom"/>
            <w:tcBorders>
              <w:right w:val="single" w:sz="8" w:color="auto"/>
            </w:tcBorders>
            <w:gridSpan w:val="2"/>
            <w:vMerge w:val="restart"/>
          </w:tcPr>
          <w:p>
            <w:pPr>
              <w:jc w:val="center"/>
              <w:ind w:right="40"/>
              <w:spacing w:after="0" w:line="149" w:lineRule="exact"/>
              <w:rPr>
                <w:sz w:val="20"/>
                <w:szCs w:val="20"/>
                <w:color w:val="auto"/>
              </w:rPr>
            </w:pPr>
            <w:r>
              <w:rPr>
                <w:rFonts w:ascii="Arial" w:cs="Arial" w:eastAsia="Arial" w:hAnsi="Arial"/>
                <w:sz w:val="14"/>
                <w:szCs w:val="14"/>
                <w:color w:val="auto"/>
                <w:w w:val="95"/>
              </w:rPr>
              <w:t>Amount of Commitment/Loans</w:t>
            </w:r>
          </w:p>
        </w:tc>
        <w:tc>
          <w:tcPr>
            <w:tcW w:w="194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right w:val="single" w:sz="8" w:color="auto"/>
            </w:tcBorders>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right w:val="single" w:sz="8" w:color="auto"/>
            </w:tcBorders>
            <w:gridSpan w:val="2"/>
            <w:vMerge w:val="continue"/>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80" w:type="dxa"/>
            <w:vAlign w:val="bottom"/>
            <w:tcBorders>
              <w:left w:val="single" w:sz="8" w:color="auto"/>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 xml:space="preserve">Assignor[s] </w:t>
            </w:r>
            <w:r>
              <w:rPr>
                <w:rFonts w:ascii="Arial" w:cs="Arial" w:eastAsia="Arial" w:hAnsi="Arial"/>
                <w:sz w:val="8"/>
                <w:szCs w:val="8"/>
                <w:color w:val="auto"/>
              </w:rPr>
              <w:t>5</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4"/>
                <w:szCs w:val="14"/>
                <w:color w:val="auto"/>
              </w:rPr>
              <w:t xml:space="preserve">Assignee[s] </w:t>
            </w:r>
            <w:r>
              <w:rPr>
                <w:rFonts w:ascii="Arial" w:cs="Arial" w:eastAsia="Arial" w:hAnsi="Arial"/>
                <w:sz w:val="8"/>
                <w:szCs w:val="8"/>
                <w:color w:val="auto"/>
              </w:rPr>
              <w:t>6</w:t>
            </w:r>
          </w:p>
        </w:tc>
        <w:tc>
          <w:tcPr>
            <w:tcW w:w="150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 xml:space="preserve">Facility Assigned </w:t>
            </w:r>
            <w:r>
              <w:rPr>
                <w:rFonts w:ascii="Arial" w:cs="Arial" w:eastAsia="Arial" w:hAnsi="Arial"/>
                <w:sz w:val="8"/>
                <w:szCs w:val="8"/>
                <w:color w:val="auto"/>
              </w:rPr>
              <w:t>7</w:t>
            </w:r>
          </w:p>
        </w:tc>
        <w:tc>
          <w:tcPr>
            <w:tcW w:w="8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1"/>
              </w:rPr>
              <w:t xml:space="preserve">Lenders </w:t>
            </w:r>
            <w:r>
              <w:rPr>
                <w:rFonts w:ascii="Arial" w:cs="Arial" w:eastAsia="Arial" w:hAnsi="Arial"/>
                <w:sz w:val="8"/>
                <w:szCs w:val="8"/>
                <w:color w:val="auto"/>
                <w:w w:val="91"/>
              </w:rPr>
              <w:t>8</w:t>
            </w:r>
          </w:p>
        </w:tc>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93"/>
              </w:rPr>
              <w:t>Assigned</w:t>
            </w:r>
            <w:r>
              <w:rPr>
                <w:rFonts w:ascii="Arial" w:cs="Arial" w:eastAsia="Arial" w:hAnsi="Arial"/>
                <w:sz w:val="8"/>
                <w:szCs w:val="8"/>
                <w:color w:val="auto"/>
                <w:w w:val="93"/>
              </w:rPr>
              <w:t>8</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 xml:space="preserve">Loans </w:t>
            </w:r>
            <w:r>
              <w:rPr>
                <w:rFonts w:ascii="Arial" w:cs="Arial" w:eastAsia="Arial" w:hAnsi="Arial"/>
                <w:sz w:val="8"/>
                <w:szCs w:val="8"/>
                <w:color w:val="auto"/>
                <w:w w:val="94"/>
              </w:rPr>
              <w:t>9</w:t>
            </w:r>
          </w:p>
        </w:tc>
        <w:tc>
          <w:tcPr>
            <w:tcW w:w="1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CUSIP Number</w:t>
            </w:r>
          </w:p>
        </w:tc>
        <w:tc>
          <w:tcPr>
            <w:tcW w:w="0" w:type="dxa"/>
            <w:vAlign w:val="bottom"/>
          </w:tcPr>
          <w:p>
            <w:pPr>
              <w:spacing w:after="0"/>
              <w:rPr>
                <w:sz w:val="1"/>
                <w:szCs w:val="1"/>
                <w:color w:val="auto"/>
              </w:rPr>
            </w:pPr>
          </w:p>
        </w:tc>
      </w:tr>
      <w:tr>
        <w:trPr>
          <w:trHeight w:val="264"/>
        </w:trPr>
        <w:tc>
          <w:tcPr>
            <w:tcW w:w="180" w:type="dxa"/>
            <w:vAlign w:val="bottom"/>
            <w:tcBorders>
              <w:left w:val="single" w:sz="8" w:color="auto"/>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6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jc w:val="right"/>
              <w:ind w:right="1728"/>
              <w:spacing w:after="0"/>
              <w:rPr>
                <w:sz w:val="20"/>
                <w:szCs w:val="20"/>
                <w:color w:val="auto"/>
              </w:rPr>
            </w:pPr>
            <w:r>
              <w:rPr>
                <w:rFonts w:ascii="Arial" w:cs="Arial" w:eastAsia="Arial" w:hAnsi="Arial"/>
                <w:sz w:val="14"/>
                <w:szCs w:val="14"/>
                <w:color w:val="auto"/>
                <w:w w:val="96"/>
              </w:rPr>
              <w:t>%</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 w:type="dxa"/>
            <w:vAlign w:val="bottom"/>
            <w:tcBorders>
              <w:left w:val="single" w:sz="8" w:color="auto"/>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6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jc w:val="right"/>
              <w:ind w:right="1728"/>
              <w:spacing w:after="0"/>
              <w:rPr>
                <w:sz w:val="20"/>
                <w:szCs w:val="20"/>
                <w:color w:val="auto"/>
              </w:rPr>
            </w:pPr>
            <w:r>
              <w:rPr>
                <w:rFonts w:ascii="Arial" w:cs="Arial" w:eastAsia="Arial" w:hAnsi="Arial"/>
                <w:sz w:val="14"/>
                <w:szCs w:val="14"/>
                <w:color w:val="auto"/>
                <w:w w:val="96"/>
              </w:rPr>
              <w:t>%</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 w:type="dxa"/>
            <w:vAlign w:val="bottom"/>
            <w:tcBorders>
              <w:left w:val="single" w:sz="8" w:color="auto"/>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6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jc w:val="right"/>
              <w:ind w:right="1728"/>
              <w:spacing w:after="0"/>
              <w:rPr>
                <w:sz w:val="20"/>
                <w:szCs w:val="20"/>
                <w:color w:val="auto"/>
              </w:rPr>
            </w:pPr>
            <w:r>
              <w:rPr>
                <w:rFonts w:ascii="Arial" w:cs="Arial" w:eastAsia="Arial" w:hAnsi="Arial"/>
                <w:sz w:val="14"/>
                <w:szCs w:val="14"/>
                <w:color w:val="auto"/>
                <w:w w:val="96"/>
              </w:rPr>
              <w:t>%</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72"/>
        </w:trPr>
        <w:tc>
          <w:tcPr>
            <w:tcW w:w="1560" w:type="dxa"/>
            <w:vAlign w:val="bottom"/>
            <w:gridSpan w:val="3"/>
          </w:tcPr>
          <w:p>
            <w:pPr>
              <w:spacing w:after="0"/>
              <w:rPr>
                <w:sz w:val="20"/>
                <w:szCs w:val="20"/>
                <w:color w:val="auto"/>
              </w:rPr>
            </w:pPr>
            <w:r>
              <w:rPr>
                <w:rFonts w:ascii="Arial" w:cs="Arial" w:eastAsia="Arial" w:hAnsi="Arial"/>
                <w:sz w:val="20"/>
                <w:szCs w:val="20"/>
                <w:color w:val="auto"/>
              </w:rPr>
              <w:t>[7.  Trade Date:</w:t>
            </w:r>
          </w:p>
        </w:tc>
        <w:tc>
          <w:tcPr>
            <w:tcW w:w="160" w:type="dxa"/>
            <w:vAlign w:val="bottom"/>
          </w:tcPr>
          <w:p>
            <w:pPr>
              <w:spacing w:after="0"/>
              <w:rPr>
                <w:sz w:val="24"/>
                <w:szCs w:val="24"/>
                <w:color w:val="auto"/>
              </w:rPr>
            </w:pPr>
          </w:p>
        </w:tc>
        <w:tc>
          <w:tcPr>
            <w:tcW w:w="1980" w:type="dxa"/>
            <w:vAlign w:val="bottom"/>
            <w:gridSpan w:val="2"/>
          </w:tcPr>
          <w:p>
            <w:pPr>
              <w:jc w:val="right"/>
              <w:ind w:right="203"/>
              <w:spacing w:after="0"/>
              <w:rPr>
                <w:sz w:val="20"/>
                <w:szCs w:val="20"/>
                <w:color w:val="auto"/>
              </w:rPr>
            </w:pPr>
            <w:r>
              <w:rPr>
                <w:rFonts w:ascii="Arial" w:cs="Arial" w:eastAsia="Arial" w:hAnsi="Arial"/>
                <w:sz w:val="20"/>
                <w:szCs w:val="20"/>
                <w:color w:val="auto"/>
                <w:w w:val="88"/>
              </w:rPr>
              <w:t xml:space="preserve">______________] </w:t>
            </w:r>
            <w:r>
              <w:rPr>
                <w:rFonts w:ascii="Arial" w:cs="Arial" w:eastAsia="Arial" w:hAnsi="Arial"/>
                <w:sz w:val="28"/>
                <w:szCs w:val="28"/>
                <w:color w:val="auto"/>
                <w:w w:val="88"/>
                <w:vertAlign w:val="superscript"/>
              </w:rPr>
              <w:t>10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hanging="112"/>
        <w:spacing w:after="0"/>
        <w:tabs>
          <w:tab w:leader="none" w:pos="120" w:val="left"/>
        </w:tabs>
        <w:numPr>
          <w:ilvl w:val="0"/>
          <w:numId w:val="159"/>
        </w:numPr>
        <w:rPr>
          <w:rFonts w:ascii="Arial" w:cs="Arial" w:eastAsia="Arial" w:hAnsi="Arial"/>
          <w:sz w:val="29"/>
          <w:szCs w:val="29"/>
          <w:color w:val="auto"/>
          <w:vertAlign w:val="superscript"/>
        </w:rPr>
      </w:pPr>
      <w:r>
        <w:rPr>
          <w:rFonts w:ascii="Arial" w:cs="Arial" w:eastAsia="Arial" w:hAnsi="Arial"/>
          <w:sz w:val="18"/>
          <w:szCs w:val="18"/>
          <w:color w:val="auto"/>
        </w:rPr>
        <w:t>List each Assignor, as appropriate.</w:t>
      </w:r>
    </w:p>
    <w:p>
      <w:pPr>
        <w:spacing w:after="0" w:line="31" w:lineRule="exact"/>
        <w:rPr>
          <w:sz w:val="20"/>
          <w:szCs w:val="20"/>
          <w:color w:val="auto"/>
        </w:rPr>
      </w:pPr>
    </w:p>
    <w:p>
      <w:pPr>
        <w:ind w:left="120" w:hanging="112"/>
        <w:spacing w:after="0"/>
        <w:tabs>
          <w:tab w:leader="none" w:pos="120" w:val="left"/>
        </w:tabs>
        <w:numPr>
          <w:ilvl w:val="0"/>
          <w:numId w:val="160"/>
        </w:numPr>
        <w:rPr>
          <w:rFonts w:ascii="Arial" w:cs="Arial" w:eastAsia="Arial" w:hAnsi="Arial"/>
          <w:sz w:val="29"/>
          <w:szCs w:val="29"/>
          <w:color w:val="auto"/>
          <w:vertAlign w:val="superscript"/>
        </w:rPr>
      </w:pPr>
      <w:r>
        <w:rPr>
          <w:rFonts w:ascii="Arial" w:cs="Arial" w:eastAsia="Arial" w:hAnsi="Arial"/>
          <w:sz w:val="18"/>
          <w:szCs w:val="18"/>
          <w:color w:val="auto"/>
        </w:rPr>
        <w:t>List each Assignee, as appropriate.</w:t>
      </w:r>
    </w:p>
    <w:p>
      <w:pPr>
        <w:spacing w:after="0" w:line="134" w:lineRule="exact"/>
        <w:rPr>
          <w:sz w:val="20"/>
          <w:szCs w:val="20"/>
          <w:color w:val="auto"/>
        </w:rPr>
      </w:pPr>
    </w:p>
    <w:p>
      <w:pPr>
        <w:ind w:left="340" w:right="20" w:hanging="332"/>
        <w:spacing w:after="0" w:line="216" w:lineRule="auto"/>
        <w:tabs>
          <w:tab w:leader="none" w:pos="146" w:val="left"/>
        </w:tabs>
        <w:numPr>
          <w:ilvl w:val="0"/>
          <w:numId w:val="161"/>
        </w:numPr>
        <w:rPr>
          <w:rFonts w:ascii="Arial" w:cs="Arial" w:eastAsia="Arial" w:hAnsi="Arial"/>
          <w:sz w:val="29"/>
          <w:szCs w:val="29"/>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(e.g., “Revolving Commitment,” etc.)</w:t>
      </w:r>
    </w:p>
    <w:p>
      <w:pPr>
        <w:spacing w:after="0" w:line="43" w:lineRule="exact"/>
        <w:rPr>
          <w:sz w:val="20"/>
          <w:szCs w:val="20"/>
          <w:color w:val="auto"/>
        </w:rPr>
      </w:pPr>
    </w:p>
    <w:p>
      <w:pPr>
        <w:ind w:left="120" w:hanging="112"/>
        <w:spacing w:after="0"/>
        <w:tabs>
          <w:tab w:leader="none" w:pos="120" w:val="left"/>
        </w:tabs>
        <w:numPr>
          <w:ilvl w:val="0"/>
          <w:numId w:val="162"/>
        </w:numPr>
        <w:rPr>
          <w:rFonts w:ascii="Arial" w:cs="Arial" w:eastAsia="Arial" w:hAnsi="Arial"/>
          <w:sz w:val="28"/>
          <w:szCs w:val="28"/>
          <w:color w:val="auto"/>
          <w:vertAlign w:val="superscript"/>
        </w:rPr>
      </w:pPr>
      <w:r>
        <w:rPr>
          <w:rFonts w:ascii="Arial" w:cs="Arial" w:eastAsia="Arial" w:hAnsi="Arial"/>
          <w:sz w:val="17"/>
          <w:szCs w:val="17"/>
          <w:color w:val="auto"/>
        </w:rPr>
        <w:t>Amount to be adjusted by the counterparties to take into account any payments or prepayments made between the Trade Date and the Effective Date.</w:t>
      </w:r>
    </w:p>
    <w:p>
      <w:pPr>
        <w:spacing w:after="0" w:line="31" w:lineRule="exact"/>
        <w:rPr>
          <w:sz w:val="20"/>
          <w:szCs w:val="20"/>
          <w:color w:val="auto"/>
        </w:rPr>
      </w:pPr>
    </w:p>
    <w:p>
      <w:pPr>
        <w:ind w:left="120" w:hanging="112"/>
        <w:spacing w:after="0"/>
        <w:tabs>
          <w:tab w:leader="none" w:pos="120" w:val="left"/>
        </w:tabs>
        <w:numPr>
          <w:ilvl w:val="0"/>
          <w:numId w:val="163"/>
        </w:numPr>
        <w:rPr>
          <w:rFonts w:ascii="Arial" w:cs="Arial" w:eastAsia="Arial" w:hAnsi="Arial"/>
          <w:sz w:val="29"/>
          <w:szCs w:val="29"/>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spacing w:after="0" w:line="77" w:lineRule="exact"/>
        <w:rPr>
          <w:sz w:val="20"/>
          <w:szCs w:val="20"/>
          <w:color w:val="auto"/>
        </w:rPr>
      </w:pPr>
    </w:p>
    <w:p>
      <w:pPr>
        <w:ind w:left="200" w:hanging="192"/>
        <w:spacing w:after="0"/>
        <w:tabs>
          <w:tab w:leader="none" w:pos="200" w:val="left"/>
        </w:tabs>
        <w:numPr>
          <w:ilvl w:val="0"/>
          <w:numId w:val="164"/>
        </w:numPr>
        <w:rPr>
          <w:rFonts w:ascii="Arial" w:cs="Arial" w:eastAsia="Arial" w:hAnsi="Arial"/>
          <w:sz w:val="25"/>
          <w:szCs w:val="25"/>
          <w:color w:val="auto"/>
          <w:vertAlign w:val="superscript"/>
        </w:rPr>
      </w:pPr>
      <w:r>
        <w:rPr>
          <w:rFonts w:ascii="Arial" w:cs="Arial" w:eastAsia="Arial" w:hAnsi="Arial"/>
          <w:sz w:val="16"/>
          <w:szCs w:val="16"/>
          <w:color w:val="auto"/>
        </w:rPr>
        <w:t>To be completed if the Assignor(s) and the Assignee(s) intend that the minimum assignment amount is to be determined as of the Trade Date.</w:t>
      </w:r>
    </w:p>
    <w:p>
      <w:pPr>
        <w:sectPr>
          <w:pgSz w:w="11900" w:h="16838" w:orient="portrait"/>
          <w:cols w:equalWidth="0" w:num="1">
            <w:col w:w="11440"/>
          </w:cols>
          <w:pgMar w:left="240" w:top="366" w:right="21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ASSIGNOR[S]</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ASSIGNEE[S]</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w:t>
      </w:r>
      <w:r>
        <w:rPr>
          <w:rFonts w:ascii="Arial" w:cs="Arial" w:eastAsia="Arial" w:hAnsi="Arial"/>
          <w:sz w:val="28"/>
          <w:szCs w:val="28"/>
          <w:color w:val="auto"/>
          <w:vertAlign w:val="superscript"/>
        </w:rPr>
        <w:t>11</w:t>
      </w:r>
      <w:r>
        <w:rPr>
          <w:rFonts w:ascii="Arial" w:cs="Arial" w:eastAsia="Arial" w:hAnsi="Arial"/>
          <w:sz w:val="20"/>
          <w:szCs w:val="20"/>
          <w:color w:val="auto"/>
        </w:rPr>
        <w:t xml:space="preserve"> </w:t>
      </w:r>
      <w:r>
        <w:rPr>
          <w:rFonts w:ascii="Arial" w:cs="Arial" w:eastAsia="Arial" w:hAnsi="Arial"/>
          <w:sz w:val="21"/>
          <w:szCs w:val="21"/>
          <w:color w:val="auto"/>
        </w:rPr>
        <w:t>Accepted:</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SUNTRUST BANK</w:t>
      </w:r>
      <w:r>
        <w:rPr>
          <w:rFonts w:ascii="Arial" w:cs="Arial" w:eastAsia="Arial" w:hAnsi="Arial"/>
          <w:sz w:val="20"/>
          <w:szCs w:val="20"/>
          <w:color w:val="auto"/>
        </w:rPr>
        <w:t>, as Administrative Agent,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Issuing Bank and Swingline Lender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2486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hanging="192"/>
        <w:spacing w:after="0"/>
        <w:tabs>
          <w:tab w:leader="none" w:pos="200" w:val="left"/>
        </w:tabs>
        <w:numPr>
          <w:ilvl w:val="0"/>
          <w:numId w:val="165"/>
        </w:numPr>
        <w:rPr>
          <w:rFonts w:ascii="Arial" w:cs="Arial" w:eastAsia="Arial" w:hAnsi="Arial"/>
          <w:sz w:val="25"/>
          <w:szCs w:val="25"/>
          <w:color w:val="auto"/>
          <w:vertAlign w:val="superscript"/>
        </w:rPr>
      </w:pPr>
      <w:r>
        <w:rPr>
          <w:rFonts w:ascii="Arial" w:cs="Arial" w:eastAsia="Arial" w:hAnsi="Arial"/>
          <w:sz w:val="16"/>
          <w:szCs w:val="16"/>
          <w:color w:val="auto"/>
        </w:rPr>
        <w:t>To be added only if the consent of the Administrative Agent is required by the terms of the Credit Agreement.</w:t>
      </w:r>
    </w:p>
    <w:p>
      <w:pPr>
        <w:sectPr>
          <w:pgSz w:w="11900" w:h="16838" w:orient="portrait"/>
          <w:cols w:equalWidth="0" w:num="1">
            <w:col w:w="11400"/>
          </w:cols>
          <w:pgMar w:left="240" w:top="366" w:right="25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[Consented to:]</w:t>
      </w:r>
      <w:r>
        <w:rPr>
          <w:rFonts w:ascii="Arial" w:cs="Arial" w:eastAsia="Arial" w:hAnsi="Arial"/>
          <w:sz w:val="28"/>
          <w:szCs w:val="28"/>
          <w:color w:val="auto"/>
          <w:vertAlign w:val="superscript"/>
        </w:rPr>
        <w:t>12</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LENDINGTREE, LLC</w:t>
      </w:r>
      <w:r>
        <w:rPr>
          <w:rFonts w:ascii="Arial" w:cs="Arial" w:eastAsia="Arial" w:hAnsi="Arial"/>
          <w:sz w:val="22"/>
          <w:szCs w:val="22"/>
          <w:color w:val="auto"/>
        </w:rPr>
        <w:t>, as the Borrower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5744845</wp:posOffset>
            </wp:positionV>
            <wp:extent cx="2543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3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hanging="192"/>
        <w:spacing w:after="0"/>
        <w:tabs>
          <w:tab w:leader="none" w:pos="200" w:val="left"/>
        </w:tabs>
        <w:numPr>
          <w:ilvl w:val="0"/>
          <w:numId w:val="166"/>
        </w:numPr>
        <w:rPr>
          <w:rFonts w:ascii="Arial" w:cs="Arial" w:eastAsia="Arial" w:hAnsi="Arial"/>
          <w:sz w:val="25"/>
          <w:szCs w:val="25"/>
          <w:color w:val="auto"/>
          <w:vertAlign w:val="superscript"/>
        </w:rPr>
      </w:pPr>
      <w:r>
        <w:rPr>
          <w:rFonts w:ascii="Arial" w:cs="Arial" w:eastAsia="Arial" w:hAnsi="Arial"/>
          <w:sz w:val="16"/>
          <w:szCs w:val="16"/>
          <w:color w:val="auto"/>
        </w:rPr>
        <w:t>To be added only if the consent of the Borrower is required by the terms of the Credit Agreement.</w:t>
      </w:r>
    </w:p>
    <w:p>
      <w:pPr>
        <w:sectPr>
          <w:pgSz w:w="11900" w:h="16838" w:orient="portrait"/>
          <w:cols w:equalWidth="0" w:num="1">
            <w:col w:w="10219"/>
          </w:cols>
          <w:pgMar w:left="240" w:top="364"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t>ANNEX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22,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AMONG LENDTREE, LLC, A DELAWARE LIMITED LIABILITY COMPANY,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LENDINGTREE, INC., A DELAWARE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SEVERAL BANKS AND OTHER FINANCIAL INSTITUTIONS AND LENDERS FROM TIME TO TIME PARTY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THERETO, AND SUNTRUST BANK, AS ADMINISTRATIVE AGENT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13" w:lineRule="exact"/>
        <w:rPr>
          <w:sz w:val="20"/>
          <w:szCs w:val="20"/>
          <w:color w:val="auto"/>
        </w:rPr>
      </w:pPr>
    </w:p>
    <w:p>
      <w:pPr>
        <w:ind w:left="1660" w:hanging="355"/>
        <w:spacing w:after="0"/>
        <w:tabs>
          <w:tab w:leader="none" w:pos="166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29"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Assignor[s]</w:t>
      </w:r>
      <w:r>
        <w:rPr>
          <w:rFonts w:ascii="Arial" w:cs="Arial" w:eastAsia="Arial" w:hAnsi="Arial"/>
          <w:sz w:val="20"/>
          <w:szCs w:val="20"/>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20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Assignee[s]</w:t>
      </w:r>
      <w:r>
        <w:rPr>
          <w:rFonts w:ascii="Arial" w:cs="Arial" w:eastAsia="Arial" w:hAnsi="Arial"/>
          <w:sz w:val="18"/>
          <w:szCs w:val="18"/>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10.4 of the Credit Agreement (subject to such consents, if any, as may be required under Section 10.4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5.1(b)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Person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6" w:lineRule="exact"/>
        <w:rPr>
          <w:sz w:val="20"/>
          <w:szCs w:val="20"/>
          <w:color w:val="auto"/>
        </w:rPr>
      </w:pPr>
    </w:p>
    <w:p>
      <w:pPr>
        <w:ind w:firstLine="1305"/>
        <w:spacing w:after="0" w:line="260" w:lineRule="auto"/>
        <w:tabs>
          <w:tab w:leader="none" w:pos="1683"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[the][each] Assigned Interest (including payments of principal, interest, fees and other amounts)</w:t>
      </w:r>
    </w:p>
    <w:p>
      <w:pPr>
        <w:sectPr>
          <w:pgSz w:w="11900" w:h="16838" w:orient="portrait"/>
          <w:cols w:equalWidth="0" w:num="1">
            <w:col w:w="11420"/>
          </w:cols>
          <w:pgMar w:left="240" w:top="848" w:right="239" w:bottom="1440" w:gutter="0" w:footer="0" w:header="0"/>
        </w:sectPr>
      </w:pPr>
    </w:p>
    <w:bookmarkStart w:id="164" w:name="page165"/>
    <w:bookmarkEnd w:id="164"/>
    <w:p>
      <w:pPr>
        <w:jc w:val="both"/>
        <w:spacing w:after="0" w:line="269" w:lineRule="auto"/>
        <w:rPr>
          <w:sz w:val="20"/>
          <w:szCs w:val="20"/>
          <w:color w:val="auto"/>
        </w:rPr>
      </w:pPr>
      <w:r>
        <w:rPr>
          <w:rFonts w:ascii="Arial" w:cs="Arial" w:eastAsia="Arial" w:hAnsi="Arial"/>
          <w:sz w:val="19"/>
          <w:szCs w:val="19"/>
          <w:color w:val="auto"/>
        </w:rPr>
        <w:t>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84" w:lineRule="exact"/>
        <w:rPr>
          <w:sz w:val="20"/>
          <w:szCs w:val="20"/>
          <w:color w:val="auto"/>
        </w:rPr>
      </w:pPr>
    </w:p>
    <w:p>
      <w:pPr>
        <w:jc w:val="both"/>
        <w:ind w:firstLine="1305"/>
        <w:spacing w:after="0" w:line="260" w:lineRule="auto"/>
        <w:tabs>
          <w:tab w:leader="none" w:pos="1656"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20"/>
          </w:cols>
          <w:pgMar w:left="240" w:top="366"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GUARANTY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GUARANTY AND SECURITY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22, 2015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made by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w:t>
      </w:r>
      <w:r>
        <w:rPr>
          <w:rFonts w:ascii="Arial" w:cs="Arial" w:eastAsia="Arial" w:hAnsi="Arial"/>
          <w:sz w:val="20"/>
          <w:szCs w:val="20"/>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Parent,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OTHER GRANTORS FROM TIME TO TIME PARTY HERETO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favor 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SUNTRUST BANK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sectPr>
          <w:pgSz w:w="11900" w:h="16838" w:orient="portrait"/>
          <w:cols w:equalWidth="0" w:num="1">
            <w:col w:w="9019"/>
          </w:cols>
          <w:pgMar w:left="1440" w:top="369" w:right="1440" w:bottom="1440" w:gutter="0" w:footer="0" w:header="0"/>
        </w:sectPr>
      </w:pPr>
    </w:p>
    <w:bookmarkStart w:id="166" w:name="page167"/>
    <w:bookmarkEnd w:id="166"/>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94"/>
        </w:trPr>
        <w:tc>
          <w:tcPr>
            <w:tcW w:w="2120" w:type="dxa"/>
            <w:vAlign w:val="bottom"/>
          </w:tcPr>
          <w:p>
            <w:pPr>
              <w:spacing w:after="0"/>
              <w:rPr>
                <w:sz w:val="20"/>
                <w:szCs w:val="20"/>
                <w:color w:val="auto"/>
              </w:rPr>
            </w:pPr>
            <w:r>
              <w:rPr>
                <w:rFonts w:ascii="Arial" w:cs="Arial" w:eastAsia="Arial" w:hAnsi="Arial"/>
                <w:sz w:val="18"/>
                <w:szCs w:val="18"/>
                <w:b w:val="1"/>
                <w:bCs w:val="1"/>
                <w:color w:val="auto"/>
              </w:rPr>
              <w:t>ARTICLE I</w:t>
            </w:r>
          </w:p>
        </w:tc>
        <w:tc>
          <w:tcPr>
            <w:tcW w:w="8140" w:type="dxa"/>
            <w:vAlign w:val="bottom"/>
          </w:tcPr>
          <w:p>
            <w:pPr>
              <w:ind w:left="440"/>
              <w:spacing w:after="0"/>
              <w:rPr>
                <w:sz w:val="20"/>
                <w:szCs w:val="20"/>
                <w:color w:val="auto"/>
              </w:rPr>
            </w:pPr>
            <w:r>
              <w:rPr>
                <w:rFonts w:ascii="Arial" w:cs="Arial" w:eastAsia="Arial" w:hAnsi="Arial"/>
                <w:sz w:val="18"/>
                <w:szCs w:val="18"/>
                <w:b w:val="1"/>
                <w:bCs w:val="1"/>
                <w:color w:val="auto"/>
              </w:rPr>
              <w:t>DEFINITIONS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1.1</w:t>
            </w:r>
          </w:p>
        </w:tc>
        <w:tc>
          <w:tcPr>
            <w:tcW w:w="8140" w:type="dxa"/>
            <w:vAlign w:val="bottom"/>
          </w:tcPr>
          <w:p>
            <w:pPr>
              <w:ind w:left="1220"/>
              <w:spacing w:after="0"/>
              <w:rPr>
                <w:sz w:val="20"/>
                <w:szCs w:val="20"/>
                <w:color w:val="auto"/>
              </w:rPr>
            </w:pPr>
            <w:r>
              <w:rPr>
                <w:rFonts w:ascii="Arial" w:cs="Arial" w:eastAsia="Arial" w:hAnsi="Arial"/>
                <w:sz w:val="18"/>
                <w:szCs w:val="18"/>
                <w:color w:val="auto"/>
              </w:rPr>
              <w:t>Definitions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1.2</w:t>
            </w:r>
          </w:p>
        </w:tc>
        <w:tc>
          <w:tcPr>
            <w:tcW w:w="8140" w:type="dxa"/>
            <w:vAlign w:val="bottom"/>
          </w:tcPr>
          <w:p>
            <w:pPr>
              <w:ind w:left="1220"/>
              <w:spacing w:after="0"/>
              <w:rPr>
                <w:sz w:val="20"/>
                <w:szCs w:val="20"/>
                <w:color w:val="auto"/>
              </w:rPr>
            </w:pPr>
            <w:r>
              <w:rPr>
                <w:rFonts w:ascii="Arial" w:cs="Arial" w:eastAsia="Arial" w:hAnsi="Arial"/>
                <w:sz w:val="18"/>
                <w:szCs w:val="18"/>
                <w:color w:val="auto"/>
              </w:rPr>
              <w:t>Other Definitional Provisions; References</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b w:val="1"/>
                <w:bCs w:val="1"/>
                <w:color w:val="auto"/>
              </w:rPr>
              <w:t>ARTICLE II</w:t>
            </w:r>
          </w:p>
        </w:tc>
        <w:tc>
          <w:tcPr>
            <w:tcW w:w="8140" w:type="dxa"/>
            <w:vAlign w:val="bottom"/>
          </w:tcPr>
          <w:p>
            <w:pPr>
              <w:ind w:left="440"/>
              <w:spacing w:after="0"/>
              <w:rPr>
                <w:sz w:val="20"/>
                <w:szCs w:val="20"/>
                <w:color w:val="auto"/>
              </w:rPr>
            </w:pPr>
            <w:r>
              <w:rPr>
                <w:rFonts w:ascii="Arial" w:cs="Arial" w:eastAsia="Arial" w:hAnsi="Arial"/>
                <w:sz w:val="18"/>
                <w:szCs w:val="18"/>
                <w:b w:val="1"/>
                <w:bCs w:val="1"/>
                <w:color w:val="auto"/>
              </w:rPr>
              <w:t>GUARANTEE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2.1</w:t>
            </w:r>
          </w:p>
        </w:tc>
        <w:tc>
          <w:tcPr>
            <w:tcW w:w="8140" w:type="dxa"/>
            <w:vAlign w:val="bottom"/>
          </w:tcPr>
          <w:p>
            <w:pPr>
              <w:ind w:left="1220"/>
              <w:spacing w:after="0"/>
              <w:rPr>
                <w:sz w:val="20"/>
                <w:szCs w:val="20"/>
                <w:color w:val="auto"/>
              </w:rPr>
            </w:pPr>
            <w:r>
              <w:rPr>
                <w:rFonts w:ascii="Arial" w:cs="Arial" w:eastAsia="Arial" w:hAnsi="Arial"/>
                <w:sz w:val="18"/>
                <w:szCs w:val="18"/>
                <w:color w:val="auto"/>
              </w:rPr>
              <w:t>Guarantee</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2.2</w:t>
            </w:r>
          </w:p>
        </w:tc>
        <w:tc>
          <w:tcPr>
            <w:tcW w:w="8140" w:type="dxa"/>
            <w:vAlign w:val="bottom"/>
          </w:tcPr>
          <w:p>
            <w:pPr>
              <w:ind w:left="1220"/>
              <w:spacing w:after="0"/>
              <w:rPr>
                <w:sz w:val="20"/>
                <w:szCs w:val="20"/>
                <w:color w:val="auto"/>
              </w:rPr>
            </w:pPr>
            <w:r>
              <w:rPr>
                <w:rFonts w:ascii="Arial" w:cs="Arial" w:eastAsia="Arial" w:hAnsi="Arial"/>
                <w:sz w:val="18"/>
                <w:szCs w:val="18"/>
                <w:color w:val="auto"/>
              </w:rPr>
              <w:t>Payments</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b w:val="1"/>
                <w:bCs w:val="1"/>
                <w:color w:val="auto"/>
              </w:rPr>
              <w:t>ARTICLE III</w:t>
            </w:r>
          </w:p>
        </w:tc>
        <w:tc>
          <w:tcPr>
            <w:tcW w:w="8140" w:type="dxa"/>
            <w:vAlign w:val="bottom"/>
          </w:tcPr>
          <w:p>
            <w:pPr>
              <w:ind w:left="440"/>
              <w:spacing w:after="0"/>
              <w:rPr>
                <w:sz w:val="20"/>
                <w:szCs w:val="20"/>
                <w:color w:val="auto"/>
              </w:rPr>
            </w:pPr>
            <w:r>
              <w:rPr>
                <w:rFonts w:ascii="Arial" w:cs="Arial" w:eastAsia="Arial" w:hAnsi="Arial"/>
                <w:sz w:val="18"/>
                <w:szCs w:val="18"/>
                <w:b w:val="1"/>
                <w:bCs w:val="1"/>
                <w:color w:val="auto"/>
              </w:rPr>
              <w:t>GRANT OF SECURITY INTEREST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3.1</w:t>
            </w:r>
          </w:p>
        </w:tc>
        <w:tc>
          <w:tcPr>
            <w:tcW w:w="8140" w:type="dxa"/>
            <w:vAlign w:val="bottom"/>
          </w:tcPr>
          <w:p>
            <w:pPr>
              <w:ind w:left="1220"/>
              <w:spacing w:after="0"/>
              <w:rPr>
                <w:sz w:val="20"/>
                <w:szCs w:val="20"/>
                <w:color w:val="auto"/>
              </w:rPr>
            </w:pPr>
            <w:r>
              <w:rPr>
                <w:rFonts w:ascii="Arial" w:cs="Arial" w:eastAsia="Arial" w:hAnsi="Arial"/>
                <w:sz w:val="18"/>
                <w:szCs w:val="18"/>
                <w:color w:val="auto"/>
              </w:rPr>
              <w:t>Grant of Security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3.2</w:t>
            </w:r>
          </w:p>
        </w:tc>
        <w:tc>
          <w:tcPr>
            <w:tcW w:w="8140" w:type="dxa"/>
            <w:vAlign w:val="bottom"/>
          </w:tcPr>
          <w:p>
            <w:pPr>
              <w:ind w:left="1220"/>
              <w:spacing w:after="0"/>
              <w:rPr>
                <w:sz w:val="20"/>
                <w:szCs w:val="20"/>
                <w:color w:val="auto"/>
              </w:rPr>
            </w:pPr>
            <w:r>
              <w:rPr>
                <w:rFonts w:ascii="Arial" w:cs="Arial" w:eastAsia="Arial" w:hAnsi="Arial"/>
                <w:sz w:val="18"/>
                <w:szCs w:val="18"/>
                <w:color w:val="auto"/>
              </w:rPr>
              <w:t>Transfer of Pledged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3.3</w:t>
            </w:r>
          </w:p>
        </w:tc>
        <w:tc>
          <w:tcPr>
            <w:tcW w:w="8140" w:type="dxa"/>
            <w:vAlign w:val="bottom"/>
          </w:tcPr>
          <w:p>
            <w:pPr>
              <w:ind w:left="1220"/>
              <w:spacing w:after="0"/>
              <w:rPr>
                <w:sz w:val="20"/>
                <w:szCs w:val="20"/>
                <w:color w:val="auto"/>
              </w:rPr>
            </w:pPr>
            <w:r>
              <w:rPr>
                <w:rFonts w:ascii="Arial" w:cs="Arial" w:eastAsia="Arial" w:hAnsi="Arial"/>
                <w:sz w:val="18"/>
                <w:szCs w:val="18"/>
                <w:color w:val="auto"/>
              </w:rPr>
              <w:t>Grantors Remain Liable under Accounts, Chattel Paper and Payment Intangibles</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b w:val="1"/>
                <w:bCs w:val="1"/>
                <w:color w:val="auto"/>
              </w:rPr>
              <w:t>ARTICLE IV</w:t>
            </w:r>
          </w:p>
        </w:tc>
        <w:tc>
          <w:tcPr>
            <w:tcW w:w="8140" w:type="dxa"/>
            <w:vAlign w:val="bottom"/>
          </w:tcPr>
          <w:p>
            <w:pPr>
              <w:ind w:left="440"/>
              <w:spacing w:after="0"/>
              <w:rPr>
                <w:sz w:val="20"/>
                <w:szCs w:val="20"/>
                <w:color w:val="auto"/>
              </w:rPr>
            </w:pPr>
            <w:r>
              <w:rPr>
                <w:rFonts w:ascii="Arial" w:cs="Arial" w:eastAsia="Arial" w:hAnsi="Arial"/>
                <w:sz w:val="18"/>
                <w:szCs w:val="18"/>
                <w:b w:val="1"/>
                <w:bCs w:val="1"/>
                <w:color w:val="auto"/>
              </w:rPr>
              <w:t>ACKNOWLEDGMENTS, WAIVERS AND CONSENTS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4.1</w:t>
            </w:r>
          </w:p>
        </w:tc>
        <w:tc>
          <w:tcPr>
            <w:tcW w:w="8140" w:type="dxa"/>
            <w:vAlign w:val="bottom"/>
          </w:tcPr>
          <w:p>
            <w:pPr>
              <w:ind w:left="1220"/>
              <w:spacing w:after="0"/>
              <w:rPr>
                <w:sz w:val="20"/>
                <w:szCs w:val="20"/>
                <w:color w:val="auto"/>
              </w:rPr>
            </w:pPr>
            <w:r>
              <w:rPr>
                <w:rFonts w:ascii="Arial" w:cs="Arial" w:eastAsia="Arial" w:hAnsi="Arial"/>
                <w:sz w:val="18"/>
                <w:szCs w:val="18"/>
                <w:color w:val="auto"/>
              </w:rPr>
              <w:t>Acknowledgments, Waivers and Consents</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4.2</w:t>
            </w:r>
          </w:p>
        </w:tc>
        <w:tc>
          <w:tcPr>
            <w:tcW w:w="8140" w:type="dxa"/>
            <w:vAlign w:val="bottom"/>
          </w:tcPr>
          <w:p>
            <w:pPr>
              <w:ind w:left="1220"/>
              <w:spacing w:after="0"/>
              <w:rPr>
                <w:sz w:val="20"/>
                <w:szCs w:val="20"/>
                <w:color w:val="auto"/>
              </w:rPr>
            </w:pPr>
            <w:r>
              <w:rPr>
                <w:rFonts w:ascii="Arial" w:cs="Arial" w:eastAsia="Arial" w:hAnsi="Arial"/>
                <w:sz w:val="18"/>
                <w:szCs w:val="18"/>
                <w:color w:val="auto"/>
              </w:rPr>
              <w:t>No Subrogation, Contribution or Reimbursement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b w:val="1"/>
                <w:bCs w:val="1"/>
                <w:color w:val="auto"/>
              </w:rPr>
              <w:t>ARTICLE V</w:t>
            </w:r>
          </w:p>
        </w:tc>
        <w:tc>
          <w:tcPr>
            <w:tcW w:w="8140" w:type="dxa"/>
            <w:vAlign w:val="bottom"/>
          </w:tcPr>
          <w:p>
            <w:pPr>
              <w:ind w:left="440"/>
              <w:spacing w:after="0"/>
              <w:rPr>
                <w:sz w:val="20"/>
                <w:szCs w:val="20"/>
                <w:color w:val="auto"/>
              </w:rPr>
            </w:pPr>
            <w:r>
              <w:rPr>
                <w:rFonts w:ascii="Arial" w:cs="Arial" w:eastAsia="Arial" w:hAnsi="Arial"/>
                <w:sz w:val="18"/>
                <w:szCs w:val="18"/>
                <w:b w:val="1"/>
                <w:bCs w:val="1"/>
                <w:color w:val="auto"/>
              </w:rPr>
              <w:t>REPRESENTATIONS AND WARRANTIES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w:t>
            </w:r>
          </w:p>
        </w:tc>
        <w:tc>
          <w:tcPr>
            <w:tcW w:w="8140" w:type="dxa"/>
            <w:vAlign w:val="bottom"/>
          </w:tcPr>
          <w:p>
            <w:pPr>
              <w:ind w:left="1220"/>
              <w:spacing w:after="0"/>
              <w:rPr>
                <w:sz w:val="20"/>
                <w:szCs w:val="20"/>
                <w:color w:val="auto"/>
              </w:rPr>
            </w:pPr>
            <w:r>
              <w:rPr>
                <w:rFonts w:ascii="Arial" w:cs="Arial" w:eastAsia="Arial" w:hAnsi="Arial"/>
                <w:sz w:val="18"/>
                <w:szCs w:val="18"/>
                <w:color w:val="auto"/>
              </w:rPr>
              <w:t>Confirmation of Representations in Credit Agreement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5.2</w:t>
            </w:r>
          </w:p>
        </w:tc>
        <w:tc>
          <w:tcPr>
            <w:tcW w:w="8140" w:type="dxa"/>
            <w:vAlign w:val="bottom"/>
          </w:tcPr>
          <w:p>
            <w:pPr>
              <w:ind w:left="1220"/>
              <w:spacing w:after="0"/>
              <w:rPr>
                <w:sz w:val="20"/>
                <w:szCs w:val="20"/>
                <w:color w:val="auto"/>
              </w:rPr>
            </w:pPr>
            <w:r>
              <w:rPr>
                <w:rFonts w:ascii="Arial" w:cs="Arial" w:eastAsia="Arial" w:hAnsi="Arial"/>
                <w:sz w:val="18"/>
                <w:szCs w:val="18"/>
                <w:color w:val="auto"/>
              </w:rPr>
              <w:t>Benefit to the Guarantors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5.3</w:t>
            </w:r>
          </w:p>
        </w:tc>
        <w:tc>
          <w:tcPr>
            <w:tcW w:w="8140" w:type="dxa"/>
            <w:vAlign w:val="bottom"/>
          </w:tcPr>
          <w:p>
            <w:pPr>
              <w:ind w:left="1220"/>
              <w:spacing w:after="0"/>
              <w:rPr>
                <w:sz w:val="20"/>
                <w:szCs w:val="20"/>
                <w:color w:val="auto"/>
              </w:rPr>
            </w:pPr>
            <w:r>
              <w:rPr>
                <w:rFonts w:ascii="Arial" w:cs="Arial" w:eastAsia="Arial" w:hAnsi="Arial"/>
                <w:sz w:val="18"/>
                <w:szCs w:val="18"/>
                <w:color w:val="auto"/>
              </w:rPr>
              <w:t>First Priority Liens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5.4</w:t>
            </w:r>
          </w:p>
        </w:tc>
        <w:tc>
          <w:tcPr>
            <w:tcW w:w="8140" w:type="dxa"/>
            <w:vAlign w:val="bottom"/>
          </w:tcPr>
          <w:p>
            <w:pPr>
              <w:ind w:left="1220"/>
              <w:spacing w:after="0"/>
              <w:rPr>
                <w:sz w:val="20"/>
                <w:szCs w:val="20"/>
                <w:color w:val="auto"/>
              </w:rPr>
            </w:pPr>
            <w:r>
              <w:rPr>
                <w:rFonts w:ascii="Arial" w:cs="Arial" w:eastAsia="Arial" w:hAnsi="Arial"/>
                <w:sz w:val="18"/>
                <w:szCs w:val="18"/>
                <w:color w:val="auto"/>
              </w:rPr>
              <w:t>Legal Name, Organizational Status, Chief Executive Office</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5.5</w:t>
            </w:r>
          </w:p>
        </w:tc>
        <w:tc>
          <w:tcPr>
            <w:tcW w:w="8140" w:type="dxa"/>
            <w:vAlign w:val="bottom"/>
          </w:tcPr>
          <w:p>
            <w:pPr>
              <w:ind w:left="1220"/>
              <w:spacing w:after="0"/>
              <w:rPr>
                <w:sz w:val="20"/>
                <w:szCs w:val="20"/>
                <w:color w:val="auto"/>
              </w:rPr>
            </w:pPr>
            <w:r>
              <w:rPr>
                <w:rFonts w:ascii="Arial" w:cs="Arial" w:eastAsia="Arial" w:hAnsi="Arial"/>
                <w:sz w:val="18"/>
                <w:szCs w:val="18"/>
                <w:color w:val="auto"/>
              </w:rPr>
              <w:t>Prior Names, Prior Chief Executive Offices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5.6</w:t>
            </w:r>
          </w:p>
        </w:tc>
        <w:tc>
          <w:tcPr>
            <w:tcW w:w="8140" w:type="dxa"/>
            <w:vAlign w:val="bottom"/>
          </w:tcPr>
          <w:p>
            <w:pPr>
              <w:ind w:left="1220"/>
              <w:spacing w:after="0"/>
              <w:rPr>
                <w:sz w:val="20"/>
                <w:szCs w:val="20"/>
                <w:color w:val="auto"/>
              </w:rPr>
            </w:pPr>
            <w:r>
              <w:rPr>
                <w:rFonts w:ascii="Arial" w:cs="Arial" w:eastAsia="Arial" w:hAnsi="Arial"/>
                <w:sz w:val="18"/>
                <w:szCs w:val="18"/>
                <w:color w:val="auto"/>
              </w:rPr>
              <w:t>Goods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5.7</w:t>
            </w:r>
          </w:p>
        </w:tc>
        <w:tc>
          <w:tcPr>
            <w:tcW w:w="8140" w:type="dxa"/>
            <w:vAlign w:val="bottom"/>
          </w:tcPr>
          <w:p>
            <w:pPr>
              <w:ind w:left="1220"/>
              <w:spacing w:after="0"/>
              <w:rPr>
                <w:sz w:val="20"/>
                <w:szCs w:val="20"/>
                <w:color w:val="auto"/>
              </w:rPr>
            </w:pPr>
            <w:r>
              <w:rPr>
                <w:rFonts w:ascii="Arial" w:cs="Arial" w:eastAsia="Arial" w:hAnsi="Arial"/>
                <w:sz w:val="18"/>
                <w:szCs w:val="18"/>
                <w:color w:val="auto"/>
              </w:rPr>
              <w:t>Chattel Paper</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5.8</w:t>
            </w:r>
          </w:p>
        </w:tc>
        <w:tc>
          <w:tcPr>
            <w:tcW w:w="8140" w:type="dxa"/>
            <w:vAlign w:val="bottom"/>
          </w:tcPr>
          <w:p>
            <w:pPr>
              <w:ind w:left="1220"/>
              <w:spacing w:after="0"/>
              <w:rPr>
                <w:sz w:val="20"/>
                <w:szCs w:val="20"/>
                <w:color w:val="auto"/>
              </w:rPr>
            </w:pPr>
            <w:r>
              <w:rPr>
                <w:rFonts w:ascii="Arial" w:cs="Arial" w:eastAsia="Arial" w:hAnsi="Arial"/>
                <w:sz w:val="18"/>
                <w:szCs w:val="18"/>
                <w:color w:val="auto"/>
              </w:rPr>
              <w:t>Truth of Information; Accounts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5.9</w:t>
            </w:r>
          </w:p>
        </w:tc>
        <w:tc>
          <w:tcPr>
            <w:tcW w:w="8140" w:type="dxa"/>
            <w:vAlign w:val="bottom"/>
          </w:tcPr>
          <w:p>
            <w:pPr>
              <w:ind w:left="1220"/>
              <w:spacing w:after="0"/>
              <w:rPr>
                <w:sz w:val="20"/>
                <w:szCs w:val="20"/>
                <w:color w:val="auto"/>
              </w:rPr>
            </w:pPr>
            <w:r>
              <w:rPr>
                <w:rFonts w:ascii="Arial" w:cs="Arial" w:eastAsia="Arial" w:hAnsi="Arial"/>
                <w:sz w:val="18"/>
                <w:szCs w:val="18"/>
                <w:color w:val="auto"/>
              </w:rPr>
              <w:t>Reserved</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5.10</w:t>
            </w:r>
          </w:p>
        </w:tc>
        <w:tc>
          <w:tcPr>
            <w:tcW w:w="8140" w:type="dxa"/>
            <w:vAlign w:val="bottom"/>
          </w:tcPr>
          <w:p>
            <w:pPr>
              <w:ind w:left="1220"/>
              <w:spacing w:after="0"/>
              <w:rPr>
                <w:sz w:val="20"/>
                <w:szCs w:val="20"/>
                <w:color w:val="auto"/>
              </w:rPr>
            </w:pPr>
            <w:r>
              <w:rPr>
                <w:rFonts w:ascii="Arial" w:cs="Arial" w:eastAsia="Arial" w:hAnsi="Arial"/>
                <w:sz w:val="18"/>
                <w:szCs w:val="18"/>
                <w:color w:val="auto"/>
              </w:rPr>
              <w:t>Copyrights, Patents and Trademarks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b w:val="1"/>
                <w:bCs w:val="1"/>
                <w:color w:val="auto"/>
              </w:rPr>
              <w:t>ARTICLE VI</w:t>
            </w:r>
          </w:p>
        </w:tc>
        <w:tc>
          <w:tcPr>
            <w:tcW w:w="81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COVENANTS</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1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6.1</w:t>
            </w:r>
          </w:p>
        </w:tc>
        <w:tc>
          <w:tcPr>
            <w:tcW w:w="8140" w:type="dxa"/>
            <w:vAlign w:val="bottom"/>
          </w:tcPr>
          <w:p>
            <w:pPr>
              <w:ind w:left="1220"/>
              <w:spacing w:after="0"/>
              <w:rPr>
                <w:sz w:val="20"/>
                <w:szCs w:val="20"/>
                <w:color w:val="auto"/>
              </w:rPr>
            </w:pPr>
            <w:r>
              <w:rPr>
                <w:rFonts w:ascii="Arial" w:cs="Arial" w:eastAsia="Arial" w:hAnsi="Arial"/>
                <w:sz w:val="18"/>
                <w:szCs w:val="18"/>
                <w:color w:val="auto"/>
              </w:rPr>
              <w:t>Covenants in Credit Agreement</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6.2</w:t>
            </w:r>
          </w:p>
        </w:tc>
        <w:tc>
          <w:tcPr>
            <w:tcW w:w="8140" w:type="dxa"/>
            <w:vAlign w:val="bottom"/>
          </w:tcPr>
          <w:p>
            <w:pPr>
              <w:ind w:left="1220"/>
              <w:spacing w:after="0"/>
              <w:rPr>
                <w:sz w:val="20"/>
                <w:szCs w:val="20"/>
                <w:color w:val="auto"/>
              </w:rPr>
            </w:pPr>
            <w:r>
              <w:rPr>
                <w:rFonts w:ascii="Arial" w:cs="Arial" w:eastAsia="Arial" w:hAnsi="Arial"/>
                <w:sz w:val="18"/>
                <w:szCs w:val="18"/>
                <w:color w:val="auto"/>
              </w:rPr>
              <w:t>Maintenance of Perfected Security Interest; Further Documentation</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6.3</w:t>
            </w:r>
          </w:p>
        </w:tc>
        <w:tc>
          <w:tcPr>
            <w:tcW w:w="8140" w:type="dxa"/>
            <w:vAlign w:val="bottom"/>
          </w:tcPr>
          <w:p>
            <w:pPr>
              <w:ind w:left="1220"/>
              <w:spacing w:after="0"/>
              <w:rPr>
                <w:sz w:val="20"/>
                <w:szCs w:val="20"/>
                <w:color w:val="auto"/>
              </w:rPr>
            </w:pPr>
            <w:r>
              <w:rPr>
                <w:rFonts w:ascii="Arial" w:cs="Arial" w:eastAsia="Arial" w:hAnsi="Arial"/>
                <w:sz w:val="18"/>
                <w:szCs w:val="18"/>
                <w:color w:val="auto"/>
              </w:rPr>
              <w:t>Maintenance of Records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6.4</w:t>
            </w:r>
          </w:p>
        </w:tc>
        <w:tc>
          <w:tcPr>
            <w:tcW w:w="8140" w:type="dxa"/>
            <w:vAlign w:val="bottom"/>
          </w:tcPr>
          <w:p>
            <w:pPr>
              <w:ind w:left="1220"/>
              <w:spacing w:after="0"/>
              <w:rPr>
                <w:sz w:val="20"/>
                <w:szCs w:val="20"/>
                <w:color w:val="auto"/>
              </w:rPr>
            </w:pPr>
            <w:r>
              <w:rPr>
                <w:rFonts w:ascii="Arial" w:cs="Arial" w:eastAsia="Arial" w:hAnsi="Arial"/>
                <w:sz w:val="18"/>
                <w:szCs w:val="18"/>
                <w:color w:val="auto"/>
              </w:rPr>
              <w:t>Right of Inspection</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6.5</w:t>
            </w:r>
          </w:p>
        </w:tc>
        <w:tc>
          <w:tcPr>
            <w:tcW w:w="8140" w:type="dxa"/>
            <w:vAlign w:val="bottom"/>
          </w:tcPr>
          <w:p>
            <w:pPr>
              <w:ind w:left="1220"/>
              <w:spacing w:after="0"/>
              <w:rPr>
                <w:sz w:val="20"/>
                <w:szCs w:val="20"/>
                <w:color w:val="auto"/>
              </w:rPr>
            </w:pPr>
            <w:r>
              <w:rPr>
                <w:rFonts w:ascii="Arial" w:cs="Arial" w:eastAsia="Arial" w:hAnsi="Arial"/>
                <w:sz w:val="18"/>
                <w:szCs w:val="18"/>
                <w:color w:val="auto"/>
              </w:rPr>
              <w:t>Further Identification of Collateral</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6.6</w:t>
            </w:r>
          </w:p>
        </w:tc>
        <w:tc>
          <w:tcPr>
            <w:tcW w:w="8140" w:type="dxa"/>
            <w:vAlign w:val="bottom"/>
          </w:tcPr>
          <w:p>
            <w:pPr>
              <w:ind w:left="1220"/>
              <w:spacing w:after="0"/>
              <w:rPr>
                <w:sz w:val="20"/>
                <w:szCs w:val="20"/>
                <w:color w:val="auto"/>
              </w:rPr>
            </w:pPr>
            <w:r>
              <w:rPr>
                <w:rFonts w:ascii="Arial" w:cs="Arial" w:eastAsia="Arial" w:hAnsi="Arial"/>
                <w:sz w:val="18"/>
                <w:szCs w:val="18"/>
                <w:color w:val="auto"/>
              </w:rPr>
              <w:t>Changes in Names, Locations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6.7</w:t>
            </w:r>
          </w:p>
        </w:tc>
        <w:tc>
          <w:tcPr>
            <w:tcW w:w="8140" w:type="dxa"/>
            <w:vAlign w:val="bottom"/>
          </w:tcPr>
          <w:p>
            <w:pPr>
              <w:ind w:left="1220"/>
              <w:spacing w:after="0"/>
              <w:rPr>
                <w:sz w:val="20"/>
                <w:szCs w:val="20"/>
                <w:color w:val="auto"/>
              </w:rPr>
            </w:pPr>
            <w:r>
              <w:rPr>
                <w:rFonts w:ascii="Arial" w:cs="Arial" w:eastAsia="Arial" w:hAnsi="Arial"/>
                <w:sz w:val="18"/>
                <w:szCs w:val="18"/>
                <w:color w:val="auto"/>
              </w:rPr>
              <w:t>Compliance with Contractual Obligations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6.8</w:t>
            </w:r>
          </w:p>
        </w:tc>
        <w:tc>
          <w:tcPr>
            <w:tcW w:w="8140" w:type="dxa"/>
            <w:vAlign w:val="bottom"/>
          </w:tcPr>
          <w:p>
            <w:pPr>
              <w:ind w:left="1220"/>
              <w:spacing w:after="0"/>
              <w:rPr>
                <w:sz w:val="20"/>
                <w:szCs w:val="20"/>
                <w:color w:val="auto"/>
              </w:rPr>
            </w:pPr>
            <w:r>
              <w:rPr>
                <w:rFonts w:ascii="Arial" w:cs="Arial" w:eastAsia="Arial" w:hAnsi="Arial"/>
                <w:sz w:val="18"/>
                <w:szCs w:val="18"/>
                <w:color w:val="auto"/>
              </w:rPr>
              <w:t>Limitations on Dispositions of Collateral</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6.9</w:t>
            </w:r>
          </w:p>
        </w:tc>
        <w:tc>
          <w:tcPr>
            <w:tcW w:w="8140" w:type="dxa"/>
            <w:vAlign w:val="bottom"/>
          </w:tcPr>
          <w:p>
            <w:pPr>
              <w:ind w:left="1220"/>
              <w:spacing w:after="0"/>
              <w:rPr>
                <w:sz w:val="20"/>
                <w:szCs w:val="20"/>
                <w:color w:val="auto"/>
              </w:rPr>
            </w:pPr>
            <w:r>
              <w:rPr>
                <w:rFonts w:ascii="Arial" w:cs="Arial" w:eastAsia="Arial" w:hAnsi="Arial"/>
                <w:sz w:val="18"/>
                <w:szCs w:val="18"/>
                <w:color w:val="auto"/>
              </w:rPr>
              <w:t>Pledged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6.10</w:t>
            </w:r>
          </w:p>
        </w:tc>
        <w:tc>
          <w:tcPr>
            <w:tcW w:w="8140" w:type="dxa"/>
            <w:vAlign w:val="bottom"/>
          </w:tcPr>
          <w:p>
            <w:pPr>
              <w:ind w:left="1220"/>
              <w:spacing w:after="0"/>
              <w:rPr>
                <w:sz w:val="20"/>
                <w:szCs w:val="20"/>
                <w:color w:val="auto"/>
              </w:rPr>
            </w:pPr>
            <w:r>
              <w:rPr>
                <w:rFonts w:ascii="Arial" w:cs="Arial" w:eastAsia="Arial" w:hAnsi="Arial"/>
                <w:sz w:val="18"/>
                <w:szCs w:val="18"/>
                <w:color w:val="auto"/>
                <w:w w:val="96"/>
              </w:rPr>
              <w:t>Limitations on Modifications, Waivers, Extensions of Agreements Giving Rise to Accounts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6.11</w:t>
            </w:r>
          </w:p>
        </w:tc>
        <w:tc>
          <w:tcPr>
            <w:tcW w:w="8140" w:type="dxa"/>
            <w:vAlign w:val="bottom"/>
          </w:tcPr>
          <w:p>
            <w:pPr>
              <w:ind w:left="1220"/>
              <w:spacing w:after="0"/>
              <w:rPr>
                <w:sz w:val="20"/>
                <w:szCs w:val="20"/>
                <w:color w:val="auto"/>
              </w:rPr>
            </w:pPr>
            <w:r>
              <w:rPr>
                <w:rFonts w:ascii="Arial" w:cs="Arial" w:eastAsia="Arial" w:hAnsi="Arial"/>
                <w:sz w:val="18"/>
                <w:szCs w:val="18"/>
                <w:color w:val="auto"/>
              </w:rPr>
              <w:t>Analysis of Accounts</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6.12</w:t>
            </w:r>
          </w:p>
        </w:tc>
        <w:tc>
          <w:tcPr>
            <w:tcW w:w="8140" w:type="dxa"/>
            <w:vAlign w:val="bottom"/>
          </w:tcPr>
          <w:p>
            <w:pPr>
              <w:ind w:left="1220"/>
              <w:spacing w:after="0"/>
              <w:rPr>
                <w:sz w:val="20"/>
                <w:szCs w:val="20"/>
                <w:color w:val="auto"/>
              </w:rPr>
            </w:pPr>
            <w:r>
              <w:rPr>
                <w:rFonts w:ascii="Arial" w:cs="Arial" w:eastAsia="Arial" w:hAnsi="Arial"/>
                <w:sz w:val="18"/>
                <w:szCs w:val="18"/>
                <w:color w:val="auto"/>
              </w:rPr>
              <w:t>Instruments and Tangible Chattel Paper</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6.13</w:t>
            </w:r>
          </w:p>
        </w:tc>
        <w:tc>
          <w:tcPr>
            <w:tcW w:w="8140" w:type="dxa"/>
            <w:vAlign w:val="bottom"/>
          </w:tcPr>
          <w:p>
            <w:pPr>
              <w:ind w:left="1220"/>
              <w:spacing w:after="0"/>
              <w:rPr>
                <w:sz w:val="20"/>
                <w:szCs w:val="20"/>
                <w:color w:val="auto"/>
              </w:rPr>
            </w:pPr>
            <w:r>
              <w:rPr>
                <w:rFonts w:ascii="Arial" w:cs="Arial" w:eastAsia="Arial" w:hAnsi="Arial"/>
                <w:sz w:val="18"/>
                <w:szCs w:val="18"/>
                <w:color w:val="auto"/>
              </w:rPr>
              <w:t>Copyrights, Patents and Trademarks</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6.14</w:t>
            </w:r>
          </w:p>
        </w:tc>
        <w:tc>
          <w:tcPr>
            <w:tcW w:w="8140" w:type="dxa"/>
            <w:vAlign w:val="bottom"/>
          </w:tcPr>
          <w:p>
            <w:pPr>
              <w:ind w:left="1220"/>
              <w:spacing w:after="0"/>
              <w:rPr>
                <w:sz w:val="20"/>
                <w:szCs w:val="20"/>
                <w:color w:val="auto"/>
              </w:rPr>
            </w:pPr>
            <w:r>
              <w:rPr>
                <w:rFonts w:ascii="Arial" w:cs="Arial" w:eastAsia="Arial" w:hAnsi="Arial"/>
                <w:sz w:val="18"/>
                <w:szCs w:val="18"/>
                <w:color w:val="auto"/>
              </w:rPr>
              <w:t>Commercial Tort Claims</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b w:val="1"/>
                <w:bCs w:val="1"/>
                <w:color w:val="auto"/>
              </w:rPr>
              <w:t>ARTICLE VII</w:t>
            </w:r>
          </w:p>
        </w:tc>
        <w:tc>
          <w:tcPr>
            <w:tcW w:w="81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REMEDIAL PROVISIONS</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1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7.1</w:t>
            </w:r>
          </w:p>
        </w:tc>
        <w:tc>
          <w:tcPr>
            <w:tcW w:w="8140" w:type="dxa"/>
            <w:vAlign w:val="bottom"/>
          </w:tcPr>
          <w:p>
            <w:pPr>
              <w:ind w:left="1220"/>
              <w:spacing w:after="0"/>
              <w:rPr>
                <w:sz w:val="20"/>
                <w:szCs w:val="20"/>
                <w:color w:val="auto"/>
              </w:rPr>
            </w:pPr>
            <w:r>
              <w:rPr>
                <w:rFonts w:ascii="Arial" w:cs="Arial" w:eastAsia="Arial" w:hAnsi="Arial"/>
                <w:sz w:val="18"/>
                <w:szCs w:val="18"/>
                <w:color w:val="auto"/>
              </w:rPr>
              <w:t>Pledged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7.2</w:t>
            </w:r>
          </w:p>
        </w:tc>
        <w:tc>
          <w:tcPr>
            <w:tcW w:w="8140" w:type="dxa"/>
            <w:vAlign w:val="bottom"/>
          </w:tcPr>
          <w:p>
            <w:pPr>
              <w:ind w:left="1220"/>
              <w:spacing w:after="0"/>
              <w:rPr>
                <w:sz w:val="20"/>
                <w:szCs w:val="20"/>
                <w:color w:val="auto"/>
              </w:rPr>
            </w:pPr>
            <w:r>
              <w:rPr>
                <w:rFonts w:ascii="Arial" w:cs="Arial" w:eastAsia="Arial" w:hAnsi="Arial"/>
                <w:sz w:val="18"/>
                <w:szCs w:val="18"/>
                <w:color w:val="auto"/>
              </w:rPr>
              <w:t>Collections on Accounts</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2120" w:type="dxa"/>
            <w:vAlign w:val="bottom"/>
          </w:tcPr>
          <w:p>
            <w:pPr>
              <w:ind w:left="780"/>
              <w:spacing w:after="0"/>
              <w:rPr>
                <w:sz w:val="20"/>
                <w:szCs w:val="20"/>
                <w:color w:val="auto"/>
              </w:rPr>
            </w:pPr>
            <w:r>
              <w:rPr>
                <w:rFonts w:ascii="Arial" w:cs="Arial" w:eastAsia="Arial" w:hAnsi="Arial"/>
                <w:sz w:val="18"/>
                <w:szCs w:val="18"/>
                <w:color w:val="auto"/>
              </w:rPr>
              <w:t>Section 7.3</w:t>
            </w:r>
          </w:p>
        </w:tc>
        <w:tc>
          <w:tcPr>
            <w:tcW w:w="8140" w:type="dxa"/>
            <w:vAlign w:val="bottom"/>
          </w:tcPr>
          <w:p>
            <w:pPr>
              <w:ind w:left="1220"/>
              <w:spacing w:after="0"/>
              <w:rPr>
                <w:sz w:val="20"/>
                <w:szCs w:val="20"/>
                <w:color w:val="auto"/>
              </w:rPr>
            </w:pPr>
            <w:r>
              <w:rPr>
                <w:rFonts w:ascii="Arial" w:cs="Arial" w:eastAsia="Arial" w:hAnsi="Arial"/>
                <w:sz w:val="18"/>
                <w:szCs w:val="18"/>
                <w:color w:val="auto"/>
              </w:rPr>
              <w:t>Proceeds</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480" w:top="116" w:right="459" w:bottom="1440"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80" w:top="116" w:right="459" w:bottom="1440" w:gutter="0" w:footer="0" w:header="0"/>
          <w:type w:val="continuous"/>
        </w:sectPr>
      </w:pPr>
    </w:p>
    <w:bookmarkStart w:id="167" w:name="page168"/>
    <w:bookmarkEnd w:id="167"/>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94"/>
        </w:trPr>
        <w:tc>
          <w:tcPr>
            <w:tcW w:w="2160" w:type="dxa"/>
            <w:vAlign w:val="bottom"/>
          </w:tcPr>
          <w:p>
            <w:pPr>
              <w:ind w:left="780"/>
              <w:spacing w:after="0"/>
              <w:rPr>
                <w:sz w:val="20"/>
                <w:szCs w:val="20"/>
                <w:color w:val="auto"/>
              </w:rPr>
            </w:pPr>
            <w:r>
              <w:rPr>
                <w:rFonts w:ascii="Arial" w:cs="Arial" w:eastAsia="Arial" w:hAnsi="Arial"/>
                <w:sz w:val="18"/>
                <w:szCs w:val="18"/>
                <w:color w:val="auto"/>
              </w:rPr>
              <w:t>Section 7.4</w:t>
            </w:r>
          </w:p>
        </w:tc>
        <w:tc>
          <w:tcPr>
            <w:tcW w:w="7020" w:type="dxa"/>
            <w:vAlign w:val="bottom"/>
          </w:tcPr>
          <w:p>
            <w:pPr>
              <w:ind w:left="1180"/>
              <w:spacing w:after="0"/>
              <w:rPr>
                <w:sz w:val="20"/>
                <w:szCs w:val="20"/>
                <w:color w:val="auto"/>
              </w:rPr>
            </w:pPr>
            <w:r>
              <w:rPr>
                <w:rFonts w:ascii="Arial" w:cs="Arial" w:eastAsia="Arial" w:hAnsi="Arial"/>
                <w:sz w:val="18"/>
                <w:szCs w:val="18"/>
                <w:color w:val="auto"/>
              </w:rPr>
              <w:t>UCC and Other Remedies</w:t>
            </w:r>
          </w:p>
        </w:tc>
        <w:tc>
          <w:tcPr>
            <w:tcW w:w="1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7.5</w:t>
            </w:r>
          </w:p>
        </w:tc>
        <w:tc>
          <w:tcPr>
            <w:tcW w:w="7020" w:type="dxa"/>
            <w:vAlign w:val="bottom"/>
          </w:tcPr>
          <w:p>
            <w:pPr>
              <w:ind w:left="1180"/>
              <w:spacing w:after="0"/>
              <w:rPr>
                <w:sz w:val="20"/>
                <w:szCs w:val="20"/>
                <w:color w:val="auto"/>
              </w:rPr>
            </w:pPr>
            <w:r>
              <w:rPr>
                <w:rFonts w:ascii="Arial" w:cs="Arial" w:eastAsia="Arial" w:hAnsi="Arial"/>
                <w:sz w:val="18"/>
                <w:szCs w:val="18"/>
                <w:color w:val="auto"/>
              </w:rPr>
              <w:t>Private Sales of Pledged Securities</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7.6</w:t>
            </w:r>
          </w:p>
        </w:tc>
        <w:tc>
          <w:tcPr>
            <w:tcW w:w="7020" w:type="dxa"/>
            <w:vAlign w:val="bottom"/>
          </w:tcPr>
          <w:p>
            <w:pPr>
              <w:ind w:left="1180"/>
              <w:spacing w:after="0"/>
              <w:rPr>
                <w:sz w:val="20"/>
                <w:szCs w:val="20"/>
                <w:color w:val="auto"/>
              </w:rPr>
            </w:pPr>
            <w:r>
              <w:rPr>
                <w:rFonts w:ascii="Arial" w:cs="Arial" w:eastAsia="Arial" w:hAnsi="Arial"/>
                <w:sz w:val="18"/>
                <w:szCs w:val="18"/>
                <w:color w:val="auto"/>
              </w:rPr>
              <w:t>Waiver; Deficiency</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7.7</w:t>
            </w:r>
          </w:p>
        </w:tc>
        <w:tc>
          <w:tcPr>
            <w:tcW w:w="7020" w:type="dxa"/>
            <w:vAlign w:val="bottom"/>
          </w:tcPr>
          <w:p>
            <w:pPr>
              <w:ind w:left="1180"/>
              <w:spacing w:after="0"/>
              <w:rPr>
                <w:sz w:val="20"/>
                <w:szCs w:val="20"/>
                <w:color w:val="auto"/>
              </w:rPr>
            </w:pPr>
            <w:r>
              <w:rPr>
                <w:rFonts w:ascii="Arial" w:cs="Arial" w:eastAsia="Arial" w:hAnsi="Arial"/>
                <w:sz w:val="18"/>
                <w:szCs w:val="18"/>
                <w:color w:val="auto"/>
              </w:rPr>
              <w:t>Non-Judicial Enforcement</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VIII</w:t>
            </w:r>
          </w:p>
        </w:tc>
        <w:tc>
          <w:tcPr>
            <w:tcW w:w="7020" w:type="dxa"/>
            <w:vAlign w:val="bottom"/>
          </w:tcPr>
          <w:p>
            <w:pPr>
              <w:ind w:left="400"/>
              <w:spacing w:after="0"/>
              <w:rPr>
                <w:sz w:val="20"/>
                <w:szCs w:val="20"/>
                <w:color w:val="auto"/>
              </w:rPr>
            </w:pPr>
            <w:r>
              <w:rPr>
                <w:rFonts w:ascii="Arial" w:cs="Arial" w:eastAsia="Arial" w:hAnsi="Arial"/>
                <w:sz w:val="18"/>
                <w:szCs w:val="18"/>
                <w:b w:val="1"/>
                <w:bCs w:val="1"/>
                <w:color w:val="auto"/>
              </w:rPr>
              <w:t>THE ADMINISTRATIVE AGENT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8.1</w:t>
            </w:r>
          </w:p>
        </w:tc>
        <w:tc>
          <w:tcPr>
            <w:tcW w:w="7020" w:type="dxa"/>
            <w:vAlign w:val="bottom"/>
          </w:tcPr>
          <w:p>
            <w:pPr>
              <w:ind w:left="1180"/>
              <w:spacing w:after="0"/>
              <w:rPr>
                <w:sz w:val="20"/>
                <w:szCs w:val="20"/>
                <w:color w:val="auto"/>
              </w:rPr>
            </w:pPr>
            <w:r>
              <w:rPr>
                <w:rFonts w:ascii="Arial" w:cs="Arial" w:eastAsia="Arial" w:hAnsi="Arial"/>
                <w:sz w:val="18"/>
                <w:szCs w:val="18"/>
                <w:color w:val="auto"/>
              </w:rPr>
              <w:t>The Administrative Agent's Appointment as Attorney-in-Fact</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8.2</w:t>
            </w:r>
          </w:p>
        </w:tc>
        <w:tc>
          <w:tcPr>
            <w:tcW w:w="7020" w:type="dxa"/>
            <w:vAlign w:val="bottom"/>
          </w:tcPr>
          <w:p>
            <w:pPr>
              <w:ind w:left="1180"/>
              <w:spacing w:after="0"/>
              <w:rPr>
                <w:sz w:val="20"/>
                <w:szCs w:val="20"/>
                <w:color w:val="auto"/>
              </w:rPr>
            </w:pPr>
            <w:r>
              <w:rPr>
                <w:rFonts w:ascii="Arial" w:cs="Arial" w:eastAsia="Arial" w:hAnsi="Arial"/>
                <w:sz w:val="18"/>
                <w:szCs w:val="18"/>
                <w:color w:val="auto"/>
              </w:rPr>
              <w:t>Duty of Administrative Agent</w:t>
            </w: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8.3</w:t>
            </w:r>
          </w:p>
        </w:tc>
        <w:tc>
          <w:tcPr>
            <w:tcW w:w="7020" w:type="dxa"/>
            <w:vAlign w:val="bottom"/>
          </w:tcPr>
          <w:p>
            <w:pPr>
              <w:ind w:left="1180"/>
              <w:spacing w:after="0"/>
              <w:rPr>
                <w:sz w:val="20"/>
                <w:szCs w:val="20"/>
                <w:color w:val="auto"/>
              </w:rPr>
            </w:pPr>
            <w:r>
              <w:rPr>
                <w:rFonts w:ascii="Arial" w:cs="Arial" w:eastAsia="Arial" w:hAnsi="Arial"/>
                <w:sz w:val="18"/>
                <w:szCs w:val="18"/>
                <w:color w:val="auto"/>
              </w:rPr>
              <w:t>Filing of Financing Statements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8.4</w:t>
            </w:r>
          </w:p>
        </w:tc>
        <w:tc>
          <w:tcPr>
            <w:tcW w:w="7020" w:type="dxa"/>
            <w:vAlign w:val="bottom"/>
          </w:tcPr>
          <w:p>
            <w:pPr>
              <w:ind w:left="1180"/>
              <w:spacing w:after="0"/>
              <w:rPr>
                <w:sz w:val="20"/>
                <w:szCs w:val="20"/>
                <w:color w:val="auto"/>
              </w:rPr>
            </w:pPr>
            <w:r>
              <w:rPr>
                <w:rFonts w:ascii="Arial" w:cs="Arial" w:eastAsia="Arial" w:hAnsi="Arial"/>
                <w:sz w:val="18"/>
                <w:szCs w:val="18"/>
                <w:color w:val="auto"/>
              </w:rPr>
              <w:t>Authority of the Administrative Agent</w:t>
            </w: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IX</w:t>
            </w:r>
          </w:p>
        </w:tc>
        <w:tc>
          <w:tcPr>
            <w:tcW w:w="7020" w:type="dxa"/>
            <w:vAlign w:val="bottom"/>
          </w:tcPr>
          <w:p>
            <w:pPr>
              <w:ind w:left="400"/>
              <w:spacing w:after="0"/>
              <w:rPr>
                <w:sz w:val="20"/>
                <w:szCs w:val="20"/>
                <w:color w:val="auto"/>
              </w:rPr>
            </w:pPr>
            <w:r>
              <w:rPr>
                <w:rFonts w:ascii="Arial" w:cs="Arial" w:eastAsia="Arial" w:hAnsi="Arial"/>
                <w:sz w:val="18"/>
                <w:szCs w:val="18"/>
                <w:b w:val="1"/>
                <w:bCs w:val="1"/>
                <w:color w:val="auto"/>
              </w:rPr>
              <w:t>SUBORDINATION OF INDEBTEDNESS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9.1</w:t>
            </w:r>
          </w:p>
        </w:tc>
        <w:tc>
          <w:tcPr>
            <w:tcW w:w="7020" w:type="dxa"/>
            <w:vAlign w:val="bottom"/>
          </w:tcPr>
          <w:p>
            <w:pPr>
              <w:ind w:left="1180"/>
              <w:spacing w:after="0"/>
              <w:rPr>
                <w:sz w:val="20"/>
                <w:szCs w:val="20"/>
                <w:color w:val="auto"/>
              </w:rPr>
            </w:pPr>
            <w:r>
              <w:rPr>
                <w:rFonts w:ascii="Arial" w:cs="Arial" w:eastAsia="Arial" w:hAnsi="Arial"/>
                <w:sz w:val="18"/>
                <w:szCs w:val="18"/>
                <w:color w:val="auto"/>
              </w:rPr>
              <w:t>Subordination of All Guarantor Claims</w:t>
            </w: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9.2</w:t>
            </w:r>
          </w:p>
        </w:tc>
        <w:tc>
          <w:tcPr>
            <w:tcW w:w="7020" w:type="dxa"/>
            <w:vAlign w:val="bottom"/>
          </w:tcPr>
          <w:p>
            <w:pPr>
              <w:ind w:left="1180"/>
              <w:spacing w:after="0"/>
              <w:rPr>
                <w:sz w:val="20"/>
                <w:szCs w:val="20"/>
                <w:color w:val="auto"/>
              </w:rPr>
            </w:pPr>
            <w:r>
              <w:rPr>
                <w:rFonts w:ascii="Arial" w:cs="Arial" w:eastAsia="Arial" w:hAnsi="Arial"/>
                <w:sz w:val="18"/>
                <w:szCs w:val="18"/>
                <w:color w:val="auto"/>
              </w:rPr>
              <w:t>Claims in Bankruptcy</w:t>
            </w: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9.3</w:t>
            </w:r>
          </w:p>
        </w:tc>
        <w:tc>
          <w:tcPr>
            <w:tcW w:w="7020" w:type="dxa"/>
            <w:vAlign w:val="bottom"/>
          </w:tcPr>
          <w:p>
            <w:pPr>
              <w:ind w:left="1180"/>
              <w:spacing w:after="0"/>
              <w:rPr>
                <w:sz w:val="20"/>
                <w:szCs w:val="20"/>
                <w:color w:val="auto"/>
              </w:rPr>
            </w:pPr>
            <w:r>
              <w:rPr>
                <w:rFonts w:ascii="Arial" w:cs="Arial" w:eastAsia="Arial" w:hAnsi="Arial"/>
                <w:sz w:val="18"/>
                <w:szCs w:val="18"/>
                <w:color w:val="auto"/>
              </w:rPr>
              <w:t>Payments Held in Trust</w:t>
            </w: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9.4</w:t>
            </w:r>
          </w:p>
        </w:tc>
        <w:tc>
          <w:tcPr>
            <w:tcW w:w="7020" w:type="dxa"/>
            <w:vAlign w:val="bottom"/>
          </w:tcPr>
          <w:p>
            <w:pPr>
              <w:ind w:left="1180"/>
              <w:spacing w:after="0"/>
              <w:rPr>
                <w:sz w:val="20"/>
                <w:szCs w:val="20"/>
                <w:color w:val="auto"/>
              </w:rPr>
            </w:pPr>
            <w:r>
              <w:rPr>
                <w:rFonts w:ascii="Arial" w:cs="Arial" w:eastAsia="Arial" w:hAnsi="Arial"/>
                <w:sz w:val="18"/>
                <w:szCs w:val="18"/>
                <w:color w:val="auto"/>
              </w:rPr>
              <w:t>Liens Subordinate</w:t>
            </w: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9.5</w:t>
            </w:r>
          </w:p>
        </w:tc>
        <w:tc>
          <w:tcPr>
            <w:tcW w:w="7020" w:type="dxa"/>
            <w:vAlign w:val="bottom"/>
          </w:tcPr>
          <w:p>
            <w:pPr>
              <w:ind w:left="1180"/>
              <w:spacing w:after="0"/>
              <w:rPr>
                <w:sz w:val="20"/>
                <w:szCs w:val="20"/>
                <w:color w:val="auto"/>
              </w:rPr>
            </w:pPr>
            <w:r>
              <w:rPr>
                <w:rFonts w:ascii="Arial" w:cs="Arial" w:eastAsia="Arial" w:hAnsi="Arial"/>
                <w:sz w:val="18"/>
                <w:szCs w:val="18"/>
                <w:color w:val="auto"/>
              </w:rPr>
              <w:t>Notation of Records</w:t>
            </w: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X</w:t>
            </w:r>
          </w:p>
        </w:tc>
        <w:tc>
          <w:tcPr>
            <w:tcW w:w="7020" w:type="dxa"/>
            <w:vAlign w:val="bottom"/>
          </w:tcPr>
          <w:p>
            <w:pPr>
              <w:ind w:left="400"/>
              <w:spacing w:after="0"/>
              <w:rPr>
                <w:sz w:val="20"/>
                <w:szCs w:val="20"/>
                <w:color w:val="auto"/>
              </w:rPr>
            </w:pPr>
            <w:r>
              <w:rPr>
                <w:rFonts w:ascii="Arial" w:cs="Arial" w:eastAsia="Arial" w:hAnsi="Arial"/>
                <w:sz w:val="18"/>
                <w:szCs w:val="18"/>
                <w:b w:val="1"/>
                <w:bCs w:val="1"/>
                <w:color w:val="auto"/>
              </w:rPr>
              <w:t>MISCELLANEOUS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w:t>
            </w:r>
          </w:p>
        </w:tc>
        <w:tc>
          <w:tcPr>
            <w:tcW w:w="7020" w:type="dxa"/>
            <w:vAlign w:val="bottom"/>
          </w:tcPr>
          <w:p>
            <w:pPr>
              <w:ind w:left="1180"/>
              <w:spacing w:after="0"/>
              <w:rPr>
                <w:sz w:val="20"/>
                <w:szCs w:val="20"/>
                <w:color w:val="auto"/>
              </w:rPr>
            </w:pPr>
            <w:r>
              <w:rPr>
                <w:rFonts w:ascii="Arial" w:cs="Arial" w:eastAsia="Arial" w:hAnsi="Arial"/>
                <w:sz w:val="18"/>
                <w:szCs w:val="18"/>
                <w:color w:val="auto"/>
              </w:rPr>
              <w:t>Waiver</w:t>
            </w: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10.2</w:t>
            </w:r>
          </w:p>
        </w:tc>
        <w:tc>
          <w:tcPr>
            <w:tcW w:w="7020" w:type="dxa"/>
            <w:vAlign w:val="bottom"/>
          </w:tcPr>
          <w:p>
            <w:pPr>
              <w:ind w:left="1180"/>
              <w:spacing w:after="0"/>
              <w:rPr>
                <w:sz w:val="20"/>
                <w:szCs w:val="20"/>
                <w:color w:val="auto"/>
              </w:rPr>
            </w:pPr>
            <w:r>
              <w:rPr>
                <w:rFonts w:ascii="Arial" w:cs="Arial" w:eastAsia="Arial" w:hAnsi="Arial"/>
                <w:sz w:val="18"/>
                <w:szCs w:val="18"/>
                <w:color w:val="auto"/>
              </w:rPr>
              <w:t>Notices</w:t>
            </w: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10.3</w:t>
            </w:r>
          </w:p>
        </w:tc>
        <w:tc>
          <w:tcPr>
            <w:tcW w:w="7020" w:type="dxa"/>
            <w:vAlign w:val="bottom"/>
          </w:tcPr>
          <w:p>
            <w:pPr>
              <w:ind w:left="1180"/>
              <w:spacing w:after="0"/>
              <w:rPr>
                <w:sz w:val="20"/>
                <w:szCs w:val="20"/>
                <w:color w:val="auto"/>
              </w:rPr>
            </w:pPr>
            <w:r>
              <w:rPr>
                <w:rFonts w:ascii="Arial" w:cs="Arial" w:eastAsia="Arial" w:hAnsi="Arial"/>
                <w:sz w:val="18"/>
                <w:szCs w:val="18"/>
                <w:color w:val="auto"/>
              </w:rPr>
              <w:t>Payment of Expenses, Indemnities</w:t>
            </w: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10.4</w:t>
            </w:r>
          </w:p>
        </w:tc>
        <w:tc>
          <w:tcPr>
            <w:tcW w:w="7020" w:type="dxa"/>
            <w:vAlign w:val="bottom"/>
          </w:tcPr>
          <w:p>
            <w:pPr>
              <w:ind w:left="1180"/>
              <w:spacing w:after="0"/>
              <w:rPr>
                <w:sz w:val="20"/>
                <w:szCs w:val="20"/>
                <w:color w:val="auto"/>
              </w:rPr>
            </w:pPr>
            <w:r>
              <w:rPr>
                <w:rFonts w:ascii="Arial" w:cs="Arial" w:eastAsia="Arial" w:hAnsi="Arial"/>
                <w:sz w:val="18"/>
                <w:szCs w:val="18"/>
                <w:color w:val="auto"/>
              </w:rPr>
              <w:t>Amendments in Writing</w:t>
            </w: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10.5</w:t>
            </w:r>
          </w:p>
        </w:tc>
        <w:tc>
          <w:tcPr>
            <w:tcW w:w="7020" w:type="dxa"/>
            <w:vAlign w:val="bottom"/>
          </w:tcPr>
          <w:p>
            <w:pPr>
              <w:ind w:left="1180"/>
              <w:spacing w:after="0"/>
              <w:rPr>
                <w:sz w:val="20"/>
                <w:szCs w:val="20"/>
                <w:color w:val="auto"/>
              </w:rPr>
            </w:pPr>
            <w:r>
              <w:rPr>
                <w:rFonts w:ascii="Arial" w:cs="Arial" w:eastAsia="Arial" w:hAnsi="Arial"/>
                <w:sz w:val="18"/>
                <w:szCs w:val="18"/>
                <w:color w:val="auto"/>
              </w:rPr>
              <w:t>Successors and Assigns</w:t>
            </w: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10.6</w:t>
            </w:r>
          </w:p>
        </w:tc>
        <w:tc>
          <w:tcPr>
            <w:tcW w:w="7020" w:type="dxa"/>
            <w:vAlign w:val="bottom"/>
          </w:tcPr>
          <w:p>
            <w:pPr>
              <w:ind w:left="1180"/>
              <w:spacing w:after="0"/>
              <w:rPr>
                <w:sz w:val="20"/>
                <w:szCs w:val="20"/>
                <w:color w:val="auto"/>
              </w:rPr>
            </w:pPr>
            <w:r>
              <w:rPr>
                <w:rFonts w:ascii="Arial" w:cs="Arial" w:eastAsia="Arial" w:hAnsi="Arial"/>
                <w:sz w:val="18"/>
                <w:szCs w:val="18"/>
                <w:color w:val="auto"/>
              </w:rPr>
              <w:t>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10.7</w:t>
            </w:r>
          </w:p>
        </w:tc>
        <w:tc>
          <w:tcPr>
            <w:tcW w:w="7020" w:type="dxa"/>
            <w:vAlign w:val="bottom"/>
          </w:tcPr>
          <w:p>
            <w:pPr>
              <w:ind w:left="1180"/>
              <w:spacing w:after="0"/>
              <w:rPr>
                <w:sz w:val="20"/>
                <w:szCs w:val="20"/>
                <w:color w:val="auto"/>
              </w:rPr>
            </w:pPr>
            <w:r>
              <w:rPr>
                <w:rFonts w:ascii="Arial" w:cs="Arial" w:eastAsia="Arial" w:hAnsi="Arial"/>
                <w:sz w:val="18"/>
                <w:szCs w:val="18"/>
                <w:color w:val="auto"/>
              </w:rPr>
              <w:t>Counterparts</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10.8</w:t>
            </w:r>
          </w:p>
        </w:tc>
        <w:tc>
          <w:tcPr>
            <w:tcW w:w="7020" w:type="dxa"/>
            <w:vAlign w:val="bottom"/>
          </w:tcPr>
          <w:p>
            <w:pPr>
              <w:ind w:left="1180"/>
              <w:spacing w:after="0"/>
              <w:rPr>
                <w:sz w:val="20"/>
                <w:szCs w:val="20"/>
                <w:color w:val="auto"/>
              </w:rPr>
            </w:pPr>
            <w:r>
              <w:rPr>
                <w:rFonts w:ascii="Arial" w:cs="Arial" w:eastAsia="Arial" w:hAnsi="Arial"/>
                <w:sz w:val="18"/>
                <w:szCs w:val="18"/>
                <w:color w:val="auto"/>
              </w:rPr>
              <w:t>Survival</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10.9</w:t>
            </w:r>
          </w:p>
        </w:tc>
        <w:tc>
          <w:tcPr>
            <w:tcW w:w="7020" w:type="dxa"/>
            <w:vAlign w:val="bottom"/>
          </w:tcPr>
          <w:p>
            <w:pPr>
              <w:ind w:left="1180"/>
              <w:spacing w:after="0"/>
              <w:rPr>
                <w:sz w:val="20"/>
                <w:szCs w:val="20"/>
                <w:color w:val="auto"/>
              </w:rPr>
            </w:pPr>
            <w:r>
              <w:rPr>
                <w:rFonts w:ascii="Arial" w:cs="Arial" w:eastAsia="Arial" w:hAnsi="Arial"/>
                <w:sz w:val="18"/>
                <w:szCs w:val="18"/>
                <w:color w:val="auto"/>
              </w:rPr>
              <w:t>Captions</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10.10</w:t>
            </w:r>
          </w:p>
        </w:tc>
        <w:tc>
          <w:tcPr>
            <w:tcW w:w="7020" w:type="dxa"/>
            <w:vAlign w:val="bottom"/>
          </w:tcPr>
          <w:p>
            <w:pPr>
              <w:ind w:left="1180"/>
              <w:spacing w:after="0"/>
              <w:rPr>
                <w:sz w:val="20"/>
                <w:szCs w:val="20"/>
                <w:color w:val="auto"/>
              </w:rPr>
            </w:pPr>
            <w:r>
              <w:rPr>
                <w:rFonts w:ascii="Arial" w:cs="Arial" w:eastAsia="Arial" w:hAnsi="Arial"/>
                <w:sz w:val="18"/>
                <w:szCs w:val="18"/>
                <w:color w:val="auto"/>
              </w:rPr>
              <w:t>No Oral Agreements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10.11</w:t>
            </w:r>
          </w:p>
        </w:tc>
        <w:tc>
          <w:tcPr>
            <w:tcW w:w="7020" w:type="dxa"/>
            <w:vAlign w:val="bottom"/>
          </w:tcPr>
          <w:p>
            <w:pPr>
              <w:ind w:left="1180"/>
              <w:spacing w:after="0"/>
              <w:rPr>
                <w:sz w:val="20"/>
                <w:szCs w:val="20"/>
                <w:color w:val="auto"/>
              </w:rPr>
            </w:pPr>
            <w:r>
              <w:rPr>
                <w:rFonts w:ascii="Arial" w:cs="Arial" w:eastAsia="Arial" w:hAnsi="Arial"/>
                <w:sz w:val="18"/>
                <w:szCs w:val="18"/>
                <w:color w:val="auto"/>
              </w:rPr>
              <w:t>Governing Law; Submission to Jurisdiction</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10.12</w:t>
            </w:r>
          </w:p>
        </w:tc>
        <w:tc>
          <w:tcPr>
            <w:tcW w:w="7020" w:type="dxa"/>
            <w:vAlign w:val="bottom"/>
          </w:tcPr>
          <w:p>
            <w:pPr>
              <w:ind w:left="1180"/>
              <w:spacing w:after="0"/>
              <w:rPr>
                <w:sz w:val="20"/>
                <w:szCs w:val="20"/>
                <w:color w:val="auto"/>
              </w:rPr>
            </w:pPr>
            <w:r>
              <w:rPr>
                <w:rFonts w:ascii="Arial" w:cs="Arial" w:eastAsia="Arial" w:hAnsi="Arial"/>
                <w:sz w:val="18"/>
                <w:szCs w:val="18"/>
                <w:color w:val="auto"/>
              </w:rPr>
              <w:t>WAIVER OF JURY TRIAL</w:t>
            </w: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10.13</w:t>
            </w:r>
          </w:p>
        </w:tc>
        <w:tc>
          <w:tcPr>
            <w:tcW w:w="7020" w:type="dxa"/>
            <w:vAlign w:val="bottom"/>
          </w:tcPr>
          <w:p>
            <w:pPr>
              <w:ind w:left="1180"/>
              <w:spacing w:after="0"/>
              <w:rPr>
                <w:sz w:val="20"/>
                <w:szCs w:val="20"/>
                <w:color w:val="auto"/>
              </w:rPr>
            </w:pPr>
            <w:r>
              <w:rPr>
                <w:rFonts w:ascii="Arial" w:cs="Arial" w:eastAsia="Arial" w:hAnsi="Arial"/>
                <w:sz w:val="18"/>
                <w:szCs w:val="18"/>
                <w:color w:val="auto"/>
              </w:rPr>
              <w:t>Acknowledgments</w:t>
            </w: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10.14</w:t>
            </w:r>
          </w:p>
        </w:tc>
        <w:tc>
          <w:tcPr>
            <w:tcW w:w="7020" w:type="dxa"/>
            <w:vAlign w:val="bottom"/>
          </w:tcPr>
          <w:p>
            <w:pPr>
              <w:ind w:left="1180"/>
              <w:spacing w:after="0"/>
              <w:rPr>
                <w:sz w:val="20"/>
                <w:szCs w:val="20"/>
                <w:color w:val="auto"/>
              </w:rPr>
            </w:pPr>
            <w:r>
              <w:rPr>
                <w:rFonts w:ascii="Arial" w:cs="Arial" w:eastAsia="Arial" w:hAnsi="Arial"/>
                <w:sz w:val="18"/>
                <w:szCs w:val="18"/>
                <w:color w:val="auto"/>
              </w:rPr>
              <w:t>Additional Grantors</w:t>
            </w:r>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10.15</w:t>
            </w:r>
          </w:p>
        </w:tc>
        <w:tc>
          <w:tcPr>
            <w:tcW w:w="7020" w:type="dxa"/>
            <w:vAlign w:val="bottom"/>
          </w:tcPr>
          <w:p>
            <w:pPr>
              <w:ind w:left="1180"/>
              <w:spacing w:after="0"/>
              <w:rPr>
                <w:sz w:val="20"/>
                <w:szCs w:val="20"/>
                <w:color w:val="auto"/>
              </w:rPr>
            </w:pPr>
            <w:r>
              <w:rPr>
                <w:rFonts w:ascii="Arial" w:cs="Arial" w:eastAsia="Arial" w:hAnsi="Arial"/>
                <w:sz w:val="18"/>
                <w:szCs w:val="18"/>
                <w:color w:val="auto"/>
              </w:rPr>
              <w:t>Set-Off</w:t>
            </w:r>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10.16</w:t>
            </w:r>
          </w:p>
        </w:tc>
        <w:tc>
          <w:tcPr>
            <w:tcW w:w="7020" w:type="dxa"/>
            <w:vAlign w:val="bottom"/>
          </w:tcPr>
          <w:p>
            <w:pPr>
              <w:ind w:left="1180"/>
              <w:spacing w:after="0"/>
              <w:rPr>
                <w:sz w:val="20"/>
                <w:szCs w:val="20"/>
                <w:color w:val="auto"/>
              </w:rPr>
            </w:pPr>
            <w:r>
              <w:rPr>
                <w:rFonts w:ascii="Arial" w:cs="Arial" w:eastAsia="Arial" w:hAnsi="Arial"/>
                <w:sz w:val="18"/>
                <w:szCs w:val="18"/>
                <w:color w:val="auto"/>
              </w:rPr>
              <w:t>Releases</w:t>
            </w:r>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10.17</w:t>
            </w:r>
          </w:p>
        </w:tc>
        <w:tc>
          <w:tcPr>
            <w:tcW w:w="7020" w:type="dxa"/>
            <w:vAlign w:val="bottom"/>
          </w:tcPr>
          <w:p>
            <w:pPr>
              <w:ind w:left="1180"/>
              <w:spacing w:after="0"/>
              <w:rPr>
                <w:sz w:val="20"/>
                <w:szCs w:val="20"/>
                <w:color w:val="auto"/>
              </w:rPr>
            </w:pPr>
            <w:r>
              <w:rPr>
                <w:rFonts w:ascii="Arial" w:cs="Arial" w:eastAsia="Arial" w:hAnsi="Arial"/>
                <w:sz w:val="18"/>
                <w:szCs w:val="18"/>
                <w:color w:val="auto"/>
              </w:rPr>
              <w:t>Reinstatement</w:t>
            </w: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2160" w:type="dxa"/>
            <w:vAlign w:val="bottom"/>
          </w:tcPr>
          <w:p>
            <w:pPr>
              <w:ind w:left="780"/>
              <w:spacing w:after="0"/>
              <w:rPr>
                <w:sz w:val="20"/>
                <w:szCs w:val="20"/>
                <w:color w:val="auto"/>
              </w:rPr>
            </w:pPr>
            <w:r>
              <w:rPr>
                <w:rFonts w:ascii="Arial" w:cs="Arial" w:eastAsia="Arial" w:hAnsi="Arial"/>
                <w:sz w:val="18"/>
                <w:szCs w:val="18"/>
                <w:color w:val="auto"/>
              </w:rPr>
              <w:t>Section 10.18</w:t>
            </w:r>
          </w:p>
        </w:tc>
        <w:tc>
          <w:tcPr>
            <w:tcW w:w="7020" w:type="dxa"/>
            <w:vAlign w:val="bottom"/>
          </w:tcPr>
          <w:p>
            <w:pPr>
              <w:ind w:left="1180"/>
              <w:spacing w:after="0"/>
              <w:rPr>
                <w:sz w:val="20"/>
                <w:szCs w:val="20"/>
                <w:color w:val="auto"/>
              </w:rPr>
            </w:pPr>
            <w:r>
              <w:rPr>
                <w:rFonts w:ascii="Arial" w:cs="Arial" w:eastAsia="Arial" w:hAnsi="Arial"/>
                <w:sz w:val="18"/>
                <w:szCs w:val="18"/>
                <w:color w:val="auto"/>
              </w:rPr>
              <w:t>Acceptance</w:t>
            </w: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XI</w:t>
            </w:r>
          </w:p>
        </w:tc>
        <w:tc>
          <w:tcPr>
            <w:tcW w:w="70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KEEPWELL</w:t>
            </w:r>
          </w:p>
        </w:tc>
        <w:tc>
          <w:tcPr>
            <w:tcW w:w="1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702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80" w:top="116" w:right="45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u w:val="single" w:color="auto"/>
          <w:color w:val="auto"/>
        </w:rPr>
        <w:t>Schedules</w:t>
      </w:r>
    </w:p>
    <w:p>
      <w:pPr>
        <w:spacing w:after="0" w:line="375"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Schedule 1</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Notice Addresses</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Schedule 2</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Pledged Securities</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Schedule 3</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w w:val="90"/>
              </w:rPr>
              <w:t>Filings and Other Actions Required to Perfect Security Interests</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Schedule 4</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w w:val="98"/>
              </w:rPr>
              <w:t>Legal Name, Organizational Status, Chief Executive Office</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Schedule 5</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Prior Names and Prior Chief Executive Offices</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Schedule 6</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Patents and Patent Licenses</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Schedule 7</w:t>
            </w:r>
          </w:p>
        </w:tc>
        <w:tc>
          <w:tcPr>
            <w:tcW w:w="1140" w:type="dxa"/>
            <w:vAlign w:val="bottom"/>
          </w:tcPr>
          <w:p>
            <w:pPr>
              <w:spacing w:after="0"/>
              <w:rPr>
                <w:sz w:val="23"/>
                <w:szCs w:val="23"/>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Trademarks and Trademark Licenses</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Schedule 8</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Copyrights and Copyright Licenses</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Schedule 9</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780" w:type="dxa"/>
            <w:vAlign w:val="bottom"/>
          </w:tcPr>
          <w:p>
            <w:pPr>
              <w:ind w:left="180"/>
              <w:spacing w:after="0"/>
              <w:rPr>
                <w:sz w:val="20"/>
                <w:szCs w:val="20"/>
                <w:color w:val="auto"/>
              </w:rPr>
            </w:pPr>
            <w:r>
              <w:rPr>
                <w:rFonts w:ascii="Arial" w:cs="Arial" w:eastAsia="Arial" w:hAnsi="Arial"/>
                <w:sz w:val="18"/>
                <w:szCs w:val="18"/>
                <w:color w:val="auto"/>
              </w:rPr>
              <w:t>Commercial Tort Claims</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Annexes</w:t>
      </w:r>
    </w:p>
    <w:p>
      <w:pPr>
        <w:spacing w:after="0" w:line="375"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Annex I</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760" w:type="dxa"/>
            <w:vAlign w:val="bottom"/>
          </w:tcPr>
          <w:p>
            <w:pPr>
              <w:ind w:left="160"/>
              <w:spacing w:after="0"/>
              <w:rPr>
                <w:sz w:val="20"/>
                <w:szCs w:val="20"/>
                <w:color w:val="auto"/>
              </w:rPr>
            </w:pPr>
            <w:r>
              <w:rPr>
                <w:rFonts w:ascii="Arial" w:cs="Arial" w:eastAsia="Arial" w:hAnsi="Arial"/>
                <w:sz w:val="18"/>
                <w:szCs w:val="18"/>
                <w:color w:val="auto"/>
              </w:rPr>
              <w:t>Form of Assumption Agreement</w:t>
            </w: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rPr>
              <w:t>Annex II</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760" w:type="dxa"/>
            <w:vAlign w:val="bottom"/>
          </w:tcPr>
          <w:p>
            <w:pPr>
              <w:ind w:left="160"/>
              <w:spacing w:after="0"/>
              <w:rPr>
                <w:sz w:val="20"/>
                <w:szCs w:val="20"/>
                <w:color w:val="auto"/>
              </w:rPr>
            </w:pPr>
            <w:r>
              <w:rPr>
                <w:rFonts w:ascii="Arial" w:cs="Arial" w:eastAsia="Arial" w:hAnsi="Arial"/>
                <w:sz w:val="18"/>
                <w:szCs w:val="18"/>
                <w:color w:val="auto"/>
                <w:w w:val="91"/>
              </w:rPr>
              <w:t>Form of Intellectual Property Security Agreement</w:t>
            </w: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rPr>
              <w:t>Annex III</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760" w:type="dxa"/>
            <w:vAlign w:val="bottom"/>
          </w:tcPr>
          <w:p>
            <w:pPr>
              <w:ind w:left="160"/>
              <w:spacing w:after="0"/>
              <w:rPr>
                <w:sz w:val="20"/>
                <w:szCs w:val="20"/>
                <w:color w:val="auto"/>
              </w:rPr>
            </w:pPr>
            <w:r>
              <w:rPr>
                <w:rFonts w:ascii="Arial" w:cs="Arial" w:eastAsia="Arial" w:hAnsi="Arial"/>
                <w:sz w:val="18"/>
                <w:szCs w:val="18"/>
                <w:color w:val="auto"/>
              </w:rPr>
              <w:t>Form of Supplement</w:t>
            </w: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rPr>
              <w:t>Annex IV</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760" w:type="dxa"/>
            <w:vAlign w:val="bottom"/>
          </w:tcPr>
          <w:p>
            <w:pPr>
              <w:ind w:left="160"/>
              <w:spacing w:after="0"/>
              <w:rPr>
                <w:sz w:val="20"/>
                <w:szCs w:val="20"/>
                <w:color w:val="auto"/>
              </w:rPr>
            </w:pPr>
            <w:r>
              <w:rPr>
                <w:rFonts w:ascii="Arial" w:cs="Arial" w:eastAsia="Arial" w:hAnsi="Arial"/>
                <w:sz w:val="18"/>
                <w:szCs w:val="18"/>
                <w:color w:val="auto"/>
              </w:rPr>
              <w:t>Form of Acknowledgment and Consent</w:t>
            </w:r>
          </w:p>
        </w:tc>
      </w:tr>
      <w:tr>
        <w:trPr>
          <w:trHeight w:val="702"/>
        </w:trPr>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tcPr>
          <w:p>
            <w:pPr>
              <w:ind w:left="158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0219"/>
          </w:cols>
          <w:pgMar w:left="240" w:top="375"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20"/>
          <w:szCs w:val="20"/>
          <w:b w:val="1"/>
          <w:bCs w:val="1"/>
          <w:u w:val="single" w:color="auto"/>
          <w:color w:val="auto"/>
        </w:rPr>
        <w:t>GUARANTY AND SECURITY AGREEMENT</w:t>
      </w:r>
    </w:p>
    <w:p>
      <w:pPr>
        <w:spacing w:after="0" w:line="216"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0"/>
          <w:szCs w:val="20"/>
          <w:b w:val="1"/>
          <w:bCs w:val="1"/>
          <w:color w:val="auto"/>
        </w:rPr>
        <w:t>THIS GUARANTY AND SECURITY AGREEMENT</w:t>
      </w:r>
      <w:r>
        <w:rPr>
          <w:rFonts w:ascii="Arial" w:cs="Arial" w:eastAsia="Arial" w:hAnsi="Arial"/>
          <w:sz w:val="20"/>
          <w:szCs w:val="20"/>
          <w:color w:val="auto"/>
        </w:rPr>
        <w:t>, dated as of October 22, 2015, is made by LENDINGTREE, LLC, a</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limited liability company (the “</w:t>
      </w:r>
      <w:r>
        <w:rPr>
          <w:rFonts w:ascii="Arial" w:cs="Arial" w:eastAsia="Arial" w:hAnsi="Arial"/>
          <w:sz w:val="20"/>
          <w:szCs w:val="20"/>
          <w:u w:val="single" w:color="auto"/>
          <w:color w:val="auto"/>
        </w:rPr>
        <w:t>Borrower</w:t>
      </w:r>
      <w:r>
        <w:rPr>
          <w:rFonts w:ascii="Arial" w:cs="Arial" w:eastAsia="Arial" w:hAnsi="Arial"/>
          <w:sz w:val="20"/>
          <w:szCs w:val="20"/>
          <w:color w:val="auto"/>
        </w:rPr>
        <w:t>”), LENDINGTREE, INC., a Delaware corporation (“</w:t>
      </w:r>
      <w:r>
        <w:rPr>
          <w:rFonts w:ascii="Arial" w:cs="Arial" w:eastAsia="Arial" w:hAnsi="Arial"/>
          <w:sz w:val="20"/>
          <w:szCs w:val="20"/>
          <w:u w:val="single" w:color="auto"/>
          <w:color w:val="auto"/>
        </w:rPr>
        <w:t>Parent</w:t>
      </w:r>
      <w:r>
        <w:rPr>
          <w:rFonts w:ascii="Arial" w:cs="Arial" w:eastAsia="Arial" w:hAnsi="Arial"/>
          <w:sz w:val="20"/>
          <w:szCs w:val="20"/>
          <w:color w:val="auto"/>
        </w:rPr>
        <w:t>”), and certain Subsidiaries of the Borrower identified on the signature pages hereto as “Guarantors” (together with the Borrower, Parent, and any other Subsidiary of the Borrower that becomes a party hereto from time to time after the date hereof, each, a “</w:t>
      </w:r>
      <w:r>
        <w:rPr>
          <w:rFonts w:ascii="Arial" w:cs="Arial" w:eastAsia="Arial" w:hAnsi="Arial"/>
          <w:sz w:val="20"/>
          <w:szCs w:val="20"/>
          <w:u w:val="single" w:color="auto"/>
          <w:color w:val="auto"/>
        </w:rPr>
        <w:t>Grantor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Grantors</w:t>
      </w:r>
      <w:r>
        <w:rPr>
          <w:rFonts w:ascii="Arial" w:cs="Arial" w:eastAsia="Arial" w:hAnsi="Arial"/>
          <w:sz w:val="20"/>
          <w:szCs w:val="20"/>
          <w:color w:val="auto"/>
        </w:rPr>
        <w:t>”), in favor of SUNTRUST BANK, as administrative agent (in such capacity, together with its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Secured Parties (as defined below).</w:t>
      </w:r>
    </w:p>
    <w:p>
      <w:pPr>
        <w:spacing w:after="0" w:line="18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Borrower and Parent are entering into that certain Credit Agreement, dated as of the date hereof, by and</w:t>
      </w:r>
      <w:r>
        <w:rPr>
          <w:rFonts w:ascii="Arial" w:cs="Arial" w:eastAsia="Arial" w:hAnsi="Arial"/>
          <w:sz w:val="20"/>
          <w:szCs w:val="20"/>
          <w:b w:val="1"/>
          <w:bCs w:val="1"/>
          <w:color w:val="auto"/>
        </w:rPr>
        <w:t xml:space="preserve"> </w:t>
      </w:r>
      <w:r>
        <w:rPr>
          <w:rFonts w:ascii="Arial" w:cs="Arial" w:eastAsia="Arial" w:hAnsi="Arial"/>
          <w:sz w:val="20"/>
          <w:szCs w:val="20"/>
          <w:color w:val="auto"/>
        </w:rPr>
        <w:t>among the Borrower, Parent, the Lenders from time to time party thereto, the Issuing Bank, and the Administrative Agent, providing for certain credit facilities, including, without limitation, a revolving credit facility (as amended, restated, supplemented, replaced, increased, refinanced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18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it is a condition precedent to the obligations of the Lenders, the Issuing Bank, and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Loan Documents that the Grantors are required to enter into this Agreement, pursuant to which the Grantors (other than the Borrower) shall guaranty all Obligations of the Borrower and the Grantors (including the Borrower) shall grant Liens on substantially all of their personal property to the Administrative Agent, on behalf of the Secured Parties, to secure their respective Obligations;</w:t>
      </w:r>
    </w:p>
    <w:p>
      <w:pPr>
        <w:spacing w:after="0" w:line="16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to induce the Administrative Agent, the Lenders and the Issuing</w:t>
      </w:r>
      <w:r>
        <w:rPr>
          <w:rFonts w:ascii="Arial" w:cs="Arial" w:eastAsia="Arial" w:hAnsi="Arial"/>
          <w:sz w:val="18"/>
          <w:szCs w:val="18"/>
          <w:b w:val="1"/>
          <w:bCs w:val="1"/>
          <w:color w:val="auto"/>
        </w:rPr>
        <w:t xml:space="preserve"> </w:t>
      </w:r>
      <w:r>
        <w:rPr>
          <w:rFonts w:ascii="Arial" w:cs="Arial" w:eastAsia="Arial" w:hAnsi="Arial"/>
          <w:sz w:val="18"/>
          <w:szCs w:val="18"/>
          <w:color w:val="auto"/>
        </w:rPr>
        <w:t>Bank to enter into the Credit Agreement and to induce the Lenders and the Issuing Bank to make their respective extensions of credit to the Borrower thereunder, each Grantor hereby agrees with the Administrative Agent, for the ratable benefit of the Secured Parties,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43"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w:t>
      </w:r>
    </w:p>
    <w:p>
      <w:pPr>
        <w:spacing w:after="0" w:line="285" w:lineRule="exact"/>
        <w:rPr>
          <w:sz w:val="20"/>
          <w:szCs w:val="20"/>
          <w:color w:val="auto"/>
        </w:rPr>
      </w:pPr>
    </w:p>
    <w:p>
      <w:pPr>
        <w:jc w:val="both"/>
        <w:ind w:firstLine="1305"/>
        <w:spacing w:after="0" w:line="288" w:lineRule="auto"/>
        <w:tabs>
          <w:tab w:leader="none" w:pos="2144" w:val="left"/>
        </w:tabs>
        <w:numPr>
          <w:ilvl w:val="0"/>
          <w:numId w:val="170"/>
        </w:numPr>
        <w:rPr>
          <w:rFonts w:ascii="Arial" w:cs="Arial" w:eastAsia="Arial" w:hAnsi="Arial"/>
          <w:sz w:val="17"/>
          <w:szCs w:val="17"/>
          <w:color w:val="auto"/>
        </w:rPr>
      </w:pPr>
      <w:r>
        <w:rPr>
          <w:rFonts w:ascii="Arial" w:cs="Arial" w:eastAsia="Arial" w:hAnsi="Arial"/>
          <w:sz w:val="19"/>
          <w:szCs w:val="19"/>
          <w:color w:val="auto"/>
        </w:rPr>
        <w:t>Each term defined above shall have the meaning set forth above for all purposes of this Agreement. Unless otherwise defined herein, terms defined in the Credit Agreement and used herein shall have the meanings assigned to such terms in the Credit Agreement, and the terms “Account Debtor”, “Accounts”, “Chattel Paper”, “Commercial Tort Claims”, “Deposit Accounts”, “Documents”, “Electronic Chattel Paper”, “Equipment”, “Fixtures”, “General Intangibles”, “Goods”, “Instruments”, “Inventory”, “Investment Property”, “Letter-of-Credit Rights”, “Payment Intangibles”, “Proceeds”, “Supporting Obligations”, and “Tangible Chattel Paper” shall have the meanings assigned to such terms in the UCC as in effect on the date hereof:</w:t>
      </w:r>
    </w:p>
    <w:p>
      <w:pPr>
        <w:spacing w:after="0" w:line="196" w:lineRule="exact"/>
        <w:rPr>
          <w:rFonts w:ascii="Arial" w:cs="Arial" w:eastAsia="Arial" w:hAnsi="Arial"/>
          <w:sz w:val="17"/>
          <w:szCs w:val="17"/>
          <w:color w:val="auto"/>
        </w:rPr>
      </w:pPr>
    </w:p>
    <w:p>
      <w:pPr>
        <w:ind w:left="2160" w:hanging="855"/>
        <w:spacing w:after="0"/>
        <w:tabs>
          <w:tab w:leader="none" w:pos="2160" w:val="left"/>
        </w:tabs>
        <w:numPr>
          <w:ilvl w:val="0"/>
          <w:numId w:val="170"/>
        </w:numPr>
        <w:rPr>
          <w:rFonts w:ascii="Arial" w:cs="Arial" w:eastAsia="Arial" w:hAnsi="Arial"/>
          <w:sz w:val="18"/>
          <w:szCs w:val="18"/>
          <w:color w:val="auto"/>
        </w:rPr>
      </w:pPr>
      <w:r>
        <w:rPr>
          <w:rFonts w:ascii="Arial" w:cs="Arial" w:eastAsia="Arial" w:hAnsi="Arial"/>
          <w:sz w:val="20"/>
          <w:szCs w:val="20"/>
          <w:color w:val="auto"/>
        </w:rPr>
        <w:t>The following terms shall have the following meanings:</w:t>
      </w:r>
    </w:p>
    <w:p>
      <w:pPr>
        <w:spacing w:after="0" w:line="24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mean this Guaranty and Security Agreement, as amended, restated, supplemented or otherwise modified from time to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2.1(c)(i)</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Licenses</w:t>
      </w:r>
      <w:r>
        <w:rPr>
          <w:rFonts w:ascii="Arial" w:cs="Arial" w:eastAsia="Arial" w:hAnsi="Arial"/>
          <w:sz w:val="20"/>
          <w:szCs w:val="20"/>
          <w:color w:val="auto"/>
        </w:rPr>
        <w:t xml:space="preserve">” shall mean any and all present and future agreements providing for the granting of any right in or to Copyrights (whether the applicable Grantor is licensee or licensor thereunder), including, without limitation, any thereof referred to in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8</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9" w:right="239" w:bottom="1440" w:gutter="0" w:footer="0" w:header="0"/>
        </w:sectPr>
      </w:pPr>
    </w:p>
    <w:bookmarkStart w:id="170" w:name="page171"/>
    <w:bookmarkEnd w:id="170"/>
    <w:p>
      <w:pPr>
        <w:jc w:val="both"/>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xml:space="preserve">” shall mean, collectively, with respect to each Grantor, all copyrights, whether registered or unregistered, owned by or assigned to such Grantor and all registrations and applications for the foregoing (whether by statutory or common law, whether established or registered in the United States, any State thereof, or any other country or any political subdivision thereof and, in each case, whether owned by or licensed to such Grantor), and all goodwill associated therewith, now existing or hereafter adopted or acquired, together with any and all (i) rights and privileges arising under applicable law with respect to such Grantor’s use of any copyrights,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 (v) rights to sue for past, present or future infringements thereof, including, without limitation, any thereof referred to in </w:t>
      </w:r>
      <w:r>
        <w:rPr>
          <w:rFonts w:ascii="Arial" w:cs="Arial" w:eastAsia="Arial" w:hAnsi="Arial"/>
          <w:sz w:val="19"/>
          <w:szCs w:val="19"/>
          <w:u w:val="single" w:color="auto"/>
          <w:color w:val="auto"/>
        </w:rPr>
        <w:t>Schedule 8</w:t>
      </w:r>
      <w:r>
        <w:rPr>
          <w:rFonts w:ascii="Arial" w:cs="Arial" w:eastAsia="Arial" w:hAnsi="Arial"/>
          <w:sz w:val="19"/>
          <w:szCs w:val="19"/>
          <w:color w:val="auto"/>
        </w:rPr>
        <w:t>.</w:t>
      </w:r>
    </w:p>
    <w:p>
      <w:pPr>
        <w:spacing w:after="0" w:line="18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Capital Stock</w:t>
      </w:r>
      <w:r>
        <w:rPr>
          <w:rFonts w:ascii="Arial" w:cs="Arial" w:eastAsia="Arial" w:hAnsi="Arial"/>
          <w:sz w:val="20"/>
          <w:szCs w:val="20"/>
          <w:color w:val="auto"/>
        </w:rPr>
        <w:t xml:space="preserve">” shall mean any voting Capital Stock of any Foreign Subsidiary owned by any Grantor in excess of 66% of the issued and outstanding voting Capital Stock of such Foreign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that “Excluded Capital Stock” shall not include any proceeds, products, substitutions or replacements of Excluded Capital Stock (unless such proceeds, products, substitutions or replacements would otherwise constitute Excluded Capital Stock).</w:t>
      </w:r>
    </w:p>
    <w:p>
      <w:pPr>
        <w:spacing w:after="0" w:line="19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xml:space="preserve">” shall mean (i) all fee-owned Real Estate and all Real Estate constituting leasehold interests; (ii) any motor vehicles, aircraft, and other assets subject to certificates of title to the extent that a security interest therein cannot be perfected by the filing of a UCC financing statement; (iii) any Letter-of-Credit Rights (except to the extent constituting a support obligation for other Collateral as to which the perfection of security interests in such other Collateral and the support obligation is accomplished solely by the filing of a UCC financing statement) and Commercial Tort Claims, in each case, with a value of less than $500,000; (iv) Excluded Capital Stock; (v) any license, Instrument, agreement, or other General Intangible (other than Proceeds and Accounts thereof) to the extent, and so long as, the pledge thereof as Collateral would violate the terms thereof or result in a breach by any Grantor of any agreement related thereto, but only to the extent, and only for so long as, such prohibition is not terminated or rendered unenforceable or otherwise deemed ineffective by the UCC, the Bankruptcy Code or any other applicable law and such prohibition is not prohibited under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assets shall cease to be Excluded Property at such time as such prohibition or restriction is terminated, rendered unenforceable, or deemed ineffective or otherwise ceases to be in effect and, upon such prohibition or restriction being terminated, rendered unenforceable, deemed ineffective, or otherwise ceasing to be in effect, the Lien granted herein shall be deemed to have automatically attached to such assets); (vi) Excluded Accounts described in clauses (a) through (c) of the definition thereof; (vii) any United States intent-to-use trademark applications and any other assets to the extent the pledge thereof is prohibited by any applicable law (other than Proceeds and Accounts thereof), but only to the extent, and for so long as, such prohibition is not terminated or rendered unenforceable or otherwise deemed ineffective by the UCC, the Bankruptcy Code or any other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assets shall cease to be Excluded Property at such time as such prohibition is terminated, rendered unenforceable, or deemed ineffective or otherwise ceases to be in effect and, upon such prohibition being terminated, rendered unenforceable, deemed ineffective or otherwise ceasing to be in effect, the Lien granted herein shall be deemed to have automatically attached to such assets); and (viii) those assets of the Grantors as to which the Administrative Agent shall reasonably determine that the costs of obtaining or perfecting such security interest are excessive in relation to the value of the security to the Secured Parties to be afforded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“Excluded Property” shall not include any proceeds, products, substitutions or replacements of Excluded Property (unless such proceeds, products, substitutions or replacements would otherwise constitute Excluded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upon the occurrence of an event that renders property to no longer constitute Excluded Property, a security interest in such property shall be automatically and simultaneously granted hereunder and shall be included as Collateral hereunder.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shall mean, collectively, Parent and each other Grantor (other than the Borrower).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Issuers</w:t>
      </w:r>
      <w:r>
        <w:rPr>
          <w:rFonts w:ascii="Arial" w:cs="Arial" w:eastAsia="Arial" w:hAnsi="Arial"/>
          <w:sz w:val="20"/>
          <w:szCs w:val="20"/>
          <w:color w:val="auto"/>
        </w:rPr>
        <w:t>” shall mean, collectively, each issuer of a Pledged Security.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171" w:name="page172"/>
    <w:bookmarkEnd w:id="171"/>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Monetary Obligation</w:t>
      </w:r>
      <w:r>
        <w:rPr>
          <w:rFonts w:ascii="Arial" w:cs="Arial" w:eastAsia="Arial" w:hAnsi="Arial"/>
          <w:sz w:val="20"/>
          <w:szCs w:val="20"/>
          <w:color w:val="auto"/>
        </w:rPr>
        <w:t>” shall mean a monetary obligation secured by Goods or owed under a lease of Goods and includes a monetary obligation with respect to software used in Goods.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shall mean an instrument that evidences a promise to pay a Monetary Obligation and any other instrument within the description of “promissory note” as defined in Article 9 of the UCC.</w:t>
      </w:r>
    </w:p>
    <w:p>
      <w:pPr>
        <w:spacing w:after="0" w:line="177"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Licenses</w:t>
      </w:r>
      <w:r>
        <w:rPr>
          <w:rFonts w:ascii="Arial" w:cs="Arial" w:eastAsia="Arial" w:hAnsi="Arial"/>
          <w:sz w:val="18"/>
          <w:szCs w:val="18"/>
          <w:color w:val="auto"/>
        </w:rPr>
        <w:t xml:space="preserve">” shall mean any and all present and future agreements providing for the granting of any right in or to Patents (whether the applicable Grantor is licensee or licensor thereunder), including, without limitation, any thereof referred to in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13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xml:space="preserve">” shall mean, collectively, with respect to each Grantor, all letters patent issued or assigned to, and all patent applications and registrations made by, such Grantor (whether established or registered or recorded in the United States, any State thereof or any other country or any political subdivision thereof and, in each case, whether owned by or licensed to such Grantor), and all goodwill associated therewith, now existing or hereafter adopted or acquired, together with any and all (i) rights and privileges arising under applicable law with respect to such Grantor’s use of any patents, (ii) inventions and improvements described and claimed therein, (iii) reissues, divisions, continuations, renewals, extensions and continuations-in-part thereof and amendments thereto, and rights to obtain any of the foregoing, (iv) income, fees, royalties, damages, claims and payments now or hereafter due and/or payable thereunder and with respect thereto including damages and payments for past, present or future infringements thereof, (v) rights corresponding thereto throughout the world and (vi) rights to sue for past, present or future infringements thereof, including, without limitation, any thereof referred to in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17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Certificated Stock</w:t>
      </w:r>
      <w:r>
        <w:rPr>
          <w:rFonts w:ascii="Arial" w:cs="Arial" w:eastAsia="Arial" w:hAnsi="Arial"/>
          <w:sz w:val="20"/>
          <w:szCs w:val="20"/>
          <w:color w:val="auto"/>
        </w:rPr>
        <w:t xml:space="preserve">” shall mean all certificated securities and any other Capital Stock or Stock Equivalent of any Person, other than Excluded Property, evidenced by a certificate, instrument or other similar document, in each case owned by any Grantor, and any distribution of property made on, in respect of or in exchange for the foregoing from time to time, including in each case those interests set forth on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to the extent such interests are certificated.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Securities</w:t>
      </w:r>
      <w:r>
        <w:rPr>
          <w:rFonts w:ascii="Arial" w:cs="Arial" w:eastAsia="Arial" w:hAnsi="Arial"/>
          <w:sz w:val="20"/>
          <w:szCs w:val="20"/>
          <w:color w:val="auto"/>
        </w:rPr>
        <w:t>” shall mean, collectively, all Pledged Certificated Stock and all Pledged Uncertificated Stock.</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Uncertificated Stock</w:t>
      </w:r>
      <w:r>
        <w:rPr>
          <w:rFonts w:ascii="Arial" w:cs="Arial" w:eastAsia="Arial" w:hAnsi="Arial"/>
          <w:sz w:val="19"/>
          <w:szCs w:val="19"/>
          <w:color w:val="auto"/>
        </w:rPr>
        <w:t xml:space="preserve">” shall mean any Capital Stock or Stock Equivalent of any Person, other than Pledged Certificated Stock and Excluded Property, in each case owned by any Grantor, including all right, title and interest of any Grantor as a limited or general partner in any partnership or as a member of any limited liability company not constituting Pledged Certificated Stock, all right, title and interest of any Grantor in, to and under any organizational document of any partnership or limited liability company to which it is a party, and any distribution of property made on, in respect of or in exchange for the foregoing from time to time, including in each case those interests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to the extent such interests are not certificated.</w:t>
      </w:r>
    </w:p>
    <w:p>
      <w:pPr>
        <w:spacing w:after="0" w:line="17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shall mean the Administrative Agent, the Lenders, the Issuing Bank, the Lender-Related Hedge Providers and the Bank Product Providers.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shall mean the Securities Act of 1933, as amended and in effect from time to time.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172" w:name="page173"/>
    <w:bookmarkEnd w:id="172"/>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Equivalents</w:t>
      </w:r>
      <w:r>
        <w:rPr>
          <w:rFonts w:ascii="Arial" w:cs="Arial" w:eastAsia="Arial" w:hAnsi="Arial"/>
          <w:sz w:val="20"/>
          <w:szCs w:val="20"/>
          <w:color w:val="auto"/>
        </w:rPr>
        <w:t>” shall mean all securities convertible into or exchangeable for Capital Stock or any other Stock Equivalent and all warrants, options or other rights to purchase, subscribe for or otherwise acquire any Capital Stock or any other Stock Equivalent, whether or not presently convertible, exchangeable or exercisable.</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Licenses</w:t>
      </w:r>
      <w:r>
        <w:rPr>
          <w:rFonts w:ascii="Arial" w:cs="Arial" w:eastAsia="Arial" w:hAnsi="Arial"/>
          <w:sz w:val="20"/>
          <w:szCs w:val="20"/>
          <w:color w:val="auto"/>
        </w:rPr>
        <w:t xml:space="preserve">” shall mean any and all present and future agreements providing for the granting of any right in or to Trademarks (whether the applicable Grantor is licensee or licensor thereunder), including, without limitation, any thereof referred to in </w:t>
      </w:r>
      <w:r>
        <w:rPr>
          <w:rFonts w:ascii="Arial" w:cs="Arial" w:eastAsia="Arial" w:hAnsi="Arial"/>
          <w:sz w:val="20"/>
          <w:szCs w:val="20"/>
          <w:u w:val="single" w:color="auto"/>
          <w:color w:val="auto"/>
        </w:rPr>
        <w:t>Schedule 7</w:t>
      </w:r>
      <w:r>
        <w:rPr>
          <w:rFonts w:ascii="Arial" w:cs="Arial" w:eastAsia="Arial" w:hAnsi="Arial"/>
          <w:sz w:val="20"/>
          <w:szCs w:val="20"/>
          <w:color w:val="auto"/>
        </w:rPr>
        <w:t>.</w:t>
      </w:r>
    </w:p>
    <w:p>
      <w:pPr>
        <w:spacing w:after="0" w:line="18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xml:space="preserve">” shall mean, collectively, with respect to each Grantor, all trademarks, service marks, slogans, logos, certification marks, trade dress, uniform resource locations (URL’s), domain names, corporate names, trade names and other source or business identifiers, whether registered or unregistered, owned by or assigned to such Grantor and all registrations and applications for the foregoing (whether by statutory or common law, whether established or registered in the United States, any State thereof, or any other country or any political subdivision thereof and, in each case, whether owned by or licensed to such Grantor), and all goodwill associated therewith, now existing or hereafter adopted or acquired, together with any and all (i) rights and privileges arising under applicable law with respect to such Grantor’s use of any trademarks,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 (v) rights to sue for past, present or future infringements thereof, including, without limitation, any thereof referred to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shall mean the Uniform Commercial Code as in effect from time to time in the State of New York.</w:t>
      </w:r>
    </w:p>
    <w:p>
      <w:pPr>
        <w:spacing w:after="0" w:line="22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8"/>
          <w:szCs w:val="18"/>
          <w:b w:val="1"/>
          <w:bCs w:val="1"/>
          <w:u w:val="single" w:color="auto"/>
          <w:color w:val="auto"/>
        </w:rPr>
        <w:t>Other Definitional Provisions; References</w:t>
      </w:r>
      <w:r>
        <w:rPr>
          <w:rFonts w:ascii="Arial" w:cs="Arial" w:eastAsia="Arial" w:hAnsi="Arial"/>
          <w:sz w:val="18"/>
          <w:szCs w:val="18"/>
          <w:color w:val="auto"/>
        </w:rPr>
        <w:t>. The definition of terms herein shall apply equally to the</w:t>
      </w:r>
      <w:r>
        <w:rPr>
          <w:rFonts w:ascii="Arial" w:cs="Arial" w:eastAsia="Arial" w:hAnsi="Arial"/>
          <w:sz w:val="17"/>
          <w:szCs w:val="17"/>
          <w:b w:val="1"/>
          <w:bCs w:val="1"/>
          <w:color w:val="auto"/>
        </w:rPr>
        <w:t xml:space="preserve"> </w:t>
      </w:r>
      <w:r>
        <w:rPr>
          <w:rFonts w:ascii="Arial" w:cs="Arial" w:eastAsia="Arial" w:hAnsi="Arial"/>
          <w:sz w:val="18"/>
          <w:szCs w:val="18"/>
          <w:color w:val="auto"/>
        </w:rPr>
        <w:t>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Schedules and Annexes shall, unless otherwise stated, be construed to refer to Articles and Sections of, and Exhibits, Schedules and Annexes to, this Agreement and (e) the words “asset” and “property” shall be construed to have the same meaning and effect and to refer to any and all tangible and intangible assets and properties, including cash, securities, accounts and contract rights. Where the context requires, terms relating to the Collateral or any part thereof, when used in relation to a Grantor, shall refer to such Grantor’s Collateral or the relevant part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GUARANTEE</w:t>
      </w:r>
    </w:p>
    <w:p>
      <w:pPr>
        <w:spacing w:after="0" w:line="26"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8"/>
          <w:szCs w:val="18"/>
          <w:b w:val="1"/>
          <w:bCs w:val="1"/>
          <w:u w:val="single" w:color="auto"/>
          <w:color w:val="auto"/>
        </w:rPr>
        <w:t>Guarantee</w:t>
      </w:r>
      <w:r>
        <w:rPr>
          <w:rFonts w:ascii="Arial" w:cs="Arial" w:eastAsia="Arial" w:hAnsi="Arial"/>
          <w:sz w:val="18"/>
          <w:szCs w:val="18"/>
          <w:color w:val="auto"/>
        </w:rPr>
        <w:t>.</w:t>
      </w:r>
    </w:p>
    <w:p>
      <w:pPr>
        <w:spacing w:after="0" w:line="272" w:lineRule="exact"/>
        <w:rPr>
          <w:sz w:val="20"/>
          <w:szCs w:val="20"/>
          <w:color w:val="auto"/>
        </w:rPr>
      </w:pPr>
    </w:p>
    <w:p>
      <w:pPr>
        <w:jc w:val="both"/>
        <w:ind w:firstLine="1305"/>
        <w:spacing w:after="0" w:line="305" w:lineRule="auto"/>
        <w:tabs>
          <w:tab w:leader="none" w:pos="2144" w:val="left"/>
        </w:tabs>
        <w:numPr>
          <w:ilvl w:val="0"/>
          <w:numId w:val="171"/>
        </w:numPr>
        <w:rPr>
          <w:rFonts w:ascii="Arial" w:cs="Arial" w:eastAsia="Arial" w:hAnsi="Arial"/>
          <w:sz w:val="16"/>
          <w:szCs w:val="16"/>
          <w:color w:val="auto"/>
        </w:rPr>
      </w:pPr>
      <w:r>
        <w:rPr>
          <w:rFonts w:ascii="Arial" w:cs="Arial" w:eastAsia="Arial" w:hAnsi="Arial"/>
          <w:sz w:val="18"/>
          <w:szCs w:val="18"/>
          <w:color w:val="auto"/>
        </w:rPr>
        <w:t>Each Guarantor unconditionally guarantees, jointly with the other Guarantors and severally, as a primary obligor and not merely as a surety, (i) the due and punctual payment of all Obligations of the Borrower and the other Loan Parties including, without limitation, (A)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(B) each payment required to be made by the Borrower under the Credit Agreement in respect of any Letter of Credit, when and as due, including payments in respect of reimbursement or disbursements, interest thereon and obligations to provide cash collateral, and (C) all 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73" w:name="page174"/>
    <w:bookmarkEnd w:id="173"/>
    <w:p>
      <w:pPr>
        <w:jc w:val="both"/>
        <w:spacing w:after="0" w:line="297" w:lineRule="auto"/>
        <w:rPr>
          <w:sz w:val="20"/>
          <w:szCs w:val="20"/>
          <w:color w:val="auto"/>
        </w:rPr>
      </w:pPr>
      <w:r>
        <w:rPr>
          <w:rFonts w:ascii="Arial" w:cs="Arial" w:eastAsia="Arial" w:hAnsi="Arial"/>
          <w:sz w:val="18"/>
          <w:szCs w:val="18"/>
          <w:color w:val="auto"/>
        </w:rPr>
        <w:t>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to the Administrative Agent, the Lenders and the Issuing Bank under the Credit Agreement and the other Loan Documents; (ii) the due and punctual performance of all covenants, agreements, obligations and liabilities of the Loan Parties under or pursuant to the Credit Agreement and the other Loan Documents; (iii) the due and punctual payment of all Bank Product Obligations; and (iv) the due and punctual payment and performance of all Hedging Obligations that constitute Obligations with respect to such Guarantor (all the monetary and other obligations referred to in the preceding clauses (i) through</w:t>
      </w:r>
    </w:p>
    <w:p>
      <w:pPr>
        <w:spacing w:after="0" w:line="3" w:lineRule="exact"/>
        <w:rPr>
          <w:sz w:val="20"/>
          <w:szCs w:val="20"/>
          <w:color w:val="auto"/>
        </w:rPr>
      </w:pPr>
    </w:p>
    <w:p>
      <w:pPr>
        <w:jc w:val="both"/>
        <w:ind w:firstLine="8"/>
        <w:spacing w:after="0" w:line="278" w:lineRule="auto"/>
        <w:tabs>
          <w:tab w:leader="none" w:pos="33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being collectively called the “</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Each Guarantor further agrees that the Guaranteed Obligations may be extended or renewed, in whole or in part, without notice to or further assent from such Guarantor, and that such Guarantor will remain bound upon its guarantee notwithstanding any extension or renewal of any Guaranteed Obligations.</w:t>
      </w:r>
    </w:p>
    <w:p>
      <w:pPr>
        <w:spacing w:after="0" w:line="200" w:lineRule="exact"/>
        <w:rPr>
          <w:rFonts w:ascii="Arial" w:cs="Arial" w:eastAsia="Arial" w:hAnsi="Arial"/>
          <w:sz w:val="20"/>
          <w:szCs w:val="20"/>
          <w:color w:val="auto"/>
        </w:rPr>
      </w:pPr>
    </w:p>
    <w:p>
      <w:pPr>
        <w:jc w:val="both"/>
        <w:ind w:firstLine="1305"/>
        <w:spacing w:after="0" w:line="274" w:lineRule="auto"/>
        <w:tabs>
          <w:tab w:leader="none" w:pos="2155" w:val="left"/>
        </w:tabs>
        <w:numPr>
          <w:ilvl w:val="1"/>
          <w:numId w:val="172"/>
        </w:numPr>
        <w:rPr>
          <w:rFonts w:ascii="Arial" w:cs="Arial" w:eastAsia="Arial" w:hAnsi="Arial"/>
          <w:sz w:val="18"/>
          <w:szCs w:val="18"/>
          <w:color w:val="auto"/>
        </w:rPr>
      </w:pPr>
      <w:r>
        <w:rPr>
          <w:rFonts w:ascii="Arial" w:cs="Arial" w:eastAsia="Arial" w:hAnsi="Arial"/>
          <w:sz w:val="20"/>
          <w:szCs w:val="20"/>
          <w:color w:val="auto"/>
        </w:rPr>
        <w:t>Each Guarantor further agrees that its guarantee constitutes a guarantee of payment when due and not of collection, and waives any right to require that any resort be had by the Administrative Agent or any Secured Party to any of the security held for payment of the Guaranteed Obligations or to any balance of any deposit account or credit on the books of the Administrative Agent or any Secured Party in favor of the Borrower or any other Guarantor.</w:t>
      </w:r>
    </w:p>
    <w:p>
      <w:pPr>
        <w:spacing w:after="0" w:line="205" w:lineRule="exact"/>
        <w:rPr>
          <w:rFonts w:ascii="Arial" w:cs="Arial" w:eastAsia="Arial" w:hAnsi="Arial"/>
          <w:sz w:val="18"/>
          <w:szCs w:val="18"/>
          <w:color w:val="auto"/>
        </w:rPr>
      </w:pPr>
    </w:p>
    <w:p>
      <w:pPr>
        <w:ind w:right="20" w:firstLine="1305"/>
        <w:spacing w:after="0" w:line="289" w:lineRule="auto"/>
        <w:tabs>
          <w:tab w:leader="none" w:pos="2144" w:val="left"/>
        </w:tabs>
        <w:numPr>
          <w:ilvl w:val="1"/>
          <w:numId w:val="172"/>
        </w:numPr>
        <w:rPr>
          <w:rFonts w:ascii="Arial" w:cs="Arial" w:eastAsia="Arial" w:hAnsi="Arial"/>
          <w:sz w:val="18"/>
          <w:szCs w:val="18"/>
          <w:color w:val="auto"/>
        </w:rPr>
      </w:pPr>
      <w:r>
        <w:rPr>
          <w:rFonts w:ascii="Arial" w:cs="Arial" w:eastAsia="Arial" w:hAnsi="Arial"/>
          <w:sz w:val="20"/>
          <w:szCs w:val="20"/>
          <w:color w:val="auto"/>
        </w:rPr>
        <w:t>It is the intent of each Guarantor and the Administrative Agent that the maximum obligations of the Guarantors hereunder shall be, but not in excess of:</w:t>
      </w:r>
    </w:p>
    <w:p>
      <w:pPr>
        <w:spacing w:after="0" w:line="188" w:lineRule="exact"/>
        <w:rPr>
          <w:rFonts w:ascii="Arial" w:cs="Arial" w:eastAsia="Arial" w:hAnsi="Arial"/>
          <w:sz w:val="18"/>
          <w:szCs w:val="18"/>
          <w:color w:val="auto"/>
        </w:rPr>
      </w:pPr>
    </w:p>
    <w:p>
      <w:pPr>
        <w:jc w:val="both"/>
        <w:ind w:left="660" w:firstLine="1293"/>
        <w:spacing w:after="0" w:line="307" w:lineRule="auto"/>
        <w:tabs>
          <w:tab w:leader="none" w:pos="2775" w:val="left"/>
        </w:tabs>
        <w:numPr>
          <w:ilvl w:val="2"/>
          <w:numId w:val="172"/>
        </w:numPr>
        <w:rPr>
          <w:rFonts w:ascii="Arial" w:cs="Arial" w:eastAsia="Arial" w:hAnsi="Arial"/>
          <w:sz w:val="16"/>
          <w:szCs w:val="16"/>
          <w:color w:val="auto"/>
        </w:rPr>
      </w:pPr>
      <w:r>
        <w:rPr>
          <w:rFonts w:ascii="Arial" w:cs="Arial" w:eastAsia="Arial" w:hAnsi="Arial"/>
          <w:sz w:val="18"/>
          <w:szCs w:val="18"/>
          <w:color w:val="auto"/>
        </w:rPr>
        <w:t xml:space="preserve">in a case or proceeding commenced by or against any Guarantor under the provisions of Title 11 of the United States Code, 11 U.S.C. §§101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and in effect from time to time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on or within one year from the date on which any of the Guaranteed Obligations are incurred, the maximum amount which would not otherwise cause the Guaranteed Obligations (or any other obligations of such Guarantor owed to the Administrative Agent or the Secured Parties) to be avoidable or unenforceable against such Guarantor under (i) Section 548 of the Bankruptcy Code or (ii) any state fraudulent transfer or fraudulent conveyance act or statute applied in any such case or proceeding by virtue of Section 544 of the Bankruptcy Code; or</w:t>
      </w:r>
    </w:p>
    <w:p>
      <w:pPr>
        <w:spacing w:after="0" w:line="180" w:lineRule="exact"/>
        <w:rPr>
          <w:rFonts w:ascii="Arial" w:cs="Arial" w:eastAsia="Arial" w:hAnsi="Arial"/>
          <w:sz w:val="16"/>
          <w:szCs w:val="16"/>
          <w:color w:val="auto"/>
        </w:rPr>
      </w:pPr>
    </w:p>
    <w:p>
      <w:pPr>
        <w:jc w:val="both"/>
        <w:ind w:left="660" w:firstLine="1293"/>
        <w:spacing w:after="0" w:line="310" w:lineRule="auto"/>
        <w:tabs>
          <w:tab w:leader="none" w:pos="2825" w:val="left"/>
        </w:tabs>
        <w:numPr>
          <w:ilvl w:val="2"/>
          <w:numId w:val="172"/>
        </w:numPr>
        <w:rPr>
          <w:rFonts w:ascii="Arial" w:cs="Arial" w:eastAsia="Arial" w:hAnsi="Arial"/>
          <w:sz w:val="16"/>
          <w:szCs w:val="16"/>
          <w:color w:val="auto"/>
        </w:rPr>
      </w:pPr>
      <w:r>
        <w:rPr>
          <w:rFonts w:ascii="Arial" w:cs="Arial" w:eastAsia="Arial" w:hAnsi="Arial"/>
          <w:sz w:val="18"/>
          <w:szCs w:val="18"/>
          <w:color w:val="auto"/>
        </w:rPr>
        <w:t>in a case or proceeding commenced by or against any Guarantor under the Bankruptcy Code subsequent to one year from the date on which any of the Guaranteed Obligations are incurred, the maximum amount which would not otherwise cause the Guaranteed Obligations (or any other obligations of such Guarantor to the Administrative Agent or the Secured Parties) to be avoidable or unenforceable against such Guarantor under any state fraudulent transfer or fraudulent conveyance act or statute applied in any such case or proceeding by virtue of Section 544 of the Bankruptcy Code; or</w:t>
      </w:r>
    </w:p>
    <w:p>
      <w:pPr>
        <w:spacing w:after="0" w:line="175" w:lineRule="exact"/>
        <w:rPr>
          <w:rFonts w:ascii="Arial" w:cs="Arial" w:eastAsia="Arial" w:hAnsi="Arial"/>
          <w:sz w:val="16"/>
          <w:szCs w:val="16"/>
          <w:color w:val="auto"/>
        </w:rPr>
      </w:pPr>
    </w:p>
    <w:p>
      <w:pPr>
        <w:jc w:val="both"/>
        <w:ind w:left="660" w:firstLine="1293"/>
        <w:spacing w:after="0" w:line="288" w:lineRule="auto"/>
        <w:tabs>
          <w:tab w:leader="none" w:pos="2875" w:val="left"/>
        </w:tabs>
        <w:numPr>
          <w:ilvl w:val="2"/>
          <w:numId w:val="172"/>
        </w:numPr>
        <w:rPr>
          <w:rFonts w:ascii="Arial" w:cs="Arial" w:eastAsia="Arial" w:hAnsi="Arial"/>
          <w:sz w:val="17"/>
          <w:szCs w:val="17"/>
          <w:color w:val="auto"/>
        </w:rPr>
      </w:pPr>
      <w:r>
        <w:rPr>
          <w:rFonts w:ascii="Arial" w:cs="Arial" w:eastAsia="Arial" w:hAnsi="Arial"/>
          <w:sz w:val="19"/>
          <w:szCs w:val="19"/>
          <w:color w:val="auto"/>
        </w:rPr>
        <w:t>in a case or proceeding commenced by or against any Guarantor under any law, statute or regulation other than the Bankruptcy Code (including, without limitation, any other bankruptcy, reorganization, arrangement, moratorium, readjustment of debt, dissolution, liquidation or similar debtor relief laws), the maximum amount which would not otherwise cause the Guaranteed Obligations (or any other obligations of such Guarantor to the Administrative Agent or the Secured Parties) to be avoidable or unenforceable against such Guarantor under such law, statute or regulation, including, without limitation, any state fraudulent transfer or fraudulent conveyance act or statute applied in any such case or proceeding.</w:t>
      </w:r>
    </w:p>
    <w:p>
      <w:pPr>
        <w:spacing w:after="0" w:line="196" w:lineRule="exact"/>
        <w:rPr>
          <w:rFonts w:ascii="Arial" w:cs="Arial" w:eastAsia="Arial" w:hAnsi="Arial"/>
          <w:sz w:val="17"/>
          <w:szCs w:val="17"/>
          <w:color w:val="auto"/>
        </w:rPr>
      </w:pPr>
    </w:p>
    <w:p>
      <w:pPr>
        <w:jc w:val="both"/>
        <w:ind w:firstLine="1305"/>
        <w:spacing w:after="0" w:line="287" w:lineRule="auto"/>
        <w:tabs>
          <w:tab w:leader="none" w:pos="2155" w:val="left"/>
        </w:tabs>
        <w:numPr>
          <w:ilvl w:val="1"/>
          <w:numId w:val="172"/>
        </w:numPr>
        <w:rPr>
          <w:rFonts w:ascii="Arial" w:cs="Arial" w:eastAsia="Arial" w:hAnsi="Arial"/>
          <w:sz w:val="17"/>
          <w:szCs w:val="17"/>
          <w:color w:val="auto"/>
        </w:rPr>
      </w:pPr>
      <w:r>
        <w:rPr>
          <w:rFonts w:ascii="Arial" w:cs="Arial" w:eastAsia="Arial" w:hAnsi="Arial"/>
          <w:sz w:val="19"/>
          <w:szCs w:val="19"/>
          <w:color w:val="auto"/>
        </w:rPr>
        <w:t>The substantive laws under which the possible avoidance or unenforceability of the Guaranteed Obligations (or any other obligations of such Guarantor to the Administrative Agent or the Secured Parties) as may be determined in any case or proceeding shall hereinafter be referred to as the “</w:t>
      </w:r>
      <w:r>
        <w:rPr>
          <w:rFonts w:ascii="Arial" w:cs="Arial" w:eastAsia="Arial" w:hAnsi="Arial"/>
          <w:sz w:val="19"/>
          <w:szCs w:val="19"/>
          <w:u w:val="single" w:color="auto"/>
          <w:color w:val="auto"/>
        </w:rPr>
        <w:t>Avoidance Provisions</w:t>
      </w:r>
      <w:r>
        <w:rPr>
          <w:rFonts w:ascii="Arial" w:cs="Arial" w:eastAsia="Arial" w:hAnsi="Arial"/>
          <w:sz w:val="19"/>
          <w:szCs w:val="19"/>
          <w:color w:val="auto"/>
        </w:rPr>
        <w:t>”. To the extent set forth in subsections (c)(i), (ii) and (iii) of this Section, but only to the extent that the Guaranteed Obligations would otherwise be subject to avoidance or found unenforceable under the Avoidance Provisions, if any Guarantor is not deemed to have received valuable consideration, fair value or reasonably equivalent value for the Guaranteed Obligations, or if the Guaranteed Obligations would render such Guarantor insolvent, or leave such Guarantor with an unreasonably small capital to conduct its business, or cause such Guarantor to have incurred debts (or to have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9" w:right="239" w:bottom="1440" w:gutter="0" w:footer="0" w:header="0"/>
        </w:sectPr>
      </w:pPr>
    </w:p>
    <w:bookmarkStart w:id="174" w:name="page175"/>
    <w:bookmarkEnd w:id="174"/>
    <w:p>
      <w:pPr>
        <w:jc w:val="both"/>
        <w:spacing w:after="0" w:line="310" w:lineRule="auto"/>
        <w:rPr>
          <w:sz w:val="20"/>
          <w:szCs w:val="20"/>
          <w:color w:val="auto"/>
        </w:rPr>
      </w:pPr>
      <w:r>
        <w:rPr>
          <w:rFonts w:ascii="Arial" w:cs="Arial" w:eastAsia="Arial" w:hAnsi="Arial"/>
          <w:sz w:val="18"/>
          <w:szCs w:val="18"/>
          <w:color w:val="auto"/>
        </w:rPr>
        <w:t>intended to have incurred debts) beyond its ability to pay such debts as they mature, in each case as of the time any of the Guaranteed Obligations are deemed to have been incurred under the Avoidance Provisions and after giving effect to the contribution by such Guarantor, the maximum Guaranteed Obligations for which such Guarantor shall be liable hereunder shall be reduced to that amount which, after giving effect thereto, would not cause the Guaranteed Obligations (or any other obligations of such Guarantor to the Administrative Agent or the Secured Parties), as so reduced, to be subject to avoidance or unenforceability under the Avoidance Provisions.</w:t>
      </w:r>
    </w:p>
    <w:p>
      <w:pPr>
        <w:spacing w:after="0" w:line="176" w:lineRule="exact"/>
        <w:rPr>
          <w:sz w:val="20"/>
          <w:szCs w:val="20"/>
          <w:color w:val="auto"/>
        </w:rPr>
      </w:pPr>
    </w:p>
    <w:p>
      <w:pPr>
        <w:jc w:val="both"/>
        <w:ind w:firstLine="1305"/>
        <w:spacing w:after="0" w:line="314" w:lineRule="auto"/>
        <w:tabs>
          <w:tab w:leader="none" w:pos="2144" w:val="left"/>
        </w:tabs>
        <w:numPr>
          <w:ilvl w:val="0"/>
          <w:numId w:val="173"/>
        </w:numPr>
        <w:rPr>
          <w:rFonts w:ascii="Arial" w:cs="Arial" w:eastAsia="Arial" w:hAnsi="Arial"/>
          <w:sz w:val="16"/>
          <w:szCs w:val="16"/>
          <w:color w:val="auto"/>
        </w:rPr>
      </w:pPr>
      <w:r>
        <w:rPr>
          <w:rFonts w:ascii="Arial" w:cs="Arial" w:eastAsia="Arial" w:hAnsi="Arial"/>
          <w:sz w:val="18"/>
          <w:szCs w:val="18"/>
          <w:color w:val="auto"/>
        </w:rPr>
        <w:t>This Section is intended solely to preserve the rights of the Administrative Agent and the Secured Parties hereunder to the maximum extent that would not cause the Guaranteed Obligations of such Guarantor to be subject to avoidance or unenforceability under the Avoidance Provisions, and neither the Grantors nor any other Person shall have any right or claim under this Section as against the Administrative Agent or any Secured Party that would not otherwise be available to such Person under the Avoidance Provisions.</w:t>
      </w:r>
    </w:p>
    <w:p>
      <w:pPr>
        <w:spacing w:after="0" w:line="172" w:lineRule="exact"/>
        <w:rPr>
          <w:rFonts w:ascii="Arial" w:cs="Arial" w:eastAsia="Arial" w:hAnsi="Arial"/>
          <w:sz w:val="16"/>
          <w:szCs w:val="16"/>
          <w:color w:val="auto"/>
        </w:rPr>
      </w:pPr>
    </w:p>
    <w:p>
      <w:pPr>
        <w:jc w:val="both"/>
        <w:ind w:firstLine="1305"/>
        <w:spacing w:after="0" w:line="273" w:lineRule="auto"/>
        <w:tabs>
          <w:tab w:leader="none" w:pos="2125" w:val="left"/>
        </w:tabs>
        <w:numPr>
          <w:ilvl w:val="0"/>
          <w:numId w:val="173"/>
        </w:numPr>
        <w:rPr>
          <w:rFonts w:ascii="Arial" w:cs="Arial" w:eastAsia="Arial" w:hAnsi="Arial"/>
          <w:sz w:val="18"/>
          <w:szCs w:val="18"/>
          <w:color w:val="auto"/>
        </w:rPr>
      </w:pPr>
      <w:r>
        <w:rPr>
          <w:rFonts w:ascii="Arial" w:cs="Arial" w:eastAsia="Arial" w:hAnsi="Arial"/>
          <w:sz w:val="20"/>
          <w:szCs w:val="20"/>
          <w:color w:val="auto"/>
        </w:rPr>
        <w:t>Each Guarantor agrees that if the maturity of any of the Guaranteed Obligations is accelerated by bankruptcy or otherwise, such maturity shall also be deemed accelerated for the purpose of this guarantee without demand or notice to such Guarantor. The guarantee contained in this Article shall remain in full force and effect until all Guaranteed Obligations are irrevocably satisfied in full and all Commitments have been irrevocably terminated, notwithstanding that, from time to time during the term of the Credit Agreement, no Obligations may be outstanding.</w:t>
      </w:r>
    </w:p>
    <w:p>
      <w:pPr>
        <w:spacing w:after="0" w:line="19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9"/>
          <w:szCs w:val="19"/>
          <w:b w:val="1"/>
          <w:bCs w:val="1"/>
          <w:u w:val="single" w:color="auto"/>
          <w:color w:val="auto"/>
        </w:rPr>
        <w:t>Payments</w:t>
      </w:r>
      <w:r>
        <w:rPr>
          <w:rFonts w:ascii="Arial" w:cs="Arial" w:eastAsia="Arial" w:hAnsi="Arial"/>
          <w:sz w:val="19"/>
          <w:szCs w:val="19"/>
          <w:color w:val="auto"/>
        </w:rPr>
        <w:t>. Each Guarantor hereby agrees and guarantees that payments hereunder will be paid to the</w:t>
      </w:r>
      <w:r>
        <w:rPr>
          <w:rFonts w:ascii="Arial" w:cs="Arial" w:eastAsia="Arial" w:hAnsi="Arial"/>
          <w:sz w:val="18"/>
          <w:szCs w:val="18"/>
          <w:b w:val="1"/>
          <w:bCs w:val="1"/>
          <w:color w:val="auto"/>
        </w:rPr>
        <w:t xml:space="preserve"> </w:t>
      </w:r>
      <w:r>
        <w:rPr>
          <w:rFonts w:ascii="Arial" w:cs="Arial" w:eastAsia="Arial" w:hAnsi="Arial"/>
          <w:sz w:val="19"/>
          <w:szCs w:val="19"/>
          <w:color w:val="auto"/>
        </w:rPr>
        <w:t>Administrative Agent without set-off or counterclaim in U.S. dollars at the office of the Administrative Agent specified pursuant to the Credit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GRANT OF SECURITY INTEREST</w:t>
      </w:r>
    </w:p>
    <w:p>
      <w:pPr>
        <w:spacing w:after="0" w:line="243"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9"/>
          <w:szCs w:val="19"/>
          <w:b w:val="1"/>
          <w:bCs w:val="1"/>
          <w:u w:val="single" w:color="auto"/>
          <w:color w:val="auto"/>
        </w:rPr>
        <w:t>Grant of Security Interest</w:t>
      </w:r>
      <w:r>
        <w:rPr>
          <w:rFonts w:ascii="Arial" w:cs="Arial" w:eastAsia="Arial" w:hAnsi="Arial"/>
          <w:sz w:val="19"/>
          <w:szCs w:val="19"/>
          <w:color w:val="auto"/>
        </w:rPr>
        <w:t>. Each Grantor hereby pledges, assigns and transfers to the Administrative</w:t>
      </w:r>
    </w:p>
    <w:p>
      <w:pPr>
        <w:spacing w:after="0" w:line="4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Agent, and grants to the 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and whether now existing or hereafter coming into existence (collectively, the “</w:t>
      </w:r>
      <w:r>
        <w:rPr>
          <w:rFonts w:ascii="Arial" w:cs="Arial" w:eastAsia="Arial" w:hAnsi="Arial"/>
          <w:sz w:val="19"/>
          <w:szCs w:val="19"/>
          <w:u w:val="single" w:color="auto"/>
          <w:color w:val="auto"/>
        </w:rPr>
        <w:t>Collateral</w:t>
      </w:r>
      <w:r>
        <w:rPr>
          <w:rFonts w:ascii="Arial" w:cs="Arial" w:eastAsia="Arial" w:hAnsi="Arial"/>
          <w:sz w:val="19"/>
          <w:szCs w:val="19"/>
          <w:color w:val="auto"/>
        </w:rPr>
        <w:t>”), as collateral security for the prompt and complete payment and performance when due (whether at the stated maturity, by acceleration or otherwise) of the Obligations and the Guaranteed Obligations (collectively, the “</w:t>
      </w:r>
      <w:r>
        <w:rPr>
          <w:rFonts w:ascii="Arial" w:cs="Arial" w:eastAsia="Arial" w:hAnsi="Arial"/>
          <w:sz w:val="19"/>
          <w:szCs w:val="19"/>
          <w:u w:val="single" w:color="auto"/>
          <w:color w:val="auto"/>
        </w:rPr>
        <w:t>Secured Obligations</w:t>
      </w:r>
      <w:r>
        <w:rPr>
          <w:rFonts w:ascii="Arial" w:cs="Arial" w:eastAsia="Arial" w:hAnsi="Arial"/>
          <w:sz w:val="19"/>
          <w:szCs w:val="19"/>
          <w:color w:val="auto"/>
        </w:rPr>
        <w:t>”):</w:t>
      </w:r>
    </w:p>
    <w:p>
      <w:pPr>
        <w:spacing w:after="0" w:line="193" w:lineRule="exact"/>
        <w:rPr>
          <w:sz w:val="20"/>
          <w:szCs w:val="20"/>
          <w:color w:val="auto"/>
        </w:rPr>
      </w:pPr>
    </w:p>
    <w:p>
      <w:pPr>
        <w:ind w:left="2160" w:hanging="855"/>
        <w:spacing w:after="0"/>
        <w:tabs>
          <w:tab w:leader="none" w:pos="2160" w:val="left"/>
        </w:tabs>
        <w:numPr>
          <w:ilvl w:val="0"/>
          <w:numId w:val="174"/>
        </w:numPr>
        <w:rPr>
          <w:rFonts w:ascii="Arial" w:cs="Arial" w:eastAsia="Arial" w:hAnsi="Arial"/>
          <w:sz w:val="18"/>
          <w:szCs w:val="18"/>
          <w:color w:val="auto"/>
        </w:rPr>
      </w:pPr>
      <w:r>
        <w:rPr>
          <w:rFonts w:ascii="Arial" w:cs="Arial" w:eastAsia="Arial" w:hAnsi="Arial"/>
          <w:sz w:val="20"/>
          <w:szCs w:val="20"/>
          <w:color w:val="auto"/>
        </w:rPr>
        <w:t>all Accounts and Chattel Paper;</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4"/>
        </w:numPr>
        <w:rPr>
          <w:rFonts w:ascii="Arial" w:cs="Arial" w:eastAsia="Arial" w:hAnsi="Arial"/>
          <w:sz w:val="18"/>
          <w:szCs w:val="18"/>
          <w:color w:val="auto"/>
        </w:rPr>
      </w:pPr>
      <w:r>
        <w:rPr>
          <w:rFonts w:ascii="Arial" w:cs="Arial" w:eastAsia="Arial" w:hAnsi="Arial"/>
          <w:sz w:val="20"/>
          <w:szCs w:val="20"/>
          <w:color w:val="auto"/>
        </w:rPr>
        <w:t>all Copyrights and Copyright Licenses;</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4"/>
        </w:numPr>
        <w:rPr>
          <w:rFonts w:ascii="Arial" w:cs="Arial" w:eastAsia="Arial" w:hAnsi="Arial"/>
          <w:sz w:val="17"/>
          <w:szCs w:val="17"/>
          <w:color w:val="auto"/>
        </w:rPr>
      </w:pPr>
      <w:r>
        <w:rPr>
          <w:rFonts w:ascii="Arial" w:cs="Arial" w:eastAsia="Arial" w:hAnsi="Arial"/>
          <w:sz w:val="19"/>
          <w:szCs w:val="19"/>
          <w:color w:val="auto"/>
        </w:rPr>
        <w:t xml:space="preserve">all Commercial Tort Claims (including, without limitation, the Commercial Tort Claims set forth on </w:t>
      </w:r>
      <w:r>
        <w:rPr>
          <w:rFonts w:ascii="Arial" w:cs="Arial" w:eastAsia="Arial" w:hAnsi="Arial"/>
          <w:sz w:val="19"/>
          <w:szCs w:val="19"/>
          <w:u w:val="single" w:color="auto"/>
          <w:color w:val="auto"/>
        </w:rPr>
        <w:t>Schedule 9</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attached hereto);</w:t>
      </w:r>
    </w:p>
    <w:p>
      <w:pPr>
        <w:spacing w:after="0" w:line="256" w:lineRule="exact"/>
        <w:rPr>
          <w:rFonts w:ascii="Arial" w:cs="Arial" w:eastAsia="Arial" w:hAnsi="Arial"/>
          <w:sz w:val="17"/>
          <w:szCs w:val="17"/>
          <w:color w:val="auto"/>
        </w:rPr>
      </w:pPr>
    </w:p>
    <w:p>
      <w:pPr>
        <w:ind w:left="2160" w:hanging="855"/>
        <w:spacing w:after="0"/>
        <w:tabs>
          <w:tab w:leader="none" w:pos="2160" w:val="left"/>
        </w:tabs>
        <w:numPr>
          <w:ilvl w:val="0"/>
          <w:numId w:val="174"/>
        </w:numPr>
        <w:rPr>
          <w:rFonts w:ascii="Arial" w:cs="Arial" w:eastAsia="Arial" w:hAnsi="Arial"/>
          <w:sz w:val="18"/>
          <w:szCs w:val="18"/>
          <w:color w:val="auto"/>
        </w:rPr>
      </w:pPr>
      <w:r>
        <w:rPr>
          <w:rFonts w:ascii="Arial" w:cs="Arial" w:eastAsia="Arial" w:hAnsi="Arial"/>
          <w:sz w:val="20"/>
          <w:szCs w:val="20"/>
          <w:color w:val="auto"/>
        </w:rPr>
        <w:t>all contracts;</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4"/>
        </w:numPr>
        <w:rPr>
          <w:rFonts w:ascii="Arial" w:cs="Arial" w:eastAsia="Arial" w:hAnsi="Arial"/>
          <w:sz w:val="18"/>
          <w:szCs w:val="18"/>
          <w:color w:val="auto"/>
        </w:rPr>
      </w:pPr>
      <w:r>
        <w:rPr>
          <w:rFonts w:ascii="Arial" w:cs="Arial" w:eastAsia="Arial" w:hAnsi="Arial"/>
          <w:sz w:val="20"/>
          <w:szCs w:val="20"/>
          <w:color w:val="auto"/>
        </w:rPr>
        <w:t>all Deposit Accounts;</w:t>
      </w:r>
    </w:p>
    <w:p>
      <w:pPr>
        <w:spacing w:after="0" w:line="256" w:lineRule="exact"/>
        <w:rPr>
          <w:rFonts w:ascii="Arial" w:cs="Arial" w:eastAsia="Arial" w:hAnsi="Arial"/>
          <w:sz w:val="18"/>
          <w:szCs w:val="18"/>
          <w:color w:val="auto"/>
        </w:rPr>
      </w:pPr>
    </w:p>
    <w:p>
      <w:pPr>
        <w:ind w:left="2140" w:hanging="835"/>
        <w:spacing w:after="0"/>
        <w:tabs>
          <w:tab w:leader="none" w:pos="2140" w:val="left"/>
        </w:tabs>
        <w:numPr>
          <w:ilvl w:val="0"/>
          <w:numId w:val="174"/>
        </w:numPr>
        <w:rPr>
          <w:rFonts w:ascii="Arial" w:cs="Arial" w:eastAsia="Arial" w:hAnsi="Arial"/>
          <w:sz w:val="18"/>
          <w:szCs w:val="18"/>
          <w:color w:val="auto"/>
        </w:rPr>
      </w:pPr>
      <w:r>
        <w:rPr>
          <w:rFonts w:ascii="Arial" w:cs="Arial" w:eastAsia="Arial" w:hAnsi="Arial"/>
          <w:sz w:val="20"/>
          <w:szCs w:val="20"/>
          <w:color w:val="auto"/>
        </w:rPr>
        <w:t>all Documents;</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4"/>
        </w:numPr>
        <w:rPr>
          <w:rFonts w:ascii="Arial" w:cs="Arial" w:eastAsia="Arial" w:hAnsi="Arial"/>
          <w:sz w:val="18"/>
          <w:szCs w:val="18"/>
          <w:color w:val="auto"/>
        </w:rPr>
      </w:pPr>
      <w:r>
        <w:rPr>
          <w:rFonts w:ascii="Arial" w:cs="Arial" w:eastAsia="Arial" w:hAnsi="Arial"/>
          <w:sz w:val="20"/>
          <w:szCs w:val="20"/>
          <w:color w:val="auto"/>
        </w:rPr>
        <w:t>all General Intangibles</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4"/>
        </w:numPr>
        <w:rPr>
          <w:rFonts w:ascii="Arial" w:cs="Arial" w:eastAsia="Arial" w:hAnsi="Arial"/>
          <w:sz w:val="18"/>
          <w:szCs w:val="18"/>
          <w:color w:val="auto"/>
        </w:rPr>
      </w:pPr>
      <w:r>
        <w:rPr>
          <w:rFonts w:ascii="Arial" w:cs="Arial" w:eastAsia="Arial" w:hAnsi="Arial"/>
          <w:sz w:val="20"/>
          <w:szCs w:val="20"/>
          <w:color w:val="auto"/>
        </w:rPr>
        <w:t>all Goods (including, without limitation, all Inventory, all Equipment and all Fixtures);</w:t>
      </w:r>
    </w:p>
    <w:p>
      <w:pPr>
        <w:spacing w:after="0" w:line="256" w:lineRule="exact"/>
        <w:rPr>
          <w:rFonts w:ascii="Arial" w:cs="Arial" w:eastAsia="Arial" w:hAnsi="Arial"/>
          <w:sz w:val="18"/>
          <w:szCs w:val="18"/>
          <w:color w:val="auto"/>
        </w:rPr>
      </w:pPr>
    </w:p>
    <w:p>
      <w:pPr>
        <w:ind w:left="2120" w:hanging="815"/>
        <w:spacing w:after="0"/>
        <w:tabs>
          <w:tab w:leader="none" w:pos="2120" w:val="left"/>
        </w:tabs>
        <w:numPr>
          <w:ilvl w:val="0"/>
          <w:numId w:val="174"/>
        </w:numPr>
        <w:rPr>
          <w:rFonts w:ascii="Arial" w:cs="Arial" w:eastAsia="Arial" w:hAnsi="Arial"/>
          <w:sz w:val="18"/>
          <w:szCs w:val="18"/>
          <w:color w:val="auto"/>
        </w:rPr>
      </w:pPr>
      <w:r>
        <w:rPr>
          <w:rFonts w:ascii="Arial" w:cs="Arial" w:eastAsia="Arial" w:hAnsi="Arial"/>
          <w:sz w:val="20"/>
          <w:szCs w:val="20"/>
          <w:color w:val="auto"/>
        </w:rPr>
        <w:t>all Instruments;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80" w:right="239" w:bottom="1440" w:gutter="0" w:footer="0" w:header="0"/>
        </w:sectPr>
      </w:pPr>
    </w:p>
    <w:bookmarkStart w:id="175" w:name="page176"/>
    <w:bookmarkEnd w:id="175"/>
    <w:p>
      <w:pPr>
        <w:ind w:left="2120" w:hanging="815"/>
        <w:spacing w:after="0"/>
        <w:tabs>
          <w:tab w:leader="none" w:pos="2120" w:val="left"/>
        </w:tabs>
        <w:numPr>
          <w:ilvl w:val="0"/>
          <w:numId w:val="175"/>
        </w:numPr>
        <w:rPr>
          <w:rFonts w:ascii="Arial" w:cs="Arial" w:eastAsia="Arial" w:hAnsi="Arial"/>
          <w:sz w:val="18"/>
          <w:szCs w:val="18"/>
          <w:color w:val="auto"/>
        </w:rPr>
      </w:pPr>
      <w:r>
        <w:rPr>
          <w:rFonts w:ascii="Arial" w:cs="Arial" w:eastAsia="Arial" w:hAnsi="Arial"/>
          <w:sz w:val="20"/>
          <w:szCs w:val="20"/>
          <w:color w:val="auto"/>
        </w:rPr>
        <w:t>all Investment Property;</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5"/>
        </w:numPr>
        <w:rPr>
          <w:rFonts w:ascii="Arial" w:cs="Arial" w:eastAsia="Arial" w:hAnsi="Arial"/>
          <w:sz w:val="18"/>
          <w:szCs w:val="18"/>
          <w:color w:val="auto"/>
        </w:rPr>
      </w:pPr>
      <w:r>
        <w:rPr>
          <w:rFonts w:ascii="Arial" w:cs="Arial" w:eastAsia="Arial" w:hAnsi="Arial"/>
          <w:sz w:val="20"/>
          <w:szCs w:val="20"/>
          <w:color w:val="auto"/>
        </w:rPr>
        <w:t>all Letter-of-Credit Rights;</w:t>
      </w:r>
    </w:p>
    <w:p>
      <w:pPr>
        <w:spacing w:after="0" w:line="256" w:lineRule="exact"/>
        <w:rPr>
          <w:rFonts w:ascii="Arial" w:cs="Arial" w:eastAsia="Arial" w:hAnsi="Arial"/>
          <w:sz w:val="18"/>
          <w:szCs w:val="18"/>
          <w:color w:val="auto"/>
        </w:rPr>
      </w:pPr>
    </w:p>
    <w:p>
      <w:pPr>
        <w:ind w:left="2120" w:hanging="815"/>
        <w:spacing w:after="0"/>
        <w:tabs>
          <w:tab w:leader="none" w:pos="2120" w:val="left"/>
        </w:tabs>
        <w:numPr>
          <w:ilvl w:val="0"/>
          <w:numId w:val="175"/>
        </w:numPr>
        <w:rPr>
          <w:rFonts w:ascii="Arial" w:cs="Arial" w:eastAsia="Arial" w:hAnsi="Arial"/>
          <w:sz w:val="18"/>
          <w:szCs w:val="18"/>
          <w:color w:val="auto"/>
        </w:rPr>
      </w:pPr>
      <w:r>
        <w:rPr>
          <w:rFonts w:ascii="Arial" w:cs="Arial" w:eastAsia="Arial" w:hAnsi="Arial"/>
          <w:sz w:val="20"/>
          <w:szCs w:val="20"/>
          <w:color w:val="auto"/>
        </w:rPr>
        <w:t>all Notes and all intercompany obligations between the Loan Parties;</w:t>
      </w:r>
    </w:p>
    <w:p>
      <w:pPr>
        <w:spacing w:after="0" w:line="256" w:lineRule="exact"/>
        <w:rPr>
          <w:rFonts w:ascii="Arial" w:cs="Arial" w:eastAsia="Arial" w:hAnsi="Arial"/>
          <w:sz w:val="18"/>
          <w:szCs w:val="18"/>
          <w:color w:val="auto"/>
        </w:rPr>
      </w:pPr>
    </w:p>
    <w:p>
      <w:pPr>
        <w:ind w:left="2220" w:hanging="915"/>
        <w:spacing w:after="0"/>
        <w:tabs>
          <w:tab w:leader="none" w:pos="2220" w:val="left"/>
        </w:tabs>
        <w:numPr>
          <w:ilvl w:val="0"/>
          <w:numId w:val="175"/>
        </w:numPr>
        <w:rPr>
          <w:rFonts w:ascii="Arial" w:cs="Arial" w:eastAsia="Arial" w:hAnsi="Arial"/>
          <w:sz w:val="18"/>
          <w:szCs w:val="18"/>
          <w:color w:val="auto"/>
        </w:rPr>
      </w:pPr>
      <w:r>
        <w:rPr>
          <w:rFonts w:ascii="Arial" w:cs="Arial" w:eastAsia="Arial" w:hAnsi="Arial"/>
          <w:sz w:val="20"/>
          <w:szCs w:val="20"/>
          <w:color w:val="auto"/>
        </w:rPr>
        <w:t>all Patents and Patent Licenses;</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5"/>
        </w:numPr>
        <w:rPr>
          <w:rFonts w:ascii="Arial" w:cs="Arial" w:eastAsia="Arial" w:hAnsi="Arial"/>
          <w:sz w:val="18"/>
          <w:szCs w:val="18"/>
          <w:color w:val="auto"/>
        </w:rPr>
      </w:pPr>
      <w:r>
        <w:rPr>
          <w:rFonts w:ascii="Arial" w:cs="Arial" w:eastAsia="Arial" w:hAnsi="Arial"/>
          <w:sz w:val="20"/>
          <w:szCs w:val="20"/>
          <w:color w:val="auto"/>
        </w:rPr>
        <w:t>all Pledged Securities;</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5"/>
        </w:numPr>
        <w:rPr>
          <w:rFonts w:ascii="Arial" w:cs="Arial" w:eastAsia="Arial" w:hAnsi="Arial"/>
          <w:sz w:val="18"/>
          <w:szCs w:val="18"/>
          <w:color w:val="auto"/>
        </w:rPr>
      </w:pPr>
      <w:r>
        <w:rPr>
          <w:rFonts w:ascii="Arial" w:cs="Arial" w:eastAsia="Arial" w:hAnsi="Arial"/>
          <w:sz w:val="20"/>
          <w:szCs w:val="20"/>
          <w:color w:val="auto"/>
        </w:rPr>
        <w:t>all Trademarks and Trademark Licenses;</w:t>
      </w:r>
    </w:p>
    <w:p>
      <w:pPr>
        <w:spacing w:after="0" w:line="256" w:lineRule="exact"/>
        <w:rPr>
          <w:rFonts w:ascii="Arial" w:cs="Arial" w:eastAsia="Arial" w:hAnsi="Arial"/>
          <w:sz w:val="18"/>
          <w:szCs w:val="18"/>
          <w:color w:val="auto"/>
        </w:rPr>
      </w:pPr>
    </w:p>
    <w:p>
      <w:pPr>
        <w:ind w:left="2160" w:hanging="855"/>
        <w:spacing w:after="0"/>
        <w:tabs>
          <w:tab w:leader="none" w:pos="2160" w:val="left"/>
        </w:tabs>
        <w:numPr>
          <w:ilvl w:val="0"/>
          <w:numId w:val="175"/>
        </w:numPr>
        <w:rPr>
          <w:rFonts w:ascii="Arial" w:cs="Arial" w:eastAsia="Arial" w:hAnsi="Arial"/>
          <w:sz w:val="18"/>
          <w:szCs w:val="18"/>
          <w:color w:val="auto"/>
        </w:rPr>
      </w:pPr>
      <w:r>
        <w:rPr>
          <w:rFonts w:ascii="Arial" w:cs="Arial" w:eastAsia="Arial" w:hAnsi="Arial"/>
          <w:sz w:val="20"/>
          <w:szCs w:val="20"/>
          <w:color w:val="auto"/>
        </w:rPr>
        <w:t>all vehicles;</w:t>
      </w:r>
    </w:p>
    <w:p>
      <w:pPr>
        <w:spacing w:after="0" w:line="256" w:lineRule="exact"/>
        <w:rPr>
          <w:rFonts w:ascii="Arial" w:cs="Arial" w:eastAsia="Arial" w:hAnsi="Arial"/>
          <w:sz w:val="18"/>
          <w:szCs w:val="18"/>
          <w:color w:val="auto"/>
        </w:rPr>
      </w:pPr>
    </w:p>
    <w:p>
      <w:pPr>
        <w:ind w:right="20" w:firstLine="1305"/>
        <w:spacing w:after="0" w:line="289" w:lineRule="auto"/>
        <w:tabs>
          <w:tab w:leader="none" w:pos="2155" w:val="left"/>
        </w:tabs>
        <w:numPr>
          <w:ilvl w:val="0"/>
          <w:numId w:val="175"/>
        </w:numPr>
        <w:rPr>
          <w:rFonts w:ascii="Arial" w:cs="Arial" w:eastAsia="Arial" w:hAnsi="Arial"/>
          <w:sz w:val="18"/>
          <w:szCs w:val="18"/>
          <w:color w:val="auto"/>
        </w:rPr>
      </w:pPr>
      <w:r>
        <w:rPr>
          <w:rFonts w:ascii="Arial" w:cs="Arial" w:eastAsia="Arial" w:hAnsi="Arial"/>
          <w:sz w:val="20"/>
          <w:szCs w:val="20"/>
          <w:color w:val="auto"/>
        </w:rPr>
        <w:t>all books and records, Supporting Obligations and related letters of credit or other claims and causes of action, in each case to the extent pertaining to the Collateral; and</w:t>
      </w:r>
    </w:p>
    <w:p>
      <w:pPr>
        <w:spacing w:after="0" w:line="188" w:lineRule="exact"/>
        <w:rPr>
          <w:rFonts w:ascii="Arial" w:cs="Arial" w:eastAsia="Arial" w:hAnsi="Arial"/>
          <w:sz w:val="18"/>
          <w:szCs w:val="18"/>
          <w:color w:val="auto"/>
        </w:rPr>
      </w:pPr>
    </w:p>
    <w:p>
      <w:pPr>
        <w:jc w:val="both"/>
        <w:ind w:firstLine="1305"/>
        <w:spacing w:after="0" w:line="299" w:lineRule="auto"/>
        <w:tabs>
          <w:tab w:leader="none" w:pos="2125" w:val="left"/>
        </w:tabs>
        <w:numPr>
          <w:ilvl w:val="0"/>
          <w:numId w:val="175"/>
        </w:numPr>
        <w:rPr>
          <w:rFonts w:ascii="Arial" w:cs="Arial" w:eastAsia="Arial" w:hAnsi="Arial"/>
          <w:sz w:val="17"/>
          <w:szCs w:val="17"/>
          <w:color w:val="auto"/>
        </w:rPr>
      </w:pPr>
      <w:r>
        <w:rPr>
          <w:rFonts w:ascii="Arial" w:cs="Arial" w:eastAsia="Arial" w:hAnsi="Arial"/>
          <w:sz w:val="19"/>
          <w:szCs w:val="19"/>
          <w:color w:val="auto"/>
        </w:rPr>
        <w:t>to the extent not otherwise included, substitutions, replacements, accessions, products and other Proceeds (including, without limitation, insurance proceeds, licenses, royalties, income, payments, claims, damages and proceeds of suit) of any or all of the foregoing and all collateral security, guarantees and other Supporting Obligations given with respect to any of the foregoing;</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no Lien or security interest is hereby granted on any Excluded Property, and, to the extent that any Collateral later becomes Excluded Property, the Lien granted hereunder will automatically be deemed to have been released;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and when any property shall cease to be Excluded Property, a Lien on and security interest in such property shall automatically be deemed granted therein.</w:t>
      </w:r>
    </w:p>
    <w:p>
      <w:pPr>
        <w:spacing w:after="0" w:line="19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9"/>
          <w:szCs w:val="19"/>
          <w:b w:val="1"/>
          <w:bCs w:val="1"/>
          <w:u w:val="single" w:color="auto"/>
          <w:color w:val="auto"/>
        </w:rPr>
        <w:t>Transfer of Pledged Securities</w:t>
      </w:r>
      <w:r>
        <w:rPr>
          <w:rFonts w:ascii="Arial" w:cs="Arial" w:eastAsia="Arial" w:hAnsi="Arial"/>
          <w:sz w:val="19"/>
          <w:szCs w:val="19"/>
          <w:color w:val="auto"/>
        </w:rPr>
        <w:t>. Subject to</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Section 5.16</w:t>
      </w:r>
      <w:r>
        <w:rPr>
          <w:rFonts w:ascii="Arial" w:cs="Arial" w:eastAsia="Arial" w:hAnsi="Arial"/>
          <w:sz w:val="18"/>
          <w:szCs w:val="18"/>
          <w:b w:val="1"/>
          <w:bCs w:val="1"/>
          <w:color w:val="auto"/>
        </w:rPr>
        <w:t xml:space="preserve"> </w:t>
      </w:r>
      <w:r>
        <w:rPr>
          <w:rFonts w:ascii="Arial" w:cs="Arial" w:eastAsia="Arial" w:hAnsi="Arial"/>
          <w:sz w:val="19"/>
          <w:szCs w:val="19"/>
          <w:color w:val="auto"/>
        </w:rPr>
        <w:t>of the Credit Agreement, all certificates and</w:t>
      </w:r>
      <w:r>
        <w:rPr>
          <w:rFonts w:ascii="Arial" w:cs="Arial" w:eastAsia="Arial" w:hAnsi="Arial"/>
          <w:sz w:val="18"/>
          <w:szCs w:val="18"/>
          <w:b w:val="1"/>
          <w:bCs w:val="1"/>
          <w:color w:val="auto"/>
        </w:rPr>
        <w:t xml:space="preserve"> </w:t>
      </w:r>
      <w:r>
        <w:rPr>
          <w:rFonts w:ascii="Arial" w:cs="Arial" w:eastAsia="Arial" w:hAnsi="Arial"/>
          <w:sz w:val="19"/>
          <w:szCs w:val="19"/>
          <w:color w:val="auto"/>
        </w:rPr>
        <w:t>instruments representing or evidencing the Pledged Certificated Stock shall be delivered to and held pursuant hereto by the Administrative Agent or a Person designated by the Administrative Agent and, in the case of an instrument or certificate in registered form, shall be duly indorsed to the Administrative Agent or in blank by an effective endorsement (whether on the certificate or instrument or on a separate writing), and accompanied by any required transfer tax stamps to effect the pledge of the Pledged Securities to the Administrative Agent. Notwithstanding the preceding sentence, all Pledged Certificated Stock must be delivered or transferred in such manner, and each Grantor shall take all such further action as may be reasonably requested by the Administrative Agent, as to permit the Administrative Agent to be a “protected purchaser” to the extent of its security interest as provided in Section 8-303 of the UCC.</w:t>
      </w:r>
    </w:p>
    <w:p>
      <w:pPr>
        <w:spacing w:after="0" w:line="19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8"/>
          <w:szCs w:val="18"/>
          <w:b w:val="1"/>
          <w:bCs w:val="1"/>
          <w:u w:val="single" w:color="auto"/>
          <w:color w:val="auto"/>
        </w:rPr>
        <w:t>Grantors Remain Liable under Accounts, Chattel Paper and Payment Intangibles</w:t>
      </w:r>
      <w:r>
        <w:rPr>
          <w:rFonts w:ascii="Arial" w:cs="Arial" w:eastAsia="Arial" w:hAnsi="Arial"/>
          <w:sz w:val="18"/>
          <w:szCs w:val="18"/>
          <w:color w:val="auto"/>
        </w:rPr>
        <w:t>. Anything herein to</w:t>
      </w:r>
    </w:p>
    <w:p>
      <w:pPr>
        <w:spacing w:after="0" w:line="56"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contrary notwithstanding, each Grantor shall remain liable under each of the Accounts, Chattel Paper and Payment Intangibles to observe and perform all of the conditions and obligations to be observed and performed by it thereunder, all in accordance with the terms of any agreement giving rise to each such Account, Chattel Paper or Payment Intangible. Neither the Administrative Agent nor any other Secured Party shall have any obligation or liability under any Account, Chattel Paper or Payment Intangible (or any agreement giving rise thereto) by reason of or arising out of this Agreement or the receipt by the Administrative Agent or any such other Secured Party of any payment relating to such Account, Chattel Paper or Payment Intangible pursuant hereto, nor shall the Administrative Agent or any other Secured Party be obligated in any manner to perform any of the obligations of any Grantor under or pursuant to any Account, Chattel Paper or Payment Intangible (or any agreement giving rise thereto) to make any payment, to make any inquiry as to the nature or the sufficiency of any payment received by it or as to the sufficiency of any performance by any party under any Account, Chattel Paper or Payment Intangible (or any agreement giving rise thereto), to present or file any claim, to take any action to enforce any performance or to collect the payment of any amounts which may have been assigned to it or to which it may be entitled at any time or times.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09"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ind w:left="3300"/>
        <w:spacing w:after="0"/>
        <w:rPr>
          <w:sz w:val="20"/>
          <w:szCs w:val="20"/>
          <w:color w:val="auto"/>
        </w:rPr>
      </w:pPr>
      <w:r>
        <w:rPr>
          <w:rFonts w:ascii="Arial" w:cs="Arial" w:eastAsia="Arial" w:hAnsi="Arial"/>
          <w:sz w:val="20"/>
          <w:szCs w:val="20"/>
          <w:b w:val="1"/>
          <w:bCs w:val="1"/>
          <w:u w:val="single" w:color="auto"/>
          <w:color w:val="auto"/>
        </w:rPr>
        <w:t>ACKNOWLEDGMENTS, WAIVERS AND CONSENTS</w:t>
      </w:r>
    </w:p>
    <w:p>
      <w:pPr>
        <w:spacing w:after="0" w:line="243"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u w:val="single" w:color="auto"/>
          <w:color w:val="auto"/>
        </w:rPr>
        <w:t>Acknowledgments, Waivers and Consents</w:t>
      </w:r>
      <w:r>
        <w:rPr>
          <w:rFonts w:ascii="Arial" w:cs="Arial" w:eastAsia="Arial" w:hAnsi="Arial"/>
          <w:sz w:val="16"/>
          <w:szCs w:val="16"/>
          <w:color w:val="auto"/>
        </w:rPr>
        <w:t>.</w:t>
      </w:r>
    </w:p>
    <w:p>
      <w:pPr>
        <w:spacing w:after="0" w:line="285" w:lineRule="exact"/>
        <w:rPr>
          <w:sz w:val="20"/>
          <w:szCs w:val="20"/>
          <w:color w:val="auto"/>
        </w:rPr>
      </w:pPr>
    </w:p>
    <w:p>
      <w:pPr>
        <w:jc w:val="both"/>
        <w:ind w:firstLine="1305"/>
        <w:spacing w:after="0" w:line="285" w:lineRule="auto"/>
        <w:tabs>
          <w:tab w:leader="none" w:pos="2144" w:val="left"/>
        </w:tabs>
        <w:numPr>
          <w:ilvl w:val="0"/>
          <w:numId w:val="176"/>
        </w:numPr>
        <w:rPr>
          <w:rFonts w:ascii="Arial" w:cs="Arial" w:eastAsia="Arial" w:hAnsi="Arial"/>
          <w:sz w:val="17"/>
          <w:szCs w:val="17"/>
          <w:color w:val="auto"/>
        </w:rPr>
      </w:pPr>
      <w:r>
        <w:rPr>
          <w:rFonts w:ascii="Arial" w:cs="Arial" w:eastAsia="Arial" w:hAnsi="Arial"/>
          <w:sz w:val="19"/>
          <w:szCs w:val="19"/>
          <w:color w:val="auto"/>
        </w:rPr>
        <w:t>Each Guarantor acknowledges and agrees that the obligations undertaken by it under this Agreement involve the guarantee of, and each Grantor acknowledges and agrees that the obligations undertaken by it under this Agreement involve the provision of collateral security for, Obligations of Persons other than such Grantor and that such Grantor’s guarantee and provision of collateral security for the Secured Obligations are absolute, irrevocable and unconditional under any and all circumstances. In full recognition and furtherance of the foregoing, each Grantor understands and agrees, to the fullest extent permitted under applicable law and except as may otherwise be expressly and specifically provided in the Loan Documents, that each Grantor shall remain obligated hereunder (including, without limitation, with respect to each Guarantor the guarantee made by it herein and, with respect to each Grantor, the collateral security provided by such Grantor herein), and the enforceability and effectiveness of this Agreement and the liability of such Grantor, and the rights, remedies, powers and privileges of the Administrative Agent and the other Secured Parties under this Agreement and the other Loan Documents, shall not be affected, limited, reduced, discharged or terminated in any way:</w:t>
      </w:r>
    </w:p>
    <w:p>
      <w:pPr>
        <w:spacing w:after="0" w:line="201" w:lineRule="exact"/>
        <w:rPr>
          <w:rFonts w:ascii="Arial" w:cs="Arial" w:eastAsia="Arial" w:hAnsi="Arial"/>
          <w:sz w:val="17"/>
          <w:szCs w:val="17"/>
          <w:color w:val="auto"/>
        </w:rPr>
      </w:pPr>
    </w:p>
    <w:p>
      <w:pPr>
        <w:jc w:val="both"/>
        <w:ind w:left="660" w:firstLine="1293"/>
        <w:spacing w:after="0" w:line="300" w:lineRule="auto"/>
        <w:tabs>
          <w:tab w:leader="none" w:pos="2775" w:val="left"/>
        </w:tabs>
        <w:numPr>
          <w:ilvl w:val="1"/>
          <w:numId w:val="176"/>
        </w:numPr>
        <w:rPr>
          <w:rFonts w:ascii="Arial" w:cs="Arial" w:eastAsia="Arial" w:hAnsi="Arial"/>
          <w:sz w:val="16"/>
          <w:szCs w:val="16"/>
          <w:color w:val="auto"/>
        </w:rPr>
      </w:pPr>
      <w:r>
        <w:rPr>
          <w:rFonts w:ascii="Arial" w:cs="Arial" w:eastAsia="Arial" w:hAnsi="Arial"/>
          <w:sz w:val="18"/>
          <w:szCs w:val="18"/>
          <w:color w:val="auto"/>
        </w:rPr>
        <w:t>notwithstanding that, without any reservation of rights against any Grantor and without notice to or further assent by any Grantor, in each case, subject to and in accordance with the terms of the Loan Documents, (A) any demand for payment of any of the Secured Obligations made by the Administrative Agent or any other Secured Party may be rescinded by the Administrative Agent or such other Secured Party and any of the Secured Obligations continued; (B) the Secured Obligations,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or any indulgence or forbearance in respect thereof granted by, the Administrative Agent or any other Secured Party; (C) the Credit Agreement, the other Loan Documents and all other documents executed and delivered in connection therewith or in connection with Hedging Obligations and Bank Product Obligations included as Obligations may be amended, modified, supplemented or terminated, in whole or in part, as the Administrative Agent (or the Required Lenders, all Lenders, or the other parties thereto, as the case may be) may deem advisable from time to time; (D) the Borrower, any Guarantor or any other Person may from time to time accept or enter into new or additional agreements, security documents, guarantees or other instruments in addition to, in exchange for or relative to any Loan Document, all or any part of the Secured Obligations or any Collateral now or in the future serving as security for the Secured Obligations; (E) any collateral security, guarantee or right of offset at any time held by the Administrative Agent or any other Secured Party for the payment of the Secured Obligations may be sold, exchanged, waived, surrendered or released; and (F) any other event shall occur which constitutes a defense or release of sureties generally; and</w:t>
      </w:r>
    </w:p>
    <w:p>
      <w:pPr>
        <w:spacing w:after="0" w:line="195" w:lineRule="exact"/>
        <w:rPr>
          <w:rFonts w:ascii="Arial" w:cs="Arial" w:eastAsia="Arial" w:hAnsi="Arial"/>
          <w:sz w:val="16"/>
          <w:szCs w:val="16"/>
          <w:color w:val="auto"/>
        </w:rPr>
      </w:pPr>
    </w:p>
    <w:p>
      <w:pPr>
        <w:jc w:val="both"/>
        <w:ind w:left="660" w:firstLine="1293"/>
        <w:spacing w:after="0" w:line="303" w:lineRule="auto"/>
        <w:tabs>
          <w:tab w:leader="none" w:pos="2825" w:val="left"/>
        </w:tabs>
        <w:numPr>
          <w:ilvl w:val="1"/>
          <w:numId w:val="176"/>
        </w:numPr>
        <w:rPr>
          <w:rFonts w:ascii="Arial" w:cs="Arial" w:eastAsia="Arial" w:hAnsi="Arial"/>
          <w:sz w:val="16"/>
          <w:szCs w:val="16"/>
          <w:color w:val="auto"/>
        </w:rPr>
      </w:pPr>
      <w:r>
        <w:rPr>
          <w:rFonts w:ascii="Arial" w:cs="Arial" w:eastAsia="Arial" w:hAnsi="Arial"/>
          <w:sz w:val="18"/>
          <w:szCs w:val="18"/>
          <w:color w:val="auto"/>
        </w:rPr>
        <w:t>regardless of, and each Grantor hereby expressly waives to the fullest extent permitted by law any defense now or in the future arising by reason of, (A) the illegality, invalidity or unenforceability of the Credit Agreement, any other Loan Document, any of the Secured Obligations or any other collateral security therefor or guarantee or right of offset with respect thereto at any time or from time to time held by the Administrative Agent or any other Secured Party; (B) any defense, set-off or counterclaim (other than a defense of payment or performance) which may at any time be available to or be asserted by any Grantor or any other Person against the Administrative Agent or any other Secured Party; (C) the insolvency, bankruptcy arrangement, reorganization, adjustment, composition, liquidation, disability, dissolution or lack of power of any Grantor or any other Person at any time liable for the payment of all or part of the Secured Obligations or the failure of the Administrative Agent or any other Secured Party to file or enforce a claim in bankruptcy or other proceeding with respect to any Person, or any sale, lease or transfer of any or all of the assets of any Grantor, or any changes in the shareholders of any Grantor; (D) the fact that any Collateral or Lien contemplated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9" w:right="239" w:bottom="1440" w:gutter="0" w:footer="0" w:header="0"/>
        </w:sectPr>
      </w:pPr>
    </w:p>
    <w:bookmarkStart w:id="177" w:name="page178"/>
    <w:bookmarkEnd w:id="177"/>
    <w:p>
      <w:pPr>
        <w:jc w:val="both"/>
        <w:ind w:left="660"/>
        <w:spacing w:after="0" w:line="297" w:lineRule="auto"/>
        <w:rPr>
          <w:sz w:val="20"/>
          <w:szCs w:val="20"/>
          <w:color w:val="auto"/>
        </w:rPr>
      </w:pPr>
      <w:r>
        <w:rPr>
          <w:rFonts w:ascii="Arial" w:cs="Arial" w:eastAsia="Arial" w:hAnsi="Arial"/>
          <w:sz w:val="18"/>
          <w:szCs w:val="18"/>
          <w:color w:val="auto"/>
        </w:rPr>
        <w:t>or intended to be given, created or granted as security for the repayment of the Secured Obligations shall not be properly perfected or created, or shall prove to be unenforceable or subordinate to any other Lien, it being recognized and agreed by each of the Grantors that it is not entering into this Agreement in reliance on, or in contemplation of the benefits of, the validity, enforceability, collectability or value of any of the Collateral for the Secured Obligations; (E) any failure of the Administrative Agent or any other Secured Party to marshal assets in favor of any Grantor or any other Person, to exhaust any collateral for all or any part of the Secured Obligations, to pursue or exhaust any right, remedy, power or privilege it may have against any Grantor or any other Person or to take any action whatsoever to mitigate or reduce any Grantor’s liability under this Agreement or any other Loan Document; (F) any law which provides that the obligation of a surety or guarantor must neither be larger in amount nor in other respects more burdensome than that of the principal or which reduces a surety’s or guarantor’s obligation in proportion to the principal obligation; (G) the possibility that the Secured Obligations may at any time and from time to time exceed the aggregate liability of such Grantor under this Agreement; or</w:t>
      </w:r>
    </w:p>
    <w:p>
      <w:pPr>
        <w:spacing w:after="0" w:line="5" w:lineRule="exact"/>
        <w:rPr>
          <w:sz w:val="20"/>
          <w:szCs w:val="20"/>
          <w:color w:val="auto"/>
        </w:rPr>
      </w:pPr>
    </w:p>
    <w:p>
      <w:pPr>
        <w:jc w:val="both"/>
        <w:ind w:left="660" w:hanging="4"/>
        <w:spacing w:after="0" w:line="273" w:lineRule="auto"/>
        <w:tabs>
          <w:tab w:leader="none" w:pos="98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any other circumstance or act whatsoever, including any action or omission of the type described in subsection (a)(i) of this Section (with or without notice to or knowledge of any Grantor), which constitutes, or might be construed to constitute, an equitable or legal discharge or defense of the Borrower for the Obligations, or of such Guarantor under the guarantee contained in </w:t>
      </w:r>
      <w:r>
        <w:rPr>
          <w:rFonts w:ascii="Arial" w:cs="Arial" w:eastAsia="Arial" w:hAnsi="Arial"/>
          <w:sz w:val="20"/>
          <w:szCs w:val="20"/>
          <w:u w:val="single" w:color="auto"/>
          <w:color w:val="auto"/>
        </w:rPr>
        <w:t>Article II</w:t>
      </w:r>
      <w:r>
        <w:rPr>
          <w:rFonts w:ascii="Arial" w:cs="Arial" w:eastAsia="Arial" w:hAnsi="Arial"/>
          <w:sz w:val="20"/>
          <w:szCs w:val="20"/>
          <w:color w:val="auto"/>
        </w:rPr>
        <w:t>, or with respect to the collateral security provided by such Grantor herein, or which might be available to a surety or guarantor, in bankruptcy or in any other instance.</w:t>
      </w:r>
    </w:p>
    <w:p>
      <w:pPr>
        <w:spacing w:after="0" w:line="204" w:lineRule="exact"/>
        <w:rPr>
          <w:rFonts w:ascii="Arial" w:cs="Arial" w:eastAsia="Arial" w:hAnsi="Arial"/>
          <w:sz w:val="20"/>
          <w:szCs w:val="20"/>
          <w:color w:val="auto"/>
        </w:rPr>
      </w:pPr>
    </w:p>
    <w:p>
      <w:pPr>
        <w:jc w:val="both"/>
        <w:ind w:firstLine="1305"/>
        <w:spacing w:after="0" w:line="284" w:lineRule="auto"/>
        <w:tabs>
          <w:tab w:leader="none" w:pos="2155" w:val="left"/>
        </w:tabs>
        <w:numPr>
          <w:ilvl w:val="1"/>
          <w:numId w:val="177"/>
        </w:numPr>
        <w:rPr>
          <w:rFonts w:ascii="Arial" w:cs="Arial" w:eastAsia="Arial" w:hAnsi="Arial"/>
          <w:sz w:val="17"/>
          <w:szCs w:val="17"/>
          <w:color w:val="auto"/>
        </w:rPr>
      </w:pPr>
      <w:r>
        <w:rPr>
          <w:rFonts w:ascii="Arial" w:cs="Arial" w:eastAsia="Arial" w:hAnsi="Arial"/>
          <w:sz w:val="19"/>
          <w:szCs w:val="19"/>
          <w:color w:val="auto"/>
        </w:rPr>
        <w:t xml:space="preserve">Each Grantor hereby waives to the extent permitted by law (i) except as expressly provided otherwise in any Loan Document, all notices to such Grantor, or to any other Person, including, but not limited to, notices of the acceptance of this Agreement, the guarantee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the provision of collateral security provided herein, or the creation, renewal, extension, modification or accrual of any Secured Obligations, or notice of or proof of reliance by the Administrative Agent or any other Secured Party upon the guarantee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upon the collateral security provided herein, or of default in the payment or performance of any of the Secured Obligations owed to the Administrative Agent or any other Secured Party and enforcement of any right or remedy with respect thereto, or notice of any other matters relating thereto; the Secured Obligations, and any of them, shall conclusively be deemed to have been created, contracted or incurred, or renewed, extended, amended or waived, in reliance upon the guarantee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the collateral security provided herein and no notice of creation of the Secured Obligations or any extension of credit already or hereafter contracted by or extended to the Borrower need be given to any Grantor, and all dealings between the Borrower and any of the other Grantors, on the one hand, and the Administrative Agent and the other Secured Parties, on the other hand, likewise shall be conclusively presumed to have been had or consummated in reliance upon the guarantee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on the collateral security provided herein; (ii) diligence and demand of payment, presentment, protest, dishonor and notice of dishonor; (iii) any statute of limitations affecting any Grantor’s liability hereunder or the enforcement thereof; (iv) all rights of revocation with respect to the Secured Obligations, the guarantee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the provision of collateral security herein; and (v) all principles or provisions of law which conflict with the terms of this Agreement and which can, as a matter of law, be waived.</w:t>
      </w:r>
    </w:p>
    <w:p>
      <w:pPr>
        <w:spacing w:after="0" w:line="198" w:lineRule="exact"/>
        <w:rPr>
          <w:rFonts w:ascii="Arial" w:cs="Arial" w:eastAsia="Arial" w:hAnsi="Arial"/>
          <w:sz w:val="17"/>
          <w:szCs w:val="17"/>
          <w:color w:val="auto"/>
        </w:rPr>
      </w:pPr>
    </w:p>
    <w:p>
      <w:pPr>
        <w:jc w:val="both"/>
        <w:ind w:firstLine="1305"/>
        <w:spacing w:after="0" w:line="285" w:lineRule="auto"/>
        <w:tabs>
          <w:tab w:leader="none" w:pos="2144" w:val="left"/>
        </w:tabs>
        <w:numPr>
          <w:ilvl w:val="1"/>
          <w:numId w:val="177"/>
        </w:numPr>
        <w:rPr>
          <w:rFonts w:ascii="Arial" w:cs="Arial" w:eastAsia="Arial" w:hAnsi="Arial"/>
          <w:sz w:val="17"/>
          <w:szCs w:val="17"/>
          <w:color w:val="auto"/>
        </w:rPr>
      </w:pPr>
      <w:r>
        <w:rPr>
          <w:rFonts w:ascii="Arial" w:cs="Arial" w:eastAsia="Arial" w:hAnsi="Arial"/>
          <w:sz w:val="19"/>
          <w:szCs w:val="19"/>
          <w:color w:val="auto"/>
        </w:rPr>
        <w:t xml:space="preserve">When making any demand hereunder or otherwise pursuing its rights and remedies hereunder against any Grantor, the Administrative Agent or any other Secured Party may, but shall be under no obligation to, join or make a similar demand on or otherwise pursue or exhaust such rights and remedies as it may have against the Borrower, any other Grantor or any other Person or against any collateral security or guarantee for the Secured Obligations or any right of offset with respect thereto, and any failure by the Administrative Agent or any other Secured Party to make any such demand, to pursue such other rights or remedies or to collect any payments from the Borrower, any other Grantor or any other Person or to realize upon any such collateral security or guarantee or to exercise any such right of offset, or any release of the Borrower, any other Grantor or any other Person or any such collateral security, guarantee or right of offset, shall not relieve any Grantor of any obligation or liability hereunder, and shall not impair or affect the rights and remedies, whether express, implied or available as a matter of law, of the Administrative Agent or any other Secured Party against any Grantor. For the purposes hereof, “demand” shall include the commencement and continuance of any legal proceedings. Neither the Administrative Agent nor any other Secured Party shall have any obligation to protect, secure, perfect or insure any Lien at any time held by it as security for the Secured Obligations or for the guarantee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any property subject thereto.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80" w:right="239" w:bottom="1440" w:gutter="0" w:footer="0" w:header="0"/>
        </w:sectPr>
      </w:pPr>
    </w:p>
    <w:bookmarkStart w:id="178" w:name="page179"/>
    <w:bookmarkEnd w:id="178"/>
    <w:p>
      <w:pPr>
        <w:jc w:val="both"/>
        <w:ind w:firstLine="648"/>
        <w:spacing w:after="0" w:line="284"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9"/>
          <w:szCs w:val="19"/>
          <w:b w:val="1"/>
          <w:bCs w:val="1"/>
          <w:u w:val="single" w:color="auto"/>
          <w:color w:val="auto"/>
        </w:rPr>
        <w:t>No Subrogation, Contribution or Reimbursement</w:t>
      </w:r>
      <w:r>
        <w:rPr>
          <w:rFonts w:ascii="Arial" w:cs="Arial" w:eastAsia="Arial" w:hAnsi="Arial"/>
          <w:sz w:val="19"/>
          <w:szCs w:val="19"/>
          <w:color w:val="auto"/>
        </w:rPr>
        <w:t>. Until all Secured Obligations are irrevocably satisfied</w:t>
      </w:r>
      <w:r>
        <w:rPr>
          <w:rFonts w:ascii="Arial" w:cs="Arial" w:eastAsia="Arial" w:hAnsi="Arial"/>
          <w:sz w:val="18"/>
          <w:szCs w:val="18"/>
          <w:b w:val="1"/>
          <w:bCs w:val="1"/>
          <w:color w:val="auto"/>
        </w:rPr>
        <w:t xml:space="preserve"> </w:t>
      </w:r>
      <w:r>
        <w:rPr>
          <w:rFonts w:ascii="Arial" w:cs="Arial" w:eastAsia="Arial" w:hAnsi="Arial"/>
          <w:sz w:val="19"/>
          <w:szCs w:val="19"/>
          <w:color w:val="auto"/>
        </w:rPr>
        <w:t>in full and all commitments of each Secured Party under the Credit Agreement or any other Loan Document have been irrevocably terminated, notwithstanding any payment made by any Grantor hereunder or any set-off or application of funds of any Grantor by the Administrative Agent or any other Secured Party, no Grantor shall be entitled to be subrogated to any of the rights of the Administrative Agent or any other Secured Party against the Borrower or any other Grantor or any collateral security or guarantee or right of offset held by the Administrative Agent or any other Secured Party for the payment of the Secured Obligations, nor shall any Grantor seek or be entitled to seek any indemnity, exoneration, participation, contribution or reimbursement from the Borrower or any other Grantor in respect of payments made by such Grantor hereunder, and each Grantor hereby expressly waives, releases and agrees not to exercise any or all such rights of subrogation, reimbursement, indemnity and contribution. Each Grantor further agrees that to the extent that such waiver and release set forth herein is found by a court of competent jurisdiction to be void or voidable for any reason, any rights of subrogation, reimbursement, indemnity and contribution such Grantor may have against the Borrower or any other Grantor or against any collateral or security or guarantee or right of offset held by the Administrative Agent or any other Secured Party shall be junior and subordinate to any rights the Administrative Agent and the other Secured Parties may have against the Borrower and such Grantor and to all right, title and interest the Administrative Agent and the other Secured Parties may have in such collateral or security or guarantee or right of offset. To the extent permitted by the Loan Documents, the Administrative Agent, for the benefit of the Secured Parties, may use, sell or dispose of any item of Collateral or security as it sees fit without regard to any subrogation rights any Grantor may have, and upon any disposition or sale, any rights of subrogation any Grantor may have shall terminate.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REPRESENTATIONS AND WARRANTIES</w:t>
      </w:r>
    </w:p>
    <w:p>
      <w:pPr>
        <w:spacing w:after="0" w:line="23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To induce the Administrative Agent and the other Secured Parties to enter into the Credit Agreement and the other Loan Documents, to induce the Lenders and the Issuing Bank to make their respective extensions of credit to the Borrower thereunder and to induce the Lender-Related Hedge Providers and the Bank Product Providers to enter into Hedging Obligations and Bank Product Obligations with the Grantors, each Grantor represents and warrants to the Administrative Agent and each other Secured Party as follows:</w:t>
      </w:r>
    </w:p>
    <w:p>
      <w:pPr>
        <w:spacing w:after="0" w:line="169"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8"/>
          <w:szCs w:val="18"/>
          <w:b w:val="1"/>
          <w:bCs w:val="1"/>
          <w:u w:val="single" w:color="auto"/>
          <w:color w:val="auto"/>
        </w:rPr>
        <w:t>Confirmation of Representations in Credit Agreement</w:t>
      </w:r>
      <w:r>
        <w:rPr>
          <w:rFonts w:ascii="Arial" w:cs="Arial" w:eastAsia="Arial" w:hAnsi="Arial"/>
          <w:sz w:val="18"/>
          <w:szCs w:val="18"/>
          <w:color w:val="auto"/>
        </w:rPr>
        <w:t>. Each Grantor represents and warrants to the</w:t>
      </w:r>
    </w:p>
    <w:p>
      <w:pPr>
        <w:spacing w:after="0" w:line="56"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 xml:space="preserve">Secured Parties that the representations and warranties set forth in Article IV of the Credit Agreement as they relate to such Grantor (in its capacity as a Loan Party or a Subsidiary of the Borrower, as the case may be) or to the Loan Documents to which such Grantor is a party are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reference in each such representation and warranty to Parent’s or the Borrower’s knowledge, as applicable, shall, for the purposes of this Section, be deemed to be a reference to such Grantor’s knowledge.</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9"/>
          <w:szCs w:val="19"/>
          <w:b w:val="1"/>
          <w:bCs w:val="1"/>
          <w:u w:val="single" w:color="auto"/>
          <w:color w:val="auto"/>
        </w:rPr>
        <w:t>Benefit to the Guarantors</w:t>
      </w:r>
      <w:r>
        <w:rPr>
          <w:rFonts w:ascii="Arial" w:cs="Arial" w:eastAsia="Arial" w:hAnsi="Arial"/>
          <w:sz w:val="19"/>
          <w:szCs w:val="19"/>
          <w:color w:val="auto"/>
        </w:rPr>
        <w:t>. As of the Closing Date, Parent and the Borrower are members of an affiliated</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group of companies that includes each Guarantor, and Parent, the Borrower and the other Guarantors are engaged in related businesses permitted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of the Credit Agreement. Each Guarantor (other than Parent) is a Subsidiary of the Borrower, and the guaranty and surety obligations of each Guarantor pursuant to this Agreement reasonably may be expected to benefit, directly or indirectly, such Guarantor; and each Guarantor has determined that this Agreement is necessary and convenient to the conduct, promotion and attainment of the business of such Guarantor, Parent, and the Borrower.</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9"/>
          <w:szCs w:val="19"/>
          <w:b w:val="1"/>
          <w:bCs w:val="1"/>
          <w:u w:val="single" w:color="auto"/>
          <w:color w:val="auto"/>
        </w:rPr>
        <w:t>First Priority Liens</w:t>
      </w:r>
      <w:r>
        <w:rPr>
          <w:rFonts w:ascii="Arial" w:cs="Arial" w:eastAsia="Arial" w:hAnsi="Arial"/>
          <w:sz w:val="19"/>
          <w:szCs w:val="19"/>
          <w:color w:val="auto"/>
        </w:rPr>
        <w:t>. The security interests granted pursuant to this Agreement (a) upon completion of the</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filings and other actions specified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(which, in the case of all filings and other documents referred to on said Schedule have been delivered to the Administrative Agent in completed and duly executed form) will constitute valid perfected security interests in all of the Collateral in favor of the Administrative Agent, for the ratable benefit of the Secured Parties, as collateral security for such Grantor’s obligations, enforceable in accordance with the terms hereof against all creditors of such Grantor and any Persons purporting to purchase any Collateral from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03" w:right="239" w:bottom="1440" w:gutter="0" w:footer="0" w:header="0"/>
        </w:sectPr>
      </w:pPr>
    </w:p>
    <w:bookmarkStart w:id="179" w:name="page180"/>
    <w:bookmarkEnd w:id="179"/>
    <w:p>
      <w:pPr>
        <w:jc w:val="both"/>
        <w:spacing w:after="0" w:line="278" w:lineRule="auto"/>
        <w:rPr>
          <w:sz w:val="20"/>
          <w:szCs w:val="20"/>
          <w:color w:val="auto"/>
        </w:rPr>
      </w:pPr>
      <w:r>
        <w:rPr>
          <w:rFonts w:ascii="Arial" w:cs="Arial" w:eastAsia="Arial" w:hAnsi="Arial"/>
          <w:sz w:val="20"/>
          <w:szCs w:val="20"/>
          <w:color w:val="auto"/>
        </w:rPr>
        <w:t xml:space="preserve">such Grantor and (b) are prior to all other Liens on the Collateral in existence on the Closing Date, except for Permitted Encumbrances and other nonconsensual Liens of the type described in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of the Credit Agreement, in each case, which may have priority over the Liens on the Collateral by operation of law.</w:t>
      </w:r>
    </w:p>
    <w:p>
      <w:pPr>
        <w:spacing w:after="0" w:line="194"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8"/>
          <w:szCs w:val="18"/>
          <w:b w:val="1"/>
          <w:bCs w:val="1"/>
          <w:u w:val="single" w:color="auto"/>
          <w:color w:val="auto"/>
        </w:rPr>
        <w:t>Legal Name, Organizational Status, Chief Executive Office</w:t>
      </w:r>
      <w:r>
        <w:rPr>
          <w:rFonts w:ascii="Arial" w:cs="Arial" w:eastAsia="Arial" w:hAnsi="Arial"/>
          <w:sz w:val="18"/>
          <w:szCs w:val="18"/>
          <w:color w:val="auto"/>
        </w:rPr>
        <w:t>. On the Closing Date, the correct legal name</w:t>
      </w:r>
    </w:p>
    <w:p>
      <w:pPr>
        <w:spacing w:after="0" w:line="56"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 xml:space="preserve">of such Grantor, such Grantor’s jurisdiction of organization, organizational identification number, federal (and, if applicable, state) taxpayer identification number and the location of such Grantor’s chief executive office or sole place of business are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9"/>
          <w:szCs w:val="19"/>
          <w:b w:val="1"/>
          <w:bCs w:val="1"/>
          <w:u w:val="single" w:color="auto"/>
          <w:color w:val="auto"/>
        </w:rPr>
        <w:t>Prior Names, Prior Chief Executive Offices</w:t>
      </w:r>
      <w:r>
        <w:rPr>
          <w:rFonts w:ascii="Arial" w:cs="Arial" w:eastAsia="Arial" w:hAnsi="Arial"/>
          <w:sz w:val="19"/>
          <w:szCs w:val="19"/>
          <w:color w:val="auto"/>
        </w:rPr>
        <w:t>. On the Closing Date,</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Schedule 5</w:t>
      </w:r>
      <w:r>
        <w:rPr>
          <w:rFonts w:ascii="Arial" w:cs="Arial" w:eastAsia="Arial" w:hAnsi="Arial"/>
          <w:sz w:val="18"/>
          <w:szCs w:val="18"/>
          <w:b w:val="1"/>
          <w:bCs w:val="1"/>
          <w:color w:val="auto"/>
        </w:rPr>
        <w:t xml:space="preserve"> </w:t>
      </w:r>
      <w:r>
        <w:rPr>
          <w:rFonts w:ascii="Arial" w:cs="Arial" w:eastAsia="Arial" w:hAnsi="Arial"/>
          <w:sz w:val="19"/>
          <w:szCs w:val="19"/>
          <w:color w:val="auto"/>
        </w:rPr>
        <w:t>correctly sets forth (a) all</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names and trade names that such Grantor has used in the last five years and (b) the chief executive office of such Grantor over the last five years (if different from that which is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5.6</w:t>
            </w:r>
          </w:p>
        </w:tc>
        <w:tc>
          <w:tcPr>
            <w:tcW w:w="8620" w:type="dxa"/>
            <w:vAlign w:val="bottom"/>
            <w:gridSpan w:val="3"/>
          </w:tcPr>
          <w:p>
            <w:pPr>
              <w:jc w:val="right"/>
              <w:spacing w:after="0"/>
              <w:rPr>
                <w:sz w:val="20"/>
                <w:szCs w:val="20"/>
                <w:color w:val="auto"/>
              </w:rPr>
            </w:pPr>
            <w:r>
              <w:rPr>
                <w:rFonts w:ascii="Arial" w:cs="Arial" w:eastAsia="Arial" w:hAnsi="Arial"/>
                <w:sz w:val="20"/>
                <w:szCs w:val="20"/>
                <w:b w:val="1"/>
                <w:bCs w:val="1"/>
                <w:color w:val="auto"/>
                <w:w w:val="92"/>
              </w:rPr>
              <w:t>Goods</w:t>
            </w:r>
            <w:r>
              <w:rPr>
                <w:rFonts w:ascii="Arial" w:cs="Arial" w:eastAsia="Arial" w:hAnsi="Arial"/>
                <w:sz w:val="20"/>
                <w:szCs w:val="20"/>
                <w:color w:val="auto"/>
                <w:w w:val="92"/>
              </w:rPr>
              <w:t>. No portion of the Collateral constituting Goods with an aggregate value of $500,000 or more is at</w:t>
            </w:r>
          </w:p>
        </w:tc>
      </w:tr>
      <w:tr>
        <w:trPr>
          <w:trHeight w:val="20"/>
        </w:trPr>
        <w:tc>
          <w:tcPr>
            <w:tcW w:w="2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81"/>
        </w:trPr>
        <w:tc>
          <w:tcPr>
            <w:tcW w:w="11420" w:type="dxa"/>
            <w:vAlign w:val="bottom"/>
            <w:gridSpan w:val="4"/>
          </w:tcPr>
          <w:p>
            <w:pPr>
              <w:spacing w:after="0"/>
              <w:rPr>
                <w:sz w:val="20"/>
                <w:szCs w:val="20"/>
                <w:color w:val="auto"/>
              </w:rPr>
            </w:pPr>
            <w:r>
              <w:rPr>
                <w:rFonts w:ascii="Arial" w:cs="Arial" w:eastAsia="Arial" w:hAnsi="Arial"/>
                <w:sz w:val="20"/>
                <w:szCs w:val="20"/>
                <w:color w:val="auto"/>
              </w:rPr>
              <w:t>any time in the possession of a bailee that has issued a negotiable or non-negotiable document covering such Collateral.</w:t>
            </w:r>
          </w:p>
        </w:tc>
      </w:tr>
      <w:tr>
        <w:trPr>
          <w:trHeight w:val="442"/>
        </w:trPr>
        <w:tc>
          <w:tcPr>
            <w:tcW w:w="2800" w:type="dxa"/>
            <w:vAlign w:val="bottom"/>
          </w:tcPr>
          <w:p>
            <w:pPr>
              <w:ind w:left="660"/>
              <w:spacing w:after="0"/>
              <w:rPr>
                <w:sz w:val="20"/>
                <w:szCs w:val="20"/>
                <w:color w:val="auto"/>
              </w:rPr>
            </w:pPr>
            <w:r>
              <w:rPr>
                <w:rFonts w:ascii="Arial" w:cs="Arial" w:eastAsia="Arial" w:hAnsi="Arial"/>
                <w:sz w:val="18"/>
                <w:szCs w:val="18"/>
                <w:b w:val="1"/>
                <w:bCs w:val="1"/>
                <w:color w:val="auto"/>
              </w:rPr>
              <w:t>Section 5.7</w:t>
            </w:r>
          </w:p>
        </w:tc>
        <w:tc>
          <w:tcPr>
            <w:tcW w:w="8620" w:type="dxa"/>
            <w:vAlign w:val="bottom"/>
            <w:gridSpan w:val="3"/>
          </w:tcPr>
          <w:p>
            <w:pPr>
              <w:jc w:val="right"/>
              <w:spacing w:after="0"/>
              <w:rPr>
                <w:sz w:val="20"/>
                <w:szCs w:val="20"/>
                <w:color w:val="auto"/>
              </w:rPr>
            </w:pPr>
            <w:r>
              <w:rPr>
                <w:rFonts w:ascii="Arial" w:cs="Arial" w:eastAsia="Arial" w:hAnsi="Arial"/>
                <w:sz w:val="20"/>
                <w:szCs w:val="20"/>
                <w:b w:val="1"/>
                <w:bCs w:val="1"/>
                <w:color w:val="auto"/>
                <w:w w:val="89"/>
              </w:rPr>
              <w:t>Chattel Paper</w:t>
            </w:r>
            <w:r>
              <w:rPr>
                <w:rFonts w:ascii="Arial" w:cs="Arial" w:eastAsia="Arial" w:hAnsi="Arial"/>
                <w:sz w:val="20"/>
                <w:szCs w:val="20"/>
                <w:color w:val="auto"/>
                <w:w w:val="89"/>
              </w:rPr>
              <w:t>. No Collateral constituting Chattel Paper or Instruments contains any statement therein to the</w:t>
            </w:r>
          </w:p>
        </w:tc>
      </w:tr>
      <w:tr>
        <w:trPr>
          <w:trHeight w:val="20"/>
        </w:trPr>
        <w:tc>
          <w:tcPr>
            <w:tcW w:w="28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effect that such Collateral has been assigned to an identified party other than the Administrative Agent, and the grant of a security interest in such Collateral in favor of the Administrative Agent hereunder does not violate the rights of any other Person as a secured party.</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9"/>
          <w:szCs w:val="19"/>
          <w:b w:val="1"/>
          <w:bCs w:val="1"/>
          <w:u w:val="single" w:color="auto"/>
          <w:color w:val="auto"/>
        </w:rPr>
        <w:t>Truth of Information; Accounts</w:t>
      </w:r>
      <w:r>
        <w:rPr>
          <w:rFonts w:ascii="Arial" w:cs="Arial" w:eastAsia="Arial" w:hAnsi="Arial"/>
          <w:sz w:val="19"/>
          <w:szCs w:val="19"/>
          <w:color w:val="auto"/>
        </w:rPr>
        <w:t>. All information with respect to the Collateral set forth in any schedule,</w:t>
      </w:r>
      <w:r>
        <w:rPr>
          <w:rFonts w:ascii="Arial" w:cs="Arial" w:eastAsia="Arial" w:hAnsi="Arial"/>
          <w:sz w:val="18"/>
          <w:szCs w:val="18"/>
          <w:b w:val="1"/>
          <w:bCs w:val="1"/>
          <w:color w:val="auto"/>
        </w:rPr>
        <w:t xml:space="preserve"> </w:t>
      </w:r>
      <w:r>
        <w:rPr>
          <w:rFonts w:ascii="Arial" w:cs="Arial" w:eastAsia="Arial" w:hAnsi="Arial"/>
          <w:sz w:val="19"/>
          <w:szCs w:val="19"/>
          <w:color w:val="auto"/>
        </w:rPr>
        <w:t>certificate or other writing at any time heretofore or hereafter furnished by such Grantor to the Administrative Agent or any other Secured Party, and all other written information heretofore or hereafter furnished by such Grantor to the Administrative Agent or any other Secured Party, is and will be true and correct in all material respects as of the date furnished. The amount represented by such Grantor to the Administrative Agent and the other Secured Parties from time to time as owing by each Account Debtor or by all Account Debtors in respect of the Accounts, Chattel Paper and Payment Intangibles will at such time be the correct amount actually owing by such Account Debtor or Account Debtors thereunder. The place where each Grantor keeps its records concerning the Accounts, Chattel Paper and Payment Intangibles comprising a portion of the Collateral is 11115 Rushmore Drive, Charlotte, North Carolina 28277.</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b w:val="1"/>
                <w:bCs w:val="1"/>
                <w:color w:val="auto"/>
              </w:rPr>
              <w:t>Section 5.9</w:t>
            </w:r>
          </w:p>
        </w:tc>
        <w:tc>
          <w:tcPr>
            <w:tcW w:w="8640" w:type="dxa"/>
            <w:vAlign w:val="bottom"/>
            <w:gridSpan w:val="6"/>
          </w:tcPr>
          <w:p>
            <w:pPr>
              <w:spacing w:after="0"/>
              <w:rPr>
                <w:sz w:val="20"/>
                <w:szCs w:val="20"/>
                <w:color w:val="auto"/>
              </w:rPr>
            </w:pPr>
            <w:r>
              <w:rPr>
                <w:rFonts w:ascii="Arial" w:cs="Arial" w:eastAsia="Arial" w:hAnsi="Arial"/>
                <w:sz w:val="20"/>
                <w:szCs w:val="20"/>
                <w:b w:val="1"/>
                <w:bCs w:val="1"/>
                <w:color w:val="auto"/>
              </w:rPr>
              <w:t>Reserved</w:t>
            </w:r>
            <w:r>
              <w:rPr>
                <w:rFonts w:ascii="Arial" w:cs="Arial" w:eastAsia="Arial" w:hAnsi="Arial"/>
                <w:sz w:val="20"/>
                <w:szCs w:val="20"/>
                <w:color w:val="auto"/>
              </w:rPr>
              <w:t>.</w:t>
            </w:r>
          </w:p>
        </w:tc>
      </w:tr>
      <w:tr>
        <w:trPr>
          <w:trHeight w:val="20"/>
        </w:trPr>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66"/>
        </w:trPr>
        <w:tc>
          <w:tcPr>
            <w:tcW w:w="2120" w:type="dxa"/>
            <w:vAlign w:val="bottom"/>
          </w:tcPr>
          <w:p>
            <w:pPr>
              <w:spacing w:after="0"/>
              <w:rPr>
                <w:sz w:val="20"/>
                <w:szCs w:val="20"/>
                <w:color w:val="auto"/>
              </w:rPr>
            </w:pPr>
            <w:r>
              <w:rPr>
                <w:rFonts w:ascii="Arial" w:cs="Arial" w:eastAsia="Arial" w:hAnsi="Arial"/>
                <w:sz w:val="18"/>
                <w:szCs w:val="18"/>
                <w:b w:val="1"/>
                <w:bCs w:val="1"/>
                <w:color w:val="auto"/>
              </w:rPr>
              <w:t>Section 5.10</w:t>
            </w: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Arial" w:cs="Arial" w:eastAsia="Arial" w:hAnsi="Arial"/>
                <w:sz w:val="20"/>
                <w:szCs w:val="20"/>
                <w:b w:val="1"/>
                <w:bCs w:val="1"/>
                <w:color w:val="auto"/>
                <w:w w:val="88"/>
              </w:rPr>
              <w:t>Copyrights, Patents and Trademarks</w:t>
            </w:r>
            <w:r>
              <w:rPr>
                <w:rFonts w:ascii="Arial" w:cs="Arial" w:eastAsia="Arial" w:hAnsi="Arial"/>
                <w:sz w:val="20"/>
                <w:szCs w:val="20"/>
                <w:color w:val="auto"/>
                <w:w w:val="88"/>
              </w:rPr>
              <w:t>. Schedule 6 includes all Patents and Patent Licenses owned by such</w:t>
            </w: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Grantor in its own name as of the Closing Date.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includes all Trademarks and Trademark Licenses owned by such Grantor in its own name as of the Closing Date. </w:t>
      </w:r>
      <w:r>
        <w:rPr>
          <w:rFonts w:ascii="Arial" w:cs="Arial" w:eastAsia="Arial" w:hAnsi="Arial"/>
          <w:sz w:val="19"/>
          <w:szCs w:val="19"/>
          <w:u w:val="single" w:color="auto"/>
          <w:color w:val="auto"/>
        </w:rPr>
        <w:t>Schedule 8</w:t>
      </w:r>
      <w:r>
        <w:rPr>
          <w:rFonts w:ascii="Arial" w:cs="Arial" w:eastAsia="Arial" w:hAnsi="Arial"/>
          <w:sz w:val="19"/>
          <w:szCs w:val="19"/>
          <w:color w:val="auto"/>
        </w:rPr>
        <w:t xml:space="preserve"> includes all Copyrights and Copyright Licenses owned by such Grantor in its own name as of the Closing Date. To each such Grantor’s knowledge, each Patent and Trademark material to such Grantor’s business is valid, subsisting, unexpired and enforceable and has not been abandoned. Except as set forth in either such Schedule, none of such Patents, Trademarks and Copyrights is the subject of any licensing or franchise agreement. No holding, decision or judgment has been rendered by any Governmental Authority which would limit, cancel or question the validity of any Patent, Trademark or Copyright material to such Grantor’s business. No action or proceeding is pending (i) seeking to limit, cancel or question the validity of any Patent, Trademark or Copyright material to such Grantor’s business, or (ii) which, if adversely determined, would have a material adverse effect on the value of any Patent, Trademark or Copyright material to such Grantor’s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9"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COVENANTS</w:t>
      </w:r>
    </w:p>
    <w:p>
      <w:pPr>
        <w:spacing w:after="0" w:line="23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Each Grantor covenants and agrees with the Administrative Agent and the other Secured Parties that, from and after the date of this Agreement until the Secured Obligations shall have been paid in full, no Letter of Credit shall be outstanding (or has been Cash Collateralized in accordance with the terms of the Credit Agreement) and all Commitments shall have been terminated:</w:t>
      </w:r>
    </w:p>
    <w:p>
      <w:pPr>
        <w:spacing w:after="0" w:line="17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9"/>
          <w:szCs w:val="19"/>
          <w:b w:val="1"/>
          <w:bCs w:val="1"/>
          <w:u w:val="single" w:color="auto"/>
          <w:color w:val="auto"/>
        </w:rPr>
        <w:t>Covenants in Credit Agreement</w:t>
      </w:r>
      <w:r>
        <w:rPr>
          <w:rFonts w:ascii="Arial" w:cs="Arial" w:eastAsia="Arial" w:hAnsi="Arial"/>
          <w:sz w:val="19"/>
          <w:szCs w:val="19"/>
          <w:color w:val="auto"/>
        </w:rPr>
        <w:t>. In the case of each Guarantor, such Guarantor shall take, or shall refrain</w:t>
      </w:r>
      <w:r>
        <w:rPr>
          <w:rFonts w:ascii="Arial" w:cs="Arial" w:eastAsia="Arial" w:hAnsi="Arial"/>
          <w:sz w:val="18"/>
          <w:szCs w:val="18"/>
          <w:b w:val="1"/>
          <w:bCs w:val="1"/>
          <w:color w:val="auto"/>
        </w:rPr>
        <w:t xml:space="preserve"> </w:t>
      </w:r>
      <w:r>
        <w:rPr>
          <w:rFonts w:ascii="Arial" w:cs="Arial" w:eastAsia="Arial" w:hAnsi="Arial"/>
          <w:sz w:val="19"/>
          <w:szCs w:val="19"/>
          <w:color w:val="auto"/>
        </w:rPr>
        <w:t>from taking, as the case may be, each action that is necessary to be taken or not taken by such Guarantor, as the case may be, so that no Default or Event of Default is caused by the failure to take such action or to refrain from taking such action by such Guarantor or any of its Subsidiaries.</w:t>
      </w:r>
    </w:p>
    <w:p>
      <w:pPr>
        <w:spacing w:after="0" w:line="18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8"/>
          <w:szCs w:val="18"/>
          <w:b w:val="1"/>
          <w:bCs w:val="1"/>
          <w:u w:val="single" w:color="auto"/>
          <w:color w:val="auto"/>
        </w:rPr>
        <w:t>Maintenance of Perfected Security Interest; Further Documentation</w:t>
      </w:r>
      <w:r>
        <w:rPr>
          <w:rFonts w:ascii="Arial" w:cs="Arial" w:eastAsia="Arial" w:hAnsi="Arial"/>
          <w:sz w:val="18"/>
          <w:szCs w:val="18"/>
          <w:color w:val="auto"/>
        </w:rPr>
        <w:t>.</w:t>
      </w:r>
    </w:p>
    <w:p>
      <w:pPr>
        <w:spacing w:after="0" w:line="285" w:lineRule="exact"/>
        <w:rPr>
          <w:sz w:val="20"/>
          <w:szCs w:val="20"/>
          <w:color w:val="auto"/>
        </w:rPr>
      </w:pPr>
    </w:p>
    <w:p>
      <w:pPr>
        <w:jc w:val="both"/>
        <w:ind w:firstLine="1305"/>
        <w:spacing w:after="0" w:line="278" w:lineRule="auto"/>
        <w:tabs>
          <w:tab w:leader="none" w:pos="2144" w:val="left"/>
        </w:tabs>
        <w:numPr>
          <w:ilvl w:val="0"/>
          <w:numId w:val="178"/>
        </w:numPr>
        <w:rPr>
          <w:rFonts w:ascii="Arial" w:cs="Arial" w:eastAsia="Arial" w:hAnsi="Arial"/>
          <w:sz w:val="18"/>
          <w:szCs w:val="18"/>
          <w:color w:val="auto"/>
        </w:rPr>
      </w:pPr>
      <w:r>
        <w:rPr>
          <w:rFonts w:ascii="Arial" w:cs="Arial" w:eastAsia="Arial" w:hAnsi="Arial"/>
          <w:sz w:val="20"/>
          <w:szCs w:val="20"/>
          <w:color w:val="auto"/>
        </w:rPr>
        <w:t xml:space="preserve">Such Grantor shall maintain the security interest created by this Agreement as a perfected security interest having at least the priority described in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and shall defend such security interest against the claims and demands of all Persons whomsoever, except for Liens expressly permitted under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of the Credit Agreement.</w:t>
      </w:r>
    </w:p>
    <w:p>
      <w:pPr>
        <w:spacing w:after="0" w:line="200" w:lineRule="exact"/>
        <w:rPr>
          <w:rFonts w:ascii="Arial" w:cs="Arial" w:eastAsia="Arial" w:hAnsi="Arial"/>
          <w:sz w:val="18"/>
          <w:szCs w:val="18"/>
          <w:color w:val="auto"/>
        </w:rPr>
      </w:pPr>
    </w:p>
    <w:p>
      <w:pPr>
        <w:jc w:val="both"/>
        <w:ind w:firstLine="1305"/>
        <w:spacing w:after="0" w:line="304" w:lineRule="auto"/>
        <w:tabs>
          <w:tab w:leader="none" w:pos="2155" w:val="left"/>
        </w:tabs>
        <w:numPr>
          <w:ilvl w:val="0"/>
          <w:numId w:val="178"/>
        </w:numPr>
        <w:rPr>
          <w:rFonts w:ascii="Arial" w:cs="Arial" w:eastAsia="Arial" w:hAnsi="Arial"/>
          <w:sz w:val="16"/>
          <w:szCs w:val="16"/>
          <w:color w:val="auto"/>
        </w:rPr>
      </w:pPr>
      <w:r>
        <w:rPr>
          <w:rFonts w:ascii="Arial" w:cs="Arial" w:eastAsia="Arial" w:hAnsi="Arial"/>
          <w:sz w:val="18"/>
          <w:szCs w:val="18"/>
          <w:color w:val="auto"/>
        </w:rPr>
        <w:t>At any time and from time to time, upon the reasonable request of the Administrative Agent, and at the sole expense of such Grantor, such Grantor will promptly and duly give, execute, deliver, indorse, file or record any and all financing statements, continuation statements, amendments, notices (including, without limitation, notifications to financial institutions and any other Person), contracts, agreements, assignments, certificates, stock powers or other instruments, obtain any and all governmental approvals and consents and take or cause to be taken any and all steps or acts that may be reasonably necessary or as the Administrative Agent may reasonably request to create, perfect, establish the priority of, or to preserve the validity, perfection or priority of, the Liens granted by this Agreement or to enable the Administrative Agent to enforce its rights, remedies, powers and privileges under this Agreement with respect to such Liens or to otherwise obtain or preserve the full benefits of this Agreement and the rights, powers and privileges herein granted.</w:t>
      </w:r>
    </w:p>
    <w:p>
      <w:pPr>
        <w:spacing w:after="0" w:line="184" w:lineRule="exact"/>
        <w:rPr>
          <w:rFonts w:ascii="Arial" w:cs="Arial" w:eastAsia="Arial" w:hAnsi="Arial"/>
          <w:sz w:val="16"/>
          <w:szCs w:val="16"/>
          <w:color w:val="auto"/>
        </w:rPr>
      </w:pPr>
    </w:p>
    <w:p>
      <w:pPr>
        <w:jc w:val="both"/>
        <w:ind w:firstLine="1305"/>
        <w:spacing w:after="0" w:line="284" w:lineRule="auto"/>
        <w:tabs>
          <w:tab w:leader="none" w:pos="2144" w:val="left"/>
        </w:tabs>
        <w:numPr>
          <w:ilvl w:val="0"/>
          <w:numId w:val="178"/>
        </w:numPr>
        <w:rPr>
          <w:rFonts w:ascii="Arial" w:cs="Arial" w:eastAsia="Arial" w:hAnsi="Arial"/>
          <w:sz w:val="17"/>
          <w:szCs w:val="17"/>
          <w:color w:val="auto"/>
        </w:rPr>
      </w:pPr>
      <w:r>
        <w:rPr>
          <w:rFonts w:ascii="Arial" w:cs="Arial" w:eastAsia="Arial" w:hAnsi="Arial"/>
          <w:sz w:val="19"/>
          <w:szCs w:val="19"/>
          <w:color w:val="auto"/>
        </w:rPr>
        <w:t>Without limiting the obligations of the Grantors under subsection (b) of this Section, (i) upon the reasonable request of the Administrative Agent, such Grantor shall take or cause to be taken all actions (other than any actions required to be taken by the Administrative Agent) reasonably requested by the Administrative Agent to cause the Administrative Agent to (A) have “control” (within the meaning of Sections 9-104, 9-105, 9-106, and 9-107 of the UCC) over any Collateral constituting Deposit Accounts, Electronic Chattel Paper, Investment Property (including the Pledged Securities), or Letter-of-Credit Rights, including, without limitation, executing and delivering any agreements, in form and substance reasonably satisfactory to the Administrative Agent, with securities intermediaries, issuers or other Persons in order to establish “control”, and each Grantor shall promptly notify the Administrative Agent and the other Secured Parties of such Grantor’s acquisition of any such Collateral, and (B) be a “protected purchaser” (as defined in Section 8-303 of the UCC); (ii) with respect to Collateral other than certificated securities and Goods covered by a document in the possession of a Person other than such Grantor or the Administrative Agent, such Grantor shall obtain written acknowledgment that such Person holds possession for the Administrative Agent’s benefit; and (iii) with respect to any Collateral constituting Goods that are in the possession of a bailee, such Grantor shall provide prompt notice to the Administrative Agent and the other Secured Parties of any such Collateral then in the possession of such bailee, and such Grantor shall take or cause to be taken all actions (other than any actions required to be taken by the Administrative Agent or any other Secured Party) reasonably necessary by the Administrative Agent to cause the Administrative Agent to have a perfected security interest in such Collateral under applicable law.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9" w:right="239" w:bottom="1440" w:gutter="0" w:footer="0" w:header="0"/>
        </w:sectPr>
      </w:pPr>
    </w:p>
    <w:bookmarkStart w:id="181" w:name="page182"/>
    <w:bookmarkEnd w:id="181"/>
    <w:p>
      <w:pPr>
        <w:ind w:firstLine="1305"/>
        <w:spacing w:after="0" w:line="347" w:lineRule="auto"/>
        <w:tabs>
          <w:tab w:leader="none" w:pos="2155" w:val="left"/>
        </w:tabs>
        <w:numPr>
          <w:ilvl w:val="0"/>
          <w:numId w:val="179"/>
        </w:numPr>
        <w:rPr>
          <w:rFonts w:ascii="Arial" w:cs="Arial" w:eastAsia="Arial" w:hAnsi="Arial"/>
          <w:sz w:val="16"/>
          <w:szCs w:val="16"/>
          <w:color w:val="auto"/>
        </w:rPr>
      </w:pPr>
      <w:r>
        <w:rPr>
          <w:rFonts w:ascii="Arial" w:cs="Arial" w:eastAsia="Arial" w:hAnsi="Arial"/>
          <w:sz w:val="18"/>
          <w:szCs w:val="18"/>
          <w:color w:val="auto"/>
        </w:rPr>
        <w:t>This Section and the obligations imposed on each Grantor by this Section shall be interpreted as broadly as possible in favor of the Administrative Agent and the other Secured Parties in order to effectuate the purpose and intent of this Agreement.</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9"/>
          <w:szCs w:val="19"/>
          <w:b w:val="1"/>
          <w:bCs w:val="1"/>
          <w:u w:val="single" w:color="auto"/>
          <w:color w:val="auto"/>
        </w:rPr>
        <w:t>Maintenance of Records</w:t>
      </w:r>
      <w:r>
        <w:rPr>
          <w:rFonts w:ascii="Arial" w:cs="Arial" w:eastAsia="Arial" w:hAnsi="Arial"/>
          <w:sz w:val="19"/>
          <w:szCs w:val="19"/>
          <w:color w:val="auto"/>
        </w:rPr>
        <w:t>. Such Grantor will keep and maintain at its own cost and expense satisfactory and</w:t>
      </w:r>
      <w:r>
        <w:rPr>
          <w:rFonts w:ascii="Arial" w:cs="Arial" w:eastAsia="Arial" w:hAnsi="Arial"/>
          <w:sz w:val="18"/>
          <w:szCs w:val="18"/>
          <w:b w:val="1"/>
          <w:bCs w:val="1"/>
          <w:color w:val="auto"/>
        </w:rPr>
        <w:t xml:space="preserve"> </w:t>
      </w:r>
      <w:r>
        <w:rPr>
          <w:rFonts w:ascii="Arial" w:cs="Arial" w:eastAsia="Arial" w:hAnsi="Arial"/>
          <w:sz w:val="19"/>
          <w:szCs w:val="19"/>
          <w:color w:val="auto"/>
        </w:rPr>
        <w:t>complete records of the Collateral consistent with such Grantor’s historic business practices, including, without limitation, a record of all payments received and all credits granted with respect to the Accounts comprising any part of the Collateral. For the Administrative Agent’s and the other Secured Parties’ further security, the Administrative Agent, for the ratable benefit of the Secured Parties, shall have a security interest in all of such Grantor’s books and records pertaining to the Collateral.</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9"/>
          <w:szCs w:val="19"/>
          <w:b w:val="1"/>
          <w:bCs w:val="1"/>
          <w:u w:val="single" w:color="auto"/>
          <w:color w:val="auto"/>
        </w:rPr>
        <w:t>Right of Inspection</w:t>
      </w:r>
      <w:r>
        <w:rPr>
          <w:rFonts w:ascii="Arial" w:cs="Arial" w:eastAsia="Arial" w:hAnsi="Arial"/>
          <w:sz w:val="19"/>
          <w:szCs w:val="19"/>
          <w:color w:val="auto"/>
        </w:rPr>
        <w:t>. Each Grantor will, and will cause each of its respective Subsidiaries to, permit any</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representative of the Administrative Agent or any Lender to visit and inspect its properties, to examine the Collateral, including its books and records, and to make copies and take extracts from such books and records, and to discuss its affairs, finances and accounts with any of its officers and with its independent certified public accountants, all at such reasonable times and as often as the Administrative Agent or any Lender may reasonably request after reasonable prior notice to Parent and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an Event of Default has occurred and is continuing, no prior notice shall be required (b) if no Event of Default has occurred and is continuing, the Grantors shall only reimburse the Administrative Agent and the Lenders for one such visit per Fiscal Year</w:t>
      </w:r>
    </w:p>
    <w:p>
      <w:pPr>
        <w:spacing w:after="0" w:line="19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9"/>
          <w:szCs w:val="19"/>
          <w:b w:val="1"/>
          <w:bCs w:val="1"/>
          <w:u w:val="single" w:color="auto"/>
          <w:color w:val="auto"/>
        </w:rPr>
        <w:t>Further Identification of Collateral</w:t>
      </w:r>
      <w:r>
        <w:rPr>
          <w:rFonts w:ascii="Arial" w:cs="Arial" w:eastAsia="Arial" w:hAnsi="Arial"/>
          <w:sz w:val="19"/>
          <w:szCs w:val="19"/>
          <w:color w:val="auto"/>
        </w:rPr>
        <w:t>. Upon request, such Grantor will furnish to the Administrative Agent</w:t>
      </w:r>
      <w:r>
        <w:rPr>
          <w:rFonts w:ascii="Arial" w:cs="Arial" w:eastAsia="Arial" w:hAnsi="Arial"/>
          <w:sz w:val="18"/>
          <w:szCs w:val="18"/>
          <w:b w:val="1"/>
          <w:bCs w:val="1"/>
          <w:color w:val="auto"/>
        </w:rPr>
        <w:t xml:space="preserve"> </w:t>
      </w:r>
      <w:r>
        <w:rPr>
          <w:rFonts w:ascii="Arial" w:cs="Arial" w:eastAsia="Arial" w:hAnsi="Arial"/>
          <w:sz w:val="19"/>
          <w:szCs w:val="19"/>
          <w:color w:val="auto"/>
        </w:rPr>
        <w:t>and the other Secured Parties from time to time, at such Grantor’s sole cost and expense, statements and schedules further identifying and describing the Collateral and such other reports in connection with the Collateral as the Administrative Agent may reasonably request, all in reasonable detail.</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9"/>
          <w:szCs w:val="19"/>
          <w:b w:val="1"/>
          <w:bCs w:val="1"/>
          <w:u w:val="single" w:color="auto"/>
          <w:color w:val="auto"/>
        </w:rPr>
        <w:t>Changes in Names, Locations</w:t>
      </w:r>
      <w:r>
        <w:rPr>
          <w:rFonts w:ascii="Arial" w:cs="Arial" w:eastAsia="Arial" w:hAnsi="Arial"/>
          <w:sz w:val="19"/>
          <w:szCs w:val="19"/>
          <w:color w:val="auto"/>
        </w:rPr>
        <w:t>. Such Grantor recognizes that financing statements pertaining to the</w:t>
      </w:r>
      <w:r>
        <w:rPr>
          <w:rFonts w:ascii="Arial" w:cs="Arial" w:eastAsia="Arial" w:hAnsi="Arial"/>
          <w:sz w:val="18"/>
          <w:szCs w:val="18"/>
          <w:b w:val="1"/>
          <w:bCs w:val="1"/>
          <w:color w:val="auto"/>
        </w:rPr>
        <w:t xml:space="preserve"> </w:t>
      </w:r>
      <w:r>
        <w:rPr>
          <w:rFonts w:ascii="Arial" w:cs="Arial" w:eastAsia="Arial" w:hAnsi="Arial"/>
          <w:sz w:val="19"/>
          <w:szCs w:val="19"/>
          <w:color w:val="auto"/>
        </w:rPr>
        <w:t>Collateral have been or may be filed where such Grantor is organized. Without limitation of any other covenant herein, such Grantor will not cause or permit (i) any change to be made in its legal name, identity or corporate, limited liability company, or limited partnership structure or</w:t>
      </w:r>
    </w:p>
    <w:p>
      <w:pPr>
        <w:jc w:val="both"/>
        <w:ind w:firstLine="8"/>
        <w:spacing w:after="0" w:line="305" w:lineRule="auto"/>
        <w:tabs>
          <w:tab w:leader="none" w:pos="2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any change to such Grantor’s jurisdiction of organization, unless such Grantor shall have first (1) notified the Administrative Agent of such change at least 30 days (or such shorter period of time as the Administrative Agent may agree in writing in its sole discretion) prior to the date of such change, and (2) taken all action reasonably requested by the Administrative Agent for the purpose of maintaining the perfection and priority of the Administrative Agent’s security interests under this Agreement, and unless such Grantor shall otherwise be in compliance with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of the Credit Agreement. In any notice furnished pursuant to this Section, such Grantor will expressly state in a conspicuous manner that the notice is required by this Agreement and contains facts that may require additional filings of financing statements or other notices for the purposes of continuing perfection of the Administrative Agent’s security interest in the Collateral.</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9"/>
          <w:szCs w:val="19"/>
          <w:b w:val="1"/>
          <w:bCs w:val="1"/>
          <w:u w:val="single" w:color="auto"/>
          <w:color w:val="auto"/>
        </w:rPr>
        <w:t>Compliance with Contractual Obligations</w:t>
      </w:r>
      <w:r>
        <w:rPr>
          <w:rFonts w:ascii="Arial" w:cs="Arial" w:eastAsia="Arial" w:hAnsi="Arial"/>
          <w:sz w:val="19"/>
          <w:szCs w:val="19"/>
          <w:color w:val="auto"/>
        </w:rPr>
        <w:t>. Such Grantor will perform and comply in all material respects</w:t>
      </w:r>
      <w:r>
        <w:rPr>
          <w:rFonts w:ascii="Arial" w:cs="Arial" w:eastAsia="Arial" w:hAnsi="Arial"/>
          <w:sz w:val="18"/>
          <w:szCs w:val="18"/>
          <w:b w:val="1"/>
          <w:bCs w:val="1"/>
          <w:color w:val="auto"/>
        </w:rPr>
        <w:t xml:space="preserve"> </w:t>
      </w:r>
      <w:r>
        <w:rPr>
          <w:rFonts w:ascii="Arial" w:cs="Arial" w:eastAsia="Arial" w:hAnsi="Arial"/>
          <w:sz w:val="19"/>
          <w:szCs w:val="19"/>
          <w:color w:val="auto"/>
        </w:rPr>
        <w:t>with all of its contractual obligations relating to the Collateral (other than with respect to any such contractual obligations being disputed by such Grantor in good faith and by appropriate measures).</w:t>
      </w:r>
    </w:p>
    <w:p>
      <w:pPr>
        <w:spacing w:after="0" w:line="17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8"/>
          <w:szCs w:val="18"/>
          <w:b w:val="1"/>
          <w:bCs w:val="1"/>
          <w:color w:val="auto"/>
        </w:rPr>
        <w:t xml:space="preserve">Section 6.8 </w:t>
      </w:r>
      <w:r>
        <w:rPr>
          <w:rFonts w:ascii="Arial" w:cs="Arial" w:eastAsia="Arial" w:hAnsi="Arial"/>
          <w:sz w:val="19"/>
          <w:szCs w:val="19"/>
          <w:b w:val="1"/>
          <w:bCs w:val="1"/>
          <w:u w:val="single" w:color="auto"/>
          <w:color w:val="auto"/>
        </w:rPr>
        <w:t>Limitations on Dispositions of Collateral</w:t>
      </w:r>
      <w:r>
        <w:rPr>
          <w:rFonts w:ascii="Arial" w:cs="Arial" w:eastAsia="Arial" w:hAnsi="Arial"/>
          <w:sz w:val="19"/>
          <w:szCs w:val="19"/>
          <w:color w:val="auto"/>
        </w:rPr>
        <w:t>. The Administrative Agent and the other Secured Parties do not</w:t>
      </w:r>
      <w:r>
        <w:rPr>
          <w:rFonts w:ascii="Arial" w:cs="Arial" w:eastAsia="Arial" w:hAnsi="Arial"/>
          <w:sz w:val="18"/>
          <w:szCs w:val="18"/>
          <w:b w:val="1"/>
          <w:bCs w:val="1"/>
          <w:color w:val="auto"/>
        </w:rPr>
        <w:t xml:space="preserve"> </w:t>
      </w:r>
      <w:r>
        <w:rPr>
          <w:rFonts w:ascii="Arial" w:cs="Arial" w:eastAsia="Arial" w:hAnsi="Arial"/>
          <w:sz w:val="19"/>
          <w:szCs w:val="19"/>
          <w:color w:val="auto"/>
        </w:rPr>
        <w:t>authorize the Grantors to, and such Grantor agrees not to, sell, transfer, lease or otherwise dispose of any of the Collateral, or attempt, offer or contract to do so, except to the extent expressly permitted by the Credit Agreement.</w:t>
      </w:r>
    </w:p>
    <w:p>
      <w:pPr>
        <w:spacing w:after="0" w:line="175"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6.9</w:t>
      </w:r>
      <w:r>
        <w:rPr>
          <w:sz w:val="20"/>
          <w:szCs w:val="20"/>
          <w:color w:val="auto"/>
        </w:rPr>
        <w:tab/>
      </w:r>
      <w:r>
        <w:rPr>
          <w:rFonts w:ascii="Arial" w:cs="Arial" w:eastAsia="Arial" w:hAnsi="Arial"/>
          <w:sz w:val="16"/>
          <w:szCs w:val="16"/>
          <w:b w:val="1"/>
          <w:bCs w:val="1"/>
          <w:u w:val="single" w:color="auto"/>
          <w:color w:val="auto"/>
        </w:rPr>
        <w:t>Pledged Securities</w:t>
      </w:r>
      <w:r>
        <w:rPr>
          <w:rFonts w:ascii="Arial" w:cs="Arial" w:eastAsia="Arial" w:hAnsi="Arial"/>
          <w:sz w:val="16"/>
          <w:szCs w:val="16"/>
          <w:color w:val="auto"/>
        </w:rPr>
        <w:t>.</w:t>
      </w:r>
    </w:p>
    <w:p>
      <w:pPr>
        <w:spacing w:after="0" w:line="285" w:lineRule="exact"/>
        <w:rPr>
          <w:sz w:val="20"/>
          <w:szCs w:val="20"/>
          <w:color w:val="auto"/>
        </w:rPr>
      </w:pPr>
    </w:p>
    <w:p>
      <w:pPr>
        <w:jc w:val="both"/>
        <w:ind w:firstLine="1305"/>
        <w:spacing w:after="0" w:line="274" w:lineRule="auto"/>
        <w:tabs>
          <w:tab w:leader="none" w:pos="2144" w:val="left"/>
        </w:tabs>
        <w:numPr>
          <w:ilvl w:val="0"/>
          <w:numId w:val="181"/>
        </w:numPr>
        <w:rPr>
          <w:rFonts w:ascii="Arial" w:cs="Arial" w:eastAsia="Arial" w:hAnsi="Arial"/>
          <w:sz w:val="18"/>
          <w:szCs w:val="18"/>
          <w:color w:val="auto"/>
        </w:rPr>
      </w:pPr>
      <w:r>
        <w:rPr>
          <w:rFonts w:ascii="Arial" w:cs="Arial" w:eastAsia="Arial" w:hAnsi="Arial"/>
          <w:sz w:val="20"/>
          <w:szCs w:val="20"/>
          <w:color w:val="auto"/>
        </w:rPr>
        <w:t>If such Grantor shall become entitled to receive or shall receive any stock certificate or other instrument (including, without limitation, any certificate or instrument representing a dividend or a distribution in connection with any reclassification, increase or reduction of capital or any certificate or instrument issued in connection with any reorganization), option or rights in respect of the Capital Stock or other equity interests of any nature of 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9" w:right="239" w:bottom="1440" w:gutter="0" w:footer="0" w:header="0"/>
        </w:sectPr>
      </w:pPr>
    </w:p>
    <w:bookmarkStart w:id="182" w:name="page183"/>
    <w:bookmarkEnd w:id="182"/>
    <w:p>
      <w:pPr>
        <w:jc w:val="both"/>
        <w:spacing w:after="0" w:line="270" w:lineRule="auto"/>
        <w:rPr>
          <w:sz w:val="20"/>
          <w:szCs w:val="20"/>
          <w:color w:val="auto"/>
        </w:rPr>
      </w:pPr>
      <w:r>
        <w:rPr>
          <w:rFonts w:ascii="Arial" w:cs="Arial" w:eastAsia="Arial" w:hAnsi="Arial"/>
          <w:sz w:val="20"/>
          <w:szCs w:val="20"/>
          <w:color w:val="auto"/>
        </w:rPr>
        <w:t>Issuer, whether in addition to, in substitution of, as a conversion of, or in exchange for, any shares (or such other interests) of the Pledged Securities, or otherwise in respect thereof, except as otherwise provided herein or in the Credit Agreement, such Grantor shall accept the same as the agent of the Administrative Agent and the other Secured Parties, hold the same in trust for the Administrative Agent and the other Secured Parties and deliver the same forthwith to the Administrative Agent in the exact form received, duly indorsed by such Grantor to the Administrative Agent, if required, together with an undated stock power or other equivalent instrument of transfer acceptable to the Administrative Agent covering such certificate or instrument duly executed in blank by such Grantor and with, if the Administrative Agent so requests, signature guaranteed, to be held by the Administrative Agent, subject to the terms hereof, as additional collateral security for the Secured Obligations.</w:t>
      </w:r>
    </w:p>
    <w:p>
      <w:pPr>
        <w:spacing w:after="0" w:line="213" w:lineRule="exact"/>
        <w:rPr>
          <w:sz w:val="20"/>
          <w:szCs w:val="20"/>
          <w:color w:val="auto"/>
        </w:rPr>
      </w:pPr>
    </w:p>
    <w:p>
      <w:pPr>
        <w:jc w:val="both"/>
        <w:ind w:firstLine="1305"/>
        <w:spacing w:after="0" w:line="303" w:lineRule="auto"/>
        <w:tabs>
          <w:tab w:leader="none" w:pos="2155" w:val="left"/>
        </w:tabs>
        <w:numPr>
          <w:ilvl w:val="0"/>
          <w:numId w:val="182"/>
        </w:numPr>
        <w:rPr>
          <w:rFonts w:ascii="Arial" w:cs="Arial" w:eastAsia="Arial" w:hAnsi="Arial"/>
          <w:sz w:val="16"/>
          <w:szCs w:val="16"/>
          <w:color w:val="auto"/>
        </w:rPr>
      </w:pPr>
      <w:r>
        <w:rPr>
          <w:rFonts w:ascii="Arial" w:cs="Arial" w:eastAsia="Arial" w:hAnsi="Arial"/>
          <w:sz w:val="18"/>
          <w:szCs w:val="18"/>
          <w:color w:val="auto"/>
        </w:rPr>
        <w:t xml:space="preserve">Without the prior written consent of the Administrative Agent, such Grantor will not (i) unless otherwise permitted hereby, vote to enable, or take any other action to permit, any Issuer to issue any Capital Stock or other equity interests of any nature or to issue any other securities or interests convertible into or granting the right to purchase or exchange for any Capital Stock or other equity interests of any nature of any Issuer (except pursuant to a transaction expressly permitted by the Credit Agreement), (ii) sell, assign, transfer, exchange or otherwise dispose of, or grant any option with respect to, the Pledged Securities or Proceeds thereof (except pursuant to a transaction expressly permitted by the Credit Agreement), (iii) create, incur or permit to exist any Lien (except for Liens permitted by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of the Credit Agreement) or option in favor of, or any claim of any Person with respect to, any of the Pledged Securities or Proceeds thereof, or any interest therein, except for the security interests created by this Agreement or (iv) enter into any agreement or undertaking restricting the right or ability of such Grantor or the Administrative Agent to sell, assign or transfer any of the Pledged Securities or Proceeds thereof (except pursuant to a transaction expressly permitted by the Credit Agreement).</w:t>
      </w:r>
    </w:p>
    <w:p>
      <w:pPr>
        <w:spacing w:after="0" w:line="182" w:lineRule="exact"/>
        <w:rPr>
          <w:rFonts w:ascii="Arial" w:cs="Arial" w:eastAsia="Arial" w:hAnsi="Arial"/>
          <w:sz w:val="16"/>
          <w:szCs w:val="16"/>
          <w:color w:val="auto"/>
        </w:rPr>
      </w:pPr>
    </w:p>
    <w:p>
      <w:pPr>
        <w:jc w:val="both"/>
        <w:ind w:firstLine="1305"/>
        <w:spacing w:after="0" w:line="287" w:lineRule="auto"/>
        <w:tabs>
          <w:tab w:leader="none" w:pos="2144" w:val="left"/>
        </w:tabs>
        <w:numPr>
          <w:ilvl w:val="0"/>
          <w:numId w:val="182"/>
        </w:numPr>
        <w:rPr>
          <w:rFonts w:ascii="Arial" w:cs="Arial" w:eastAsia="Arial" w:hAnsi="Arial"/>
          <w:sz w:val="17"/>
          <w:szCs w:val="17"/>
          <w:color w:val="auto"/>
        </w:rPr>
      </w:pPr>
      <w:r>
        <w:rPr>
          <w:rFonts w:ascii="Arial" w:cs="Arial" w:eastAsia="Arial" w:hAnsi="Arial"/>
          <w:sz w:val="19"/>
          <w:szCs w:val="19"/>
          <w:color w:val="auto"/>
        </w:rPr>
        <w:t xml:space="preserve">In the case of each Grantor which is an Issuer, and each other Issuer that executes the Acknowledgment and Consent in the form of </w:t>
      </w:r>
      <w:r>
        <w:rPr>
          <w:rFonts w:ascii="Arial" w:cs="Arial" w:eastAsia="Arial" w:hAnsi="Arial"/>
          <w:sz w:val="19"/>
          <w:szCs w:val="19"/>
          <w:u w:val="single" w:color="auto"/>
          <w:color w:val="auto"/>
        </w:rPr>
        <w:t>Annex IV</w:t>
      </w:r>
      <w:r>
        <w:rPr>
          <w:rFonts w:ascii="Arial" w:cs="Arial" w:eastAsia="Arial" w:hAnsi="Arial"/>
          <w:sz w:val="19"/>
          <w:szCs w:val="19"/>
          <w:color w:val="auto"/>
        </w:rPr>
        <w:t xml:space="preserve"> (which the applicable Grantor shall use its commercially reasonable efforts to obtain from each such other Issuer), such Issuer agrees that (i) it will be bound by the terms of this Agreement relating to the Pledged Securities issued by it and will comply with such terms insofar as such terms are applicable to it, (ii) it will notify the Administrative Agent promptly in writing of the occurrence of any of the events described in subsection (a) of this Section with respect to the Pledged Securities issued by it and (iii) the terms of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shall apply to it,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all actions that may be required of it pursuant to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with respect to the Pledged Securities issued by it.</w:t>
      </w:r>
    </w:p>
    <w:p>
      <w:pPr>
        <w:spacing w:after="0" w:line="196" w:lineRule="exact"/>
        <w:rPr>
          <w:rFonts w:ascii="Arial" w:cs="Arial" w:eastAsia="Arial" w:hAnsi="Arial"/>
          <w:sz w:val="17"/>
          <w:szCs w:val="17"/>
          <w:color w:val="auto"/>
        </w:rPr>
      </w:pPr>
    </w:p>
    <w:p>
      <w:pPr>
        <w:jc w:val="both"/>
        <w:ind w:firstLine="1305"/>
        <w:spacing w:after="0" w:line="278" w:lineRule="auto"/>
        <w:tabs>
          <w:tab w:leader="none" w:pos="2155" w:val="left"/>
        </w:tabs>
        <w:numPr>
          <w:ilvl w:val="0"/>
          <w:numId w:val="182"/>
        </w:numPr>
        <w:rPr>
          <w:rFonts w:ascii="Arial" w:cs="Arial" w:eastAsia="Arial" w:hAnsi="Arial"/>
          <w:sz w:val="18"/>
          <w:szCs w:val="18"/>
          <w:color w:val="auto"/>
        </w:rPr>
      </w:pPr>
      <w:r>
        <w:rPr>
          <w:rFonts w:ascii="Arial" w:cs="Arial" w:eastAsia="Arial" w:hAnsi="Arial"/>
          <w:sz w:val="20"/>
          <w:szCs w:val="20"/>
          <w:color w:val="auto"/>
        </w:rPr>
        <w:t>Such Grantor shall furnish to the Administrative Agent such powers and other equivalent instruments of transfer as may be required by the Administrative Agent to assure the transferability of and the perfection of the security interest in the Pledged Securities when and as often as may be reasonably requested by the Administrative Agent.</w:t>
      </w:r>
    </w:p>
    <w:p>
      <w:pPr>
        <w:spacing w:after="0" w:line="200" w:lineRule="exact"/>
        <w:rPr>
          <w:rFonts w:ascii="Arial" w:cs="Arial" w:eastAsia="Arial" w:hAnsi="Arial"/>
          <w:sz w:val="18"/>
          <w:szCs w:val="18"/>
          <w:color w:val="auto"/>
        </w:rPr>
      </w:pPr>
    </w:p>
    <w:p>
      <w:pPr>
        <w:jc w:val="both"/>
        <w:ind w:firstLine="1305"/>
        <w:spacing w:after="0" w:line="278" w:lineRule="auto"/>
        <w:tabs>
          <w:tab w:leader="none" w:pos="2144" w:val="left"/>
        </w:tabs>
        <w:numPr>
          <w:ilvl w:val="0"/>
          <w:numId w:val="182"/>
        </w:numPr>
        <w:rPr>
          <w:rFonts w:ascii="Arial" w:cs="Arial" w:eastAsia="Arial" w:hAnsi="Arial"/>
          <w:sz w:val="18"/>
          <w:szCs w:val="18"/>
          <w:color w:val="auto"/>
        </w:rPr>
      </w:pPr>
      <w:r>
        <w:rPr>
          <w:rFonts w:ascii="Arial" w:cs="Arial" w:eastAsia="Arial" w:hAnsi="Arial"/>
          <w:sz w:val="20"/>
          <w:szCs w:val="20"/>
          <w:color w:val="auto"/>
        </w:rPr>
        <w:t>The Pledged Securities will constitute not less than 100% of the Capital Stock or other equity interests of the Issuer thereof owned by any Grantor, except Pledged Securities of any Foreign Subsidiary shall be limited to not more than 66% of the voting Capital Stock and 100% of the non-voting Capital Stock of such Foreign Subsidiary.</w:t>
      </w:r>
    </w:p>
    <w:p>
      <w:pPr>
        <w:spacing w:after="0" w:line="200" w:lineRule="exact"/>
        <w:rPr>
          <w:rFonts w:ascii="Arial" w:cs="Arial" w:eastAsia="Arial" w:hAnsi="Arial"/>
          <w:sz w:val="18"/>
          <w:szCs w:val="18"/>
          <w:color w:val="auto"/>
        </w:rPr>
      </w:pPr>
    </w:p>
    <w:p>
      <w:pPr>
        <w:jc w:val="both"/>
        <w:ind w:firstLine="1305"/>
        <w:spacing w:after="0" w:line="278" w:lineRule="auto"/>
        <w:tabs>
          <w:tab w:leader="none" w:pos="2125" w:val="left"/>
        </w:tabs>
        <w:numPr>
          <w:ilvl w:val="0"/>
          <w:numId w:val="182"/>
        </w:numPr>
        <w:rPr>
          <w:rFonts w:ascii="Arial" w:cs="Arial" w:eastAsia="Arial" w:hAnsi="Arial"/>
          <w:sz w:val="18"/>
          <w:szCs w:val="18"/>
          <w:color w:val="auto"/>
        </w:rPr>
      </w:pPr>
      <w:r>
        <w:rPr>
          <w:rFonts w:ascii="Arial" w:cs="Arial" w:eastAsia="Arial" w:hAnsi="Arial"/>
          <w:sz w:val="20"/>
          <w:szCs w:val="20"/>
          <w:color w:val="auto"/>
        </w:rPr>
        <w:t xml:space="preserve">If any Grantor acquires any Pledged Securities after executing this Agreement, it shall execute a Supplement to this Agreement in the form of </w:t>
      </w:r>
      <w:r>
        <w:rPr>
          <w:rFonts w:ascii="Arial" w:cs="Arial" w:eastAsia="Arial" w:hAnsi="Arial"/>
          <w:sz w:val="20"/>
          <w:szCs w:val="20"/>
          <w:u w:val="single" w:color="auto"/>
          <w:color w:val="auto"/>
        </w:rPr>
        <w:t>Annex III</w:t>
      </w:r>
      <w:r>
        <w:rPr>
          <w:rFonts w:ascii="Arial" w:cs="Arial" w:eastAsia="Arial" w:hAnsi="Arial"/>
          <w:sz w:val="20"/>
          <w:szCs w:val="20"/>
          <w:color w:val="auto"/>
        </w:rPr>
        <w:t xml:space="preserve"> with respect to such Pledged Securities and deliver such Supplement to the Administrative Agent promptly thereafter.</w:t>
      </w:r>
    </w:p>
    <w:p>
      <w:pPr>
        <w:spacing w:after="0" w:line="194"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8"/>
          <w:szCs w:val="18"/>
          <w:b w:val="1"/>
          <w:bCs w:val="1"/>
          <w:u w:val="single" w:color="auto"/>
          <w:color w:val="auto"/>
        </w:rPr>
        <w:t>Limitations on Modifications, Waivers, Extensions of Agreements Giving Rise to Accounts</w:t>
      </w:r>
      <w:r>
        <w:rPr>
          <w:rFonts w:ascii="Arial" w:cs="Arial" w:eastAsia="Arial" w:hAnsi="Arial"/>
          <w:sz w:val="18"/>
          <w:szCs w:val="18"/>
          <w:color w:val="auto"/>
        </w:rPr>
        <w:t>. Such</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Grantor will not (i) amend, modify, terminate or waive any provision of any Chattel Paper, Instrument or any agreement giving rise to an Account or Payment Intangible comprising a portion of the Collateral, or (ii) fail to exercise promptly and diligently each and every right which it may have under any Chattel Paper, Instrument and each agreement giving rise to an Account or Payment Intangible comprising a portion of the Collateral (other than any right of termination), except where such action or failure to act, individually or in the aggregate, could not reasonably be expected to have a Material Adverse Effect.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80" w:right="239" w:bottom="1440" w:gutter="0" w:footer="0" w:header="0"/>
        </w:sectPr>
      </w:pPr>
    </w:p>
    <w:bookmarkStart w:id="183" w:name="page184"/>
    <w:bookmarkEnd w:id="183"/>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Section 6.11 </w:t>
      </w:r>
      <w:r>
        <w:rPr>
          <w:rFonts w:ascii="Arial" w:cs="Arial" w:eastAsia="Arial" w:hAnsi="Arial"/>
          <w:sz w:val="19"/>
          <w:szCs w:val="19"/>
          <w:b w:val="1"/>
          <w:bCs w:val="1"/>
          <w:u w:val="single" w:color="auto"/>
          <w:color w:val="auto"/>
        </w:rPr>
        <w:t>Analysis of Accounts</w:t>
      </w:r>
      <w:r>
        <w:rPr>
          <w:rFonts w:ascii="Arial" w:cs="Arial" w:eastAsia="Arial" w:hAnsi="Arial"/>
          <w:sz w:val="19"/>
          <w:szCs w:val="19"/>
          <w:color w:val="auto"/>
        </w:rPr>
        <w:t>. The Administrative Agent shall have the right at any time and from time to time</w:t>
      </w:r>
      <w:r>
        <w:rPr>
          <w:rFonts w:ascii="Arial" w:cs="Arial" w:eastAsia="Arial" w:hAnsi="Arial"/>
          <w:sz w:val="18"/>
          <w:szCs w:val="18"/>
          <w:b w:val="1"/>
          <w:bCs w:val="1"/>
          <w:color w:val="auto"/>
        </w:rPr>
        <w:t xml:space="preserve"> </w:t>
      </w:r>
      <w:r>
        <w:rPr>
          <w:rFonts w:ascii="Arial" w:cs="Arial" w:eastAsia="Arial" w:hAnsi="Arial"/>
          <w:sz w:val="19"/>
          <w:szCs w:val="19"/>
          <w:color w:val="auto"/>
        </w:rPr>
        <w:t>upon reasonable prior notice to make test verifications of the Accounts, Chattel Paper and Payment Intangibles comprising a portion of the Collateral in any manner and through any medium that it reasonably considers advisable, and each Grantor, at such Grantor’s sole cost and expense, shall furnish all such assistance and information as the Administrative Agent may reasonably require in connection therewith. At any time and from time to time, upon the Administrative Agent’s request and at the expense of each Grantor, such Grantor shall furnish to the Administrative Agent reports showing reconciliations, aging and test verifications of, and trial balances for, the Accounts, Chattel Paper and Payment Intangibles comprising a portion of the Collateral, and all original and other documents evidencing, and relating to, the agreements and transactions which gave rise to the Accounts, Chattel Paper and Payment Intangibles comprising a portion of the Collateral, including, without limitation, all original orders, invoices and shipping receipts.</w:t>
      </w:r>
    </w:p>
    <w:p>
      <w:pPr>
        <w:spacing w:after="0" w:line="18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b w:val="1"/>
          <w:bCs w:val="1"/>
          <w:color w:val="auto"/>
        </w:rPr>
        <w:t xml:space="preserve">Section 6.12 </w:t>
      </w:r>
      <w:r>
        <w:rPr>
          <w:rFonts w:ascii="Arial" w:cs="Arial" w:eastAsia="Arial" w:hAnsi="Arial"/>
          <w:sz w:val="18"/>
          <w:szCs w:val="18"/>
          <w:b w:val="1"/>
          <w:bCs w:val="1"/>
          <w:u w:val="single" w:color="auto"/>
          <w:color w:val="auto"/>
        </w:rPr>
        <w:t>Instruments and Tangible Chattel Paper</w:t>
      </w:r>
      <w:r>
        <w:rPr>
          <w:rFonts w:ascii="Arial" w:cs="Arial" w:eastAsia="Arial" w:hAnsi="Arial"/>
          <w:sz w:val="18"/>
          <w:szCs w:val="18"/>
          <w:color w:val="auto"/>
        </w:rPr>
        <w:t>. If any amount payable under or in connection with any of the</w:t>
      </w:r>
      <w:r>
        <w:rPr>
          <w:rFonts w:ascii="Arial" w:cs="Arial" w:eastAsia="Arial" w:hAnsi="Arial"/>
          <w:sz w:val="17"/>
          <w:szCs w:val="17"/>
          <w:b w:val="1"/>
          <w:bCs w:val="1"/>
          <w:color w:val="auto"/>
        </w:rPr>
        <w:t xml:space="preserve"> </w:t>
      </w:r>
      <w:r>
        <w:rPr>
          <w:rFonts w:ascii="Arial" w:cs="Arial" w:eastAsia="Arial" w:hAnsi="Arial"/>
          <w:sz w:val="18"/>
          <w:szCs w:val="18"/>
          <w:color w:val="auto"/>
        </w:rPr>
        <w:t>Collateral shall be or become evidenced by any Instrument or Tangible Chattel Paper and the value of such Instruments and Tangible Chattel Paper in the aggregate is $500,000 or more, each such Instrument or Tangible Chattel Paper, shall be delivered to the Administrative Agent as soon as practicable, duly endorsed in a manner satisfactory to the Administrative Agent to be held as Collateral pursuant to this Agreement.</w:t>
      </w:r>
    </w:p>
    <w:p>
      <w:pPr>
        <w:spacing w:after="0" w:line="166"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6"/>
          <w:szCs w:val="16"/>
          <w:b w:val="1"/>
          <w:bCs w:val="1"/>
          <w:u w:val="single" w:color="auto"/>
          <w:color w:val="auto"/>
        </w:rPr>
        <w:t>Copyrights, Patents and Trademarks</w:t>
      </w:r>
      <w:r>
        <w:rPr>
          <w:rFonts w:ascii="Arial" w:cs="Arial" w:eastAsia="Arial" w:hAnsi="Arial"/>
          <w:sz w:val="16"/>
          <w:szCs w:val="16"/>
          <w:color w:val="auto"/>
        </w:rPr>
        <w:t>.</w:t>
      </w:r>
    </w:p>
    <w:p>
      <w:pPr>
        <w:spacing w:after="0" w:line="285" w:lineRule="exact"/>
        <w:rPr>
          <w:sz w:val="20"/>
          <w:szCs w:val="20"/>
          <w:color w:val="auto"/>
        </w:rPr>
      </w:pPr>
    </w:p>
    <w:p>
      <w:pPr>
        <w:jc w:val="both"/>
        <w:ind w:firstLine="1305"/>
        <w:spacing w:after="0" w:line="273" w:lineRule="auto"/>
        <w:tabs>
          <w:tab w:leader="none" w:pos="2144" w:val="left"/>
        </w:tabs>
        <w:numPr>
          <w:ilvl w:val="0"/>
          <w:numId w:val="183"/>
        </w:numPr>
        <w:rPr>
          <w:rFonts w:ascii="Arial" w:cs="Arial" w:eastAsia="Arial" w:hAnsi="Arial"/>
          <w:sz w:val="18"/>
          <w:szCs w:val="18"/>
          <w:color w:val="auto"/>
        </w:rPr>
      </w:pPr>
      <w:r>
        <w:rPr>
          <w:rFonts w:ascii="Arial" w:cs="Arial" w:eastAsia="Arial" w:hAnsi="Arial"/>
          <w:sz w:val="20"/>
          <w:szCs w:val="20"/>
          <w:color w:val="auto"/>
        </w:rPr>
        <w:t>Such Grantor (either itself or through licensees) will, except with respect to any Trademark that such Grantor shall reasonably determine is not material to its business, (i) maintain as in the past the quality of services offered under such Trademark, (ii) maintain such Trademark in full force and effect, free from any claim of abandonment for non-use, (iii) employ such Trademark with the appropriate notice of registration, and (iv) not (and not permit any licensee or sublicensee thereof to) do any act or knowingly omit to do any act whereby any such Trademark may become invalidated.</w:t>
      </w:r>
    </w:p>
    <w:p>
      <w:pPr>
        <w:spacing w:after="0" w:line="204" w:lineRule="exact"/>
        <w:rPr>
          <w:rFonts w:ascii="Arial" w:cs="Arial" w:eastAsia="Arial" w:hAnsi="Arial"/>
          <w:sz w:val="18"/>
          <w:szCs w:val="18"/>
          <w:color w:val="auto"/>
        </w:rPr>
      </w:pPr>
    </w:p>
    <w:p>
      <w:pPr>
        <w:ind w:firstLine="1305"/>
        <w:spacing w:after="0" w:line="289" w:lineRule="auto"/>
        <w:tabs>
          <w:tab w:leader="none" w:pos="2155" w:val="left"/>
        </w:tabs>
        <w:numPr>
          <w:ilvl w:val="0"/>
          <w:numId w:val="183"/>
        </w:numPr>
        <w:rPr>
          <w:rFonts w:ascii="Arial" w:cs="Arial" w:eastAsia="Arial" w:hAnsi="Arial"/>
          <w:sz w:val="18"/>
          <w:szCs w:val="18"/>
          <w:color w:val="auto"/>
        </w:rPr>
      </w:pPr>
      <w:r>
        <w:rPr>
          <w:rFonts w:ascii="Arial" w:cs="Arial" w:eastAsia="Arial" w:hAnsi="Arial"/>
          <w:sz w:val="20"/>
          <w:szCs w:val="20"/>
          <w:color w:val="auto"/>
        </w:rPr>
        <w:t>Such Grantor will not, except with respect to any Patent that such Grantor shall reasonably determine is not material to its business, do any act, or omit to do any act, whereby any such Patent may become abandoned or dedicated.</w:t>
      </w:r>
    </w:p>
    <w:p>
      <w:pPr>
        <w:spacing w:after="0" w:line="188" w:lineRule="exact"/>
        <w:rPr>
          <w:rFonts w:ascii="Arial" w:cs="Arial" w:eastAsia="Arial" w:hAnsi="Arial"/>
          <w:sz w:val="18"/>
          <w:szCs w:val="18"/>
          <w:color w:val="auto"/>
        </w:rPr>
      </w:pPr>
    </w:p>
    <w:p>
      <w:pPr>
        <w:ind w:firstLine="1305"/>
        <w:spacing w:after="0" w:line="316" w:lineRule="auto"/>
        <w:tabs>
          <w:tab w:leader="none" w:pos="2144" w:val="left"/>
        </w:tabs>
        <w:numPr>
          <w:ilvl w:val="0"/>
          <w:numId w:val="183"/>
        </w:numPr>
        <w:rPr>
          <w:rFonts w:ascii="Arial" w:cs="Arial" w:eastAsia="Arial" w:hAnsi="Arial"/>
          <w:sz w:val="17"/>
          <w:szCs w:val="17"/>
          <w:color w:val="auto"/>
        </w:rPr>
      </w:pPr>
      <w:r>
        <w:rPr>
          <w:rFonts w:ascii="Arial" w:cs="Arial" w:eastAsia="Arial" w:hAnsi="Arial"/>
          <w:sz w:val="19"/>
          <w:szCs w:val="19"/>
          <w:color w:val="auto"/>
        </w:rPr>
        <w:t>Such Grantor will not, except with respect to any Copyright that such Grantor shall reasonably determine is not material to its business, do any act, or omit to do any act, whereby any such Copyright may become abandoned or dedicated.</w:t>
      </w:r>
    </w:p>
    <w:p>
      <w:pPr>
        <w:spacing w:after="0" w:line="167" w:lineRule="exact"/>
        <w:rPr>
          <w:rFonts w:ascii="Arial" w:cs="Arial" w:eastAsia="Arial" w:hAnsi="Arial"/>
          <w:sz w:val="17"/>
          <w:szCs w:val="17"/>
          <w:color w:val="auto"/>
        </w:rPr>
      </w:pPr>
    </w:p>
    <w:p>
      <w:pPr>
        <w:jc w:val="both"/>
        <w:ind w:firstLine="1305"/>
        <w:spacing w:after="0" w:line="272" w:lineRule="auto"/>
        <w:tabs>
          <w:tab w:leader="none" w:pos="2155" w:val="left"/>
        </w:tabs>
        <w:numPr>
          <w:ilvl w:val="0"/>
          <w:numId w:val="183"/>
        </w:numPr>
        <w:rPr>
          <w:rFonts w:ascii="Arial" w:cs="Arial" w:eastAsia="Arial" w:hAnsi="Arial"/>
          <w:sz w:val="18"/>
          <w:szCs w:val="18"/>
          <w:color w:val="auto"/>
        </w:rPr>
      </w:pPr>
      <w:r>
        <w:rPr>
          <w:rFonts w:ascii="Arial" w:cs="Arial" w:eastAsia="Arial" w:hAnsi="Arial"/>
          <w:sz w:val="20"/>
          <w:szCs w:val="20"/>
          <w:color w:val="auto"/>
        </w:rPr>
        <w:t>Such Grantor will notify the Administrative Agent and the other Secured Parties promptly if it knows, or has reason to know, that any application or registration relating to any Copyright, Patent or Trademark material to such Grantor’s business may become abandoned or dedicated,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any such Copyright, Patent or Trademark or its right to register the same or to keep and maintain the same.</w:t>
      </w:r>
    </w:p>
    <w:p>
      <w:pPr>
        <w:spacing w:after="0" w:line="205" w:lineRule="exact"/>
        <w:rPr>
          <w:rFonts w:ascii="Arial" w:cs="Arial" w:eastAsia="Arial" w:hAnsi="Arial"/>
          <w:sz w:val="18"/>
          <w:szCs w:val="18"/>
          <w:color w:val="auto"/>
        </w:rPr>
      </w:pPr>
    </w:p>
    <w:p>
      <w:pPr>
        <w:jc w:val="both"/>
        <w:ind w:firstLine="1305"/>
        <w:spacing w:after="0" w:line="286" w:lineRule="auto"/>
        <w:tabs>
          <w:tab w:leader="none" w:pos="2144" w:val="left"/>
        </w:tabs>
        <w:numPr>
          <w:ilvl w:val="0"/>
          <w:numId w:val="183"/>
        </w:numPr>
        <w:rPr>
          <w:rFonts w:ascii="Arial" w:cs="Arial" w:eastAsia="Arial" w:hAnsi="Arial"/>
          <w:sz w:val="17"/>
          <w:szCs w:val="17"/>
          <w:color w:val="auto"/>
        </w:rPr>
      </w:pPr>
      <w:r>
        <w:rPr>
          <w:rFonts w:ascii="Arial" w:cs="Arial" w:eastAsia="Arial" w:hAnsi="Arial"/>
          <w:sz w:val="19"/>
          <w:szCs w:val="19"/>
          <w:color w:val="auto"/>
        </w:rPr>
        <w:t xml:space="preserve">Whenever a Grantor, either by itself or through any agent, employee, licensee or designee, shall file an application for the registration of any Copyright, Patent or Trademark with the United States Copyright Office, the United States Patent and Trademark Office or any similar office or agency in any other country or any political subdivision thereof, Parent shall report such filing to the Administrative Agent and the other Secured Parties in the Compliance Certificate delivered for the Fiscal Quarter in which such filing occurs. Upon request of the Administrative Agent, such Grantor shall execute and deliver an Intellectual Property Security Agreement substantially in the form of </w:t>
      </w:r>
      <w:r>
        <w:rPr>
          <w:rFonts w:ascii="Arial" w:cs="Arial" w:eastAsia="Arial" w:hAnsi="Arial"/>
          <w:sz w:val="19"/>
          <w:szCs w:val="19"/>
          <w:u w:val="single" w:color="auto"/>
          <w:color w:val="auto"/>
        </w:rPr>
        <w:t>Annex II</w:t>
      </w:r>
      <w:r>
        <w:rPr>
          <w:rFonts w:ascii="Arial" w:cs="Arial" w:eastAsia="Arial" w:hAnsi="Arial"/>
          <w:sz w:val="19"/>
          <w:szCs w:val="19"/>
          <w:color w:val="auto"/>
        </w:rPr>
        <w:t>, and any and all other agreements, instruments, documents, and papers as the Administrative Agent may request to evidence the Administrative Agent’s and the other Secured Parties’ security interest in any registered Copyright, Patent or Trademark (or any application for the registration thereof) and the goodwill and General Intangibles of such Grantor relating thereto or represented thereby, and such Grantor hereby constitutes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03" w:right="239" w:bottom="1440" w:gutter="0" w:footer="0" w:header="0"/>
        </w:sectPr>
      </w:pPr>
    </w:p>
    <w:bookmarkStart w:id="184" w:name="page185"/>
    <w:bookmarkEnd w:id="184"/>
    <w:p>
      <w:pPr>
        <w:jc w:val="both"/>
        <w:spacing w:after="0" w:line="278" w:lineRule="auto"/>
        <w:rPr>
          <w:sz w:val="20"/>
          <w:szCs w:val="20"/>
          <w:color w:val="auto"/>
        </w:rPr>
      </w:pPr>
      <w:r>
        <w:rPr>
          <w:rFonts w:ascii="Arial" w:cs="Arial" w:eastAsia="Arial" w:hAnsi="Arial"/>
          <w:sz w:val="20"/>
          <w:szCs w:val="20"/>
          <w:color w:val="auto"/>
        </w:rPr>
        <w:t>Administrative Agent its attorney-in-fact to execute and file all such writings for the foregoing purposes, all acts of such attorney being hereby ratified and confirmed; such power being coupled with an interest is irrevocable until the Secured Obligations are paid in full and the Commitments are terminated.</w:t>
      </w:r>
    </w:p>
    <w:p>
      <w:pPr>
        <w:spacing w:after="0" w:line="200" w:lineRule="exact"/>
        <w:rPr>
          <w:sz w:val="20"/>
          <w:szCs w:val="20"/>
          <w:color w:val="auto"/>
        </w:rPr>
      </w:pPr>
    </w:p>
    <w:p>
      <w:pPr>
        <w:jc w:val="both"/>
        <w:ind w:firstLine="1305"/>
        <w:spacing w:after="0" w:line="273" w:lineRule="auto"/>
        <w:tabs>
          <w:tab w:leader="none" w:pos="2125" w:val="left"/>
        </w:tabs>
        <w:numPr>
          <w:ilvl w:val="0"/>
          <w:numId w:val="184"/>
        </w:numPr>
        <w:rPr>
          <w:rFonts w:ascii="Arial" w:cs="Arial" w:eastAsia="Arial" w:hAnsi="Arial"/>
          <w:sz w:val="18"/>
          <w:szCs w:val="18"/>
          <w:color w:val="auto"/>
        </w:rPr>
      </w:pPr>
      <w:r>
        <w:rPr>
          <w:rFonts w:ascii="Arial" w:cs="Arial" w:eastAsia="Arial" w:hAnsi="Arial"/>
          <w:sz w:val="20"/>
          <w:szCs w:val="20"/>
          <w:color w:val="auto"/>
        </w:rPr>
        <w:t>Such Grantor will take all reasonable and necessary steps, including, without limitation, in any proceeding before the United States Copyright Office, the United States Patent and Trademark Office, or any similar office or agency in any other country or any political subdivision thereof, to maintain and pursue each application (and to obtain the relevant registration) and to maintain each registration of the Copyrights, Patents and Trademarks material to such Grantor’s business, including, without limitation, filing of applications for renewal, affidavits of use and affidavits of incontestability.</w:t>
      </w:r>
    </w:p>
    <w:p>
      <w:pPr>
        <w:spacing w:after="0" w:line="204" w:lineRule="exact"/>
        <w:rPr>
          <w:rFonts w:ascii="Arial" w:cs="Arial" w:eastAsia="Arial" w:hAnsi="Arial"/>
          <w:sz w:val="18"/>
          <w:szCs w:val="18"/>
          <w:color w:val="auto"/>
        </w:rPr>
      </w:pPr>
    </w:p>
    <w:p>
      <w:pPr>
        <w:jc w:val="both"/>
        <w:ind w:firstLine="1305"/>
        <w:spacing w:after="0" w:line="288" w:lineRule="auto"/>
        <w:tabs>
          <w:tab w:leader="none" w:pos="2155" w:val="left"/>
        </w:tabs>
        <w:numPr>
          <w:ilvl w:val="0"/>
          <w:numId w:val="184"/>
        </w:numPr>
        <w:rPr>
          <w:rFonts w:ascii="Arial" w:cs="Arial" w:eastAsia="Arial" w:hAnsi="Arial"/>
          <w:sz w:val="17"/>
          <w:szCs w:val="17"/>
          <w:color w:val="auto"/>
        </w:rPr>
      </w:pPr>
      <w:r>
        <w:rPr>
          <w:rFonts w:ascii="Arial" w:cs="Arial" w:eastAsia="Arial" w:hAnsi="Arial"/>
          <w:sz w:val="19"/>
          <w:szCs w:val="19"/>
          <w:color w:val="auto"/>
        </w:rPr>
        <w:t>In the event that any Copyright, Patent or Trademark included in the Collateral that is material to such Grantor’s business is infringed, misappropriated or diluted by a third party, such Grantor shall promptly notify the Administrative Agent after it learns thereof and shall, unless such Grantor shall reasonably determine that such Copyright, Patent or Trademark is not material to the business to such Grantor, promptly sue for infringement, misappropriation or dilution, to seek injunctive relief where appropriate and to recover any and all damages for such infringement, misappropriation or dilution, or take such other actions as such Grantor shall reasonably deem appropriate under the circumstances to protect such Copyright, Patent or Trademark.</w:t>
      </w:r>
    </w:p>
    <w:p>
      <w:pPr>
        <w:spacing w:after="0" w:line="19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b w:val="1"/>
          <w:bCs w:val="1"/>
          <w:color w:val="auto"/>
        </w:rPr>
        <w:t xml:space="preserve">Section 6.14 </w:t>
      </w:r>
      <w:r>
        <w:rPr>
          <w:rFonts w:ascii="Arial" w:cs="Arial" w:eastAsia="Arial" w:hAnsi="Arial"/>
          <w:sz w:val="19"/>
          <w:szCs w:val="19"/>
          <w:b w:val="1"/>
          <w:bCs w:val="1"/>
          <w:u w:val="single" w:color="auto"/>
          <w:color w:val="auto"/>
        </w:rPr>
        <w:t>Commercial Tort Claims</w:t>
      </w:r>
      <w:r>
        <w:rPr>
          <w:rFonts w:ascii="Arial" w:cs="Arial" w:eastAsia="Arial" w:hAnsi="Arial"/>
          <w:sz w:val="19"/>
          <w:szCs w:val="19"/>
          <w:color w:val="auto"/>
        </w:rPr>
        <w:t>. If such Grantor shall at any time hold or acquire a Commercial Tort Claim that</w:t>
      </w:r>
      <w:r>
        <w:rPr>
          <w:rFonts w:ascii="Arial" w:cs="Arial" w:eastAsia="Arial" w:hAnsi="Arial"/>
          <w:sz w:val="18"/>
          <w:szCs w:val="18"/>
          <w:b w:val="1"/>
          <w:bCs w:val="1"/>
          <w:color w:val="auto"/>
        </w:rPr>
        <w:t xml:space="preserve"> </w:t>
      </w:r>
      <w:r>
        <w:rPr>
          <w:rFonts w:ascii="Arial" w:cs="Arial" w:eastAsia="Arial" w:hAnsi="Arial"/>
          <w:sz w:val="19"/>
          <w:szCs w:val="19"/>
          <w:color w:val="auto"/>
        </w:rPr>
        <w:t>satisfies the requirements of the following sentence, such Grantor shall, within 30 days (or such longer period of time as the Administrative Agent may agree in writing in its sole discretion) after such Commercial Tort Claim satisfies such requirements, notify the Administrative Agent in a writing signed by such Grantor containing a brief description thereof, and granting to the Administrative Agent in such writing (for the benefit of the Secured Parties) a security interest therein and in the Proceeds thereof, all upon the terms of this Agreement, with such writing to be in form and substance reasonably satisfactory to the Administrative Agent. The provisions of the preceding sentence shall apply only to a Commercial Tort Claim that satisfies the following requirements: (i) the monetary value claimed by or payable to the relevant Grantor in connection with such Commercial Tort Claim shall exceed $500,000, and (ii) either (A) such Grantor shall have filed a law suit or counterclaim or otherwise commenced legal proceedings (including, without limitation, arbitration proceedings) against the Person against whom such Commercial Tort Claim is made, or (B) such Grantor and the Person against whom such Commercial Tort Claim is asserted shall have entered into a settlement agreement with respect to such Commercial Tort Claim. In addition, to the extent that the existence of any Commercial Tort Claim held or acquired by any Grantor is disclosed by such Grantor in any public filing with the Securities Exchange Commission or any successor thereto or analogous Governmental Authority, or to the extent that the existence of any such Commercial Tort Claim is disclosed in any press release issued by any Grantor, then, upon the request of the Administrative Agent, the relevant Grantor shall, within 30 days (or such longer period of time as the Administrative Agent may agree in writing in its sole discretion) after such request is made, transmit to the Administrative Agent a writing signed by such Grantor containing a brief description of such Commercial Tort Claim and granting to the Administrative Agent in such writing (for the benefit of the Secured Parties) a security interest therein and in the Proceeds thereof, all upon the terms of this Agreement, with such writing to be in form and substance reasonably satisfactory to the Administrative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REMEDIAL PROVISIONS</w:t>
      </w:r>
    </w:p>
    <w:p>
      <w:pPr>
        <w:spacing w:after="0" w:line="243"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Pledged Securities</w:t>
      </w:r>
      <w:r>
        <w:rPr>
          <w:rFonts w:ascii="Arial" w:cs="Arial" w:eastAsia="Arial" w:hAnsi="Arial"/>
          <w:sz w:val="16"/>
          <w:szCs w:val="16"/>
          <w:color w:val="auto"/>
        </w:rPr>
        <w:t>.</w:t>
      </w:r>
    </w:p>
    <w:p>
      <w:pPr>
        <w:spacing w:after="0" w:line="285" w:lineRule="exact"/>
        <w:rPr>
          <w:sz w:val="20"/>
          <w:szCs w:val="20"/>
          <w:color w:val="auto"/>
        </w:rPr>
      </w:pPr>
    </w:p>
    <w:p>
      <w:pPr>
        <w:jc w:val="both"/>
        <w:ind w:right="20" w:firstLine="1305"/>
        <w:spacing w:after="0" w:line="273" w:lineRule="auto"/>
        <w:tabs>
          <w:tab w:leader="none" w:pos="2144" w:val="left"/>
        </w:tabs>
        <w:numPr>
          <w:ilvl w:val="0"/>
          <w:numId w:val="185"/>
        </w:numPr>
        <w:rPr>
          <w:rFonts w:ascii="Arial" w:cs="Arial" w:eastAsia="Arial" w:hAnsi="Arial"/>
          <w:sz w:val="18"/>
          <w:szCs w:val="18"/>
          <w:color w:val="auto"/>
        </w:rPr>
      </w:pPr>
      <w:r>
        <w:rPr>
          <w:rFonts w:ascii="Arial" w:cs="Arial" w:eastAsia="Arial" w:hAnsi="Arial"/>
          <w:sz w:val="20"/>
          <w:szCs w:val="20"/>
          <w:color w:val="auto"/>
        </w:rPr>
        <w:t>Unless an Event of Default shall have occurred and be continuing and the Administrative Agent shall have given notice to the relevant Grantor of the Administrative Agent’s intent to exercise its corresponding rights pursuant to subsection (b) of this Section, each Grantor shall be permitted to receive all cash dividends paid in respect of the Pledged Securities paid in the normal course of business of the relevant Issuer, to the extent permitted in the Credit Agreement, and to exercise all voting and corporate rights with respect to the Pledged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79" w:right="239" w:bottom="1440" w:gutter="0" w:footer="0" w:header="0"/>
        </w:sectPr>
      </w:pPr>
    </w:p>
    <w:bookmarkStart w:id="185" w:name="page186"/>
    <w:bookmarkEnd w:id="185"/>
    <w:p>
      <w:pPr>
        <w:jc w:val="both"/>
        <w:ind w:firstLine="1305"/>
        <w:spacing w:after="0" w:line="284" w:lineRule="auto"/>
        <w:tabs>
          <w:tab w:leader="none" w:pos="2155" w:val="left"/>
        </w:tabs>
        <w:numPr>
          <w:ilvl w:val="0"/>
          <w:numId w:val="186"/>
        </w:numPr>
        <w:rPr>
          <w:rFonts w:ascii="Arial" w:cs="Arial" w:eastAsia="Arial" w:hAnsi="Arial"/>
          <w:sz w:val="17"/>
          <w:szCs w:val="17"/>
          <w:color w:val="auto"/>
        </w:rPr>
      </w:pPr>
      <w:r>
        <w:rPr>
          <w:rFonts w:ascii="Arial" w:cs="Arial" w:eastAsia="Arial" w:hAnsi="Arial"/>
          <w:sz w:val="19"/>
          <w:szCs w:val="19"/>
          <w:color w:val="auto"/>
        </w:rPr>
        <w:t xml:space="preserve">If an Event of Default shall occur and be continuing, then at any time in the Administrative Agent’s discretion, without notice, (i) the Administrative Agent shall have the right to receive any and all cash dividends, payments or other Proceeds paid in respect of the Pledged Securities and make application thereof to the Obligations in accordance with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of the Credit Agreement, and (ii) any or all of the Pledged Securities shall be registered in the name of the Administrative Agent or its nominee, and the Administrative Agent or its nominee may thereafter exercise (x) all voting, corporate and other rights pertaining to such Pledged Securities at any meeting of shareholders (or other equivalent body) of the relevant Issuer or Issuers or otherwise and (y) any and all rights of conversion, exchange and subscription and any other rights, privileges or options pertaining to such Pledged Securities as if it were the absolute owner thereof (including, without limitation, the right to exchange at its discretion any and all of the Pledged Securities upon the merger, consolidation, reorganization, recapitalization or other fundamental change in the organizational structure of any Issuer, or upon the exercise by any Grantor or the Administrative Agent of any right, privilege or option pertaining to such Pledged Securities, and in connection therewith, the right to deposit and deliver any and all of the Pledged Securities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202" w:lineRule="exact"/>
        <w:rPr>
          <w:rFonts w:ascii="Arial" w:cs="Arial" w:eastAsia="Arial" w:hAnsi="Arial"/>
          <w:sz w:val="17"/>
          <w:szCs w:val="17"/>
          <w:color w:val="auto"/>
        </w:rPr>
      </w:pPr>
    </w:p>
    <w:p>
      <w:pPr>
        <w:jc w:val="both"/>
        <w:ind w:firstLine="1305"/>
        <w:spacing w:after="0" w:line="307" w:lineRule="auto"/>
        <w:tabs>
          <w:tab w:leader="none" w:pos="2144" w:val="left"/>
        </w:tabs>
        <w:numPr>
          <w:ilvl w:val="0"/>
          <w:numId w:val="186"/>
        </w:numPr>
        <w:rPr>
          <w:rFonts w:ascii="Arial" w:cs="Arial" w:eastAsia="Arial" w:hAnsi="Arial"/>
          <w:sz w:val="16"/>
          <w:szCs w:val="16"/>
          <w:color w:val="auto"/>
        </w:rPr>
      </w:pPr>
      <w:r>
        <w:rPr>
          <w:rFonts w:ascii="Arial" w:cs="Arial" w:eastAsia="Arial" w:hAnsi="Arial"/>
          <w:sz w:val="18"/>
          <w:szCs w:val="18"/>
          <w:color w:val="auto"/>
        </w:rPr>
        <w:t>Each Grantor hereby authorizes and instructs each Issuer of any Pledged Securities pledged by such Grantor hereunder (and each Issuer party hereto hereby agrees) to (i) comply with any instruction received by it from the Administrative Agent in writing (x) after an Event of Default has occurred and is continuing and (y) that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Securities directly to the Administrative Agent upon request by Administrative Agent during the existence of an Event of Default.</w:t>
      </w:r>
    </w:p>
    <w:p>
      <w:pPr>
        <w:spacing w:after="0" w:line="180" w:lineRule="exact"/>
        <w:rPr>
          <w:rFonts w:ascii="Arial" w:cs="Arial" w:eastAsia="Arial" w:hAnsi="Arial"/>
          <w:sz w:val="16"/>
          <w:szCs w:val="16"/>
          <w:color w:val="auto"/>
        </w:rPr>
      </w:pPr>
    </w:p>
    <w:p>
      <w:pPr>
        <w:jc w:val="both"/>
        <w:ind w:firstLine="1305"/>
        <w:spacing w:after="0" w:line="271" w:lineRule="auto"/>
        <w:tabs>
          <w:tab w:leader="none" w:pos="2155" w:val="left"/>
        </w:tabs>
        <w:numPr>
          <w:ilvl w:val="0"/>
          <w:numId w:val="186"/>
        </w:numPr>
        <w:rPr>
          <w:rFonts w:ascii="Arial" w:cs="Arial" w:eastAsia="Arial" w:hAnsi="Arial"/>
          <w:sz w:val="18"/>
          <w:szCs w:val="18"/>
          <w:color w:val="auto"/>
        </w:rPr>
      </w:pPr>
      <w:r>
        <w:rPr>
          <w:rFonts w:ascii="Arial" w:cs="Arial" w:eastAsia="Arial" w:hAnsi="Arial"/>
          <w:sz w:val="20"/>
          <w:szCs w:val="20"/>
          <w:color w:val="auto"/>
        </w:rPr>
        <w:t>After the occurrence and during the continuation of an Event of Default, if the Issuer of any Pledged Securities is the subject of bankruptcy, insolvency, receivership, custodianship or other proceedings under the supervision of any Governmental Authority, then all rights of the Grantor in respect thereof to exercise the voting and other consensual rights which such Grantor would otherwise be entitled to exercise with respect to the Pledged Securities issued by such Issuer shall cease, and all such rights shall thereupon become vested in the Administrative Agent who shall thereupon have the sole right to exercise such voting and other consensual rights, but the Administrative Agent shall have no duty to exercise any such voting or other consensual rights and shall not be responsible for any failure to do so or delay in so doing.</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9"/>
          <w:szCs w:val="19"/>
          <w:b w:val="1"/>
          <w:bCs w:val="1"/>
          <w:u w:val="single" w:color="auto"/>
          <w:color w:val="auto"/>
        </w:rPr>
        <w:t>Collections on Accounts</w:t>
      </w:r>
      <w:r>
        <w:rPr>
          <w:rFonts w:ascii="Arial" w:cs="Arial" w:eastAsia="Arial" w:hAnsi="Arial"/>
          <w:sz w:val="19"/>
          <w:szCs w:val="19"/>
          <w:color w:val="auto"/>
        </w:rPr>
        <w:t>. The Administrative Agent hereby authorizes each Grantor to collect upon the</w:t>
      </w:r>
      <w:r>
        <w:rPr>
          <w:rFonts w:ascii="Arial" w:cs="Arial" w:eastAsia="Arial" w:hAnsi="Arial"/>
          <w:sz w:val="18"/>
          <w:szCs w:val="18"/>
          <w:b w:val="1"/>
          <w:bCs w:val="1"/>
          <w:color w:val="auto"/>
        </w:rPr>
        <w:t xml:space="preserve"> </w:t>
      </w:r>
      <w:r>
        <w:rPr>
          <w:rFonts w:ascii="Arial" w:cs="Arial" w:eastAsia="Arial" w:hAnsi="Arial"/>
          <w:sz w:val="19"/>
          <w:szCs w:val="19"/>
          <w:color w:val="auto"/>
        </w:rPr>
        <w:t>Accounts, Instruments, Chattel Paper and Payment Intangibles subject to the Administrative Agent’s direction and control, and the Administrative Agent may curtail or terminate said authority at any time after the occurrence and during the continuance of an Event of Default. Upon the request of the Administrative Agent, at any time after the occurrence and during the continuance of an Event of Default, each Grantor shall notify the applicable Account Debtors that the applicable Accounts, Chattel Paper and Payment Intangibles have been assigned to the Administrative Agent for the ratable benefit of the Secured Parties and that payments in respect thereof shall be made directly to the Administrative Agent. During the existence of an Event of Default, the Administrative Agent may in its own name or in the name of others communicate with the applicable Account Debtors to verify with them to its satisfaction the existence, amount and terms of any applicable Accounts, Chattel Paper or Payment Intangibles.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color w:val="auto"/>
        </w:rPr>
        <w:t xml:space="preserve">Section 7.3 </w:t>
      </w:r>
      <w:r>
        <w:rPr>
          <w:rFonts w:ascii="Arial" w:cs="Arial" w:eastAsia="Arial" w:hAnsi="Arial"/>
          <w:sz w:val="18"/>
          <w:szCs w:val="18"/>
          <w:b w:val="1"/>
          <w:bCs w:val="1"/>
          <w:u w:val="single" w:color="auto"/>
          <w:color w:val="auto"/>
        </w:rPr>
        <w:t>Proceeds</w:t>
      </w:r>
      <w:r>
        <w:rPr>
          <w:rFonts w:ascii="Arial" w:cs="Arial" w:eastAsia="Arial" w:hAnsi="Arial"/>
          <w:sz w:val="18"/>
          <w:szCs w:val="18"/>
          <w:color w:val="auto"/>
        </w:rPr>
        <w:t>. If required by the Administrative Agent at any time after the occurrence and during the</w:t>
      </w:r>
      <w:r>
        <w:rPr>
          <w:rFonts w:ascii="Arial" w:cs="Arial" w:eastAsia="Arial" w:hAnsi="Arial"/>
          <w:sz w:val="17"/>
          <w:szCs w:val="17"/>
          <w:b w:val="1"/>
          <w:bCs w:val="1"/>
          <w:color w:val="auto"/>
        </w:rPr>
        <w:t xml:space="preserve"> </w:t>
      </w:r>
      <w:r>
        <w:rPr>
          <w:rFonts w:ascii="Arial" w:cs="Arial" w:eastAsia="Arial" w:hAnsi="Arial"/>
          <w:sz w:val="18"/>
          <w:szCs w:val="18"/>
          <w:color w:val="auto"/>
        </w:rPr>
        <w:t>continuance of an Event of Default, any payments of Accounts, Instruments, Chattel Paper and Payment Intangibles comprising a portion of the Collateral, when collected or received by each Grantor, and any other cash or non-cash Proceeds received by each Grantor upon the sale or other disposition of any Collateral, shall be forthwith (and, in any event, within two (2) Business Days) deposited by such Grantor in the exact form received, duly indorsed by such Grantor to the Administrative Agent in a special collateral account maintained by the Administrative Agent subject to withdrawal by the Administrative Agent for the ratable benefit of the Secured Parties only, as hereinafter provided,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09" w:right="239" w:bottom="1440" w:gutter="0" w:footer="0" w:header="0"/>
        </w:sectPr>
      </w:pPr>
    </w:p>
    <w:bookmarkStart w:id="186" w:name="page187"/>
    <w:bookmarkEnd w:id="186"/>
    <w:p>
      <w:pPr>
        <w:jc w:val="both"/>
        <w:spacing w:after="0" w:line="285" w:lineRule="auto"/>
        <w:rPr>
          <w:sz w:val="20"/>
          <w:szCs w:val="20"/>
          <w:color w:val="auto"/>
        </w:rPr>
      </w:pPr>
      <w:r>
        <w:rPr>
          <w:rFonts w:ascii="Arial" w:cs="Arial" w:eastAsia="Arial" w:hAnsi="Arial"/>
          <w:sz w:val="19"/>
          <w:szCs w:val="19"/>
          <w:color w:val="auto"/>
        </w:rPr>
        <w:t xml:space="preserve">and, until so turned over, shall be held by such Grantor in trust for the Administrative Agent for the ratable benefit of the Secured Parties segregated from other funds of any such Grantor. Each deposit of any such Proceeds shall be accompanied by a report identifying in detail the nature and source of the payments included in the deposit. All Proceeds of the Collateral (including, without limitation, Proceeds constituting collections of Accounts, Chattel Paper, Instruments or Payment Intangibles comprising a portion of the Collateral) while held by the Administrative Agent (or by any Grantor in trust for the Administrative Agent for the ratable benefit of the Secured Parties) shall continue to be collateral security for all of the Secured Obligations and shall not constitute payment thereof until applied as hereinafter provided. At such intervals as may be agreed upon by each Grantor and the Administrative Agent, or, if an Event of Default shall have occurred and be continuing, at any time at the Administrative Agent’s election, the Administrative Agent shall apply all or any part of the funds on deposit in said special collateral account on account of the Secured Obligations in the order set forth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of the Credit Agreement, and any part of such funds which the Administrative Agent elects not so to apply and deems not required as collateral security for the Secured Obligations shall be paid over from time to time by the Administrative Agent to each Grantor or to whomsoever may be lawfully entitled to receive the same.</w:t>
      </w:r>
    </w:p>
    <w:p>
      <w:pPr>
        <w:spacing w:after="0" w:line="189"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8"/>
          <w:szCs w:val="18"/>
          <w:b w:val="1"/>
          <w:bCs w:val="1"/>
          <w:u w:val="single" w:color="auto"/>
          <w:color w:val="auto"/>
        </w:rPr>
        <w:t>UCC and Other Remedies</w:t>
      </w:r>
      <w:r>
        <w:rPr>
          <w:rFonts w:ascii="Arial" w:cs="Arial" w:eastAsia="Arial" w:hAnsi="Arial"/>
          <w:sz w:val="18"/>
          <w:szCs w:val="18"/>
          <w:color w:val="auto"/>
        </w:rPr>
        <w:t>.</w:t>
      </w:r>
    </w:p>
    <w:p>
      <w:pPr>
        <w:spacing w:after="0" w:line="285" w:lineRule="exact"/>
        <w:rPr>
          <w:sz w:val="20"/>
          <w:szCs w:val="20"/>
          <w:color w:val="auto"/>
        </w:rPr>
      </w:pPr>
    </w:p>
    <w:p>
      <w:pPr>
        <w:jc w:val="both"/>
        <w:ind w:firstLine="1305"/>
        <w:spacing w:after="0" w:line="299" w:lineRule="auto"/>
        <w:tabs>
          <w:tab w:leader="none" w:pos="2144" w:val="left"/>
        </w:tabs>
        <w:numPr>
          <w:ilvl w:val="0"/>
          <w:numId w:val="187"/>
        </w:numPr>
        <w:rPr>
          <w:rFonts w:ascii="Arial" w:cs="Arial" w:eastAsia="Arial" w:hAnsi="Arial"/>
          <w:sz w:val="16"/>
          <w:szCs w:val="16"/>
          <w:color w:val="auto"/>
        </w:rPr>
      </w:pPr>
      <w:r>
        <w:rPr>
          <w:rFonts w:ascii="Arial" w:cs="Arial" w:eastAsia="Arial" w:hAnsi="Arial"/>
          <w:sz w:val="18"/>
          <w:szCs w:val="18"/>
          <w:color w:val="auto"/>
        </w:rPr>
        <w:t xml:space="preserve">If an Event of Default shall occur and be continuing, the Administrative Agent, on behalf of the Secured Parties, may exercise in its discretion, in addition to all other rights, remedies, powers and privileges granted to them in this Agreement, the other Loan Documents, and in any other instrument or agreement securing, evidencing or relating to the Secured Obligations, all rights, remedies, powers and privileges of a secured party under the UCC (regardless of whether the UCC is in effect in the jurisdiction where such rights, remedies, powers or privileges are asserted) or any other applicable law or otherwise available at law or equity.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presentments, protests,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other Secured Party or elsewhere upon such terms and conditions as it may deem advisable and at such prices as it may deem best, for cash or on credit or for future delivery without assumption of any credit risk. The Administrative Agent or any other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If an Event of Default shall occur and be continuing, each Grantor further agrees, at the Administrative Agent’s request, to assemble the Collateral and make it available to the Administrative Agent at places which the Administrative Agent shall reasonably select, whether at such Grantor’s premises or elsewhere. Any such sale or transfer by the Administrative Agent either to itself or to any other Person shall be absolutely free from any claim of right by any Grantor, including any equity or right of redemption, stay or appraisal which such Grantor has or may have under any rule of law, regulation or statute now existing or hereafter adopted. Upon any such sale or transfer, the Administrative Agent shall have the right to deliver, assign and transfer to the purchaser or transferee thereof the Collateral so sold or transferred. The Administrative Agent shall apply the net proceeds of any action taken by it pursuant to this Section, after deducting all reasonable costs and expenses of every kind incurred in connection therewith or incidental to the care or safekeeping of any of the Collateral or in any way relating to the Collateral or the rights of the Administrative Agent and the other Secured Parties hereunder, including, without limitation, reasonable attorneys’ fees and disbursements, to the payment in whole or in part of the Obligations, in accordance with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of the Credit Agreement, and only after such application and after the payment by the Administrative Agent of any other amount required by any provision of law, including, without limitation, Section 9-615 of the UCC, need the Administrative Agent account for the surplus, if any, to any Grantor. To the extent permitted by applicable law, each Grantor waives all claims, damages and demands it may acquire against the Administrative Agent or any other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79" w:right="239" w:bottom="1440" w:gutter="0" w:footer="0" w:header="0"/>
        </w:sectPr>
      </w:pPr>
    </w:p>
    <w:bookmarkStart w:id="187" w:name="page188"/>
    <w:bookmarkEnd w:id="187"/>
    <w:p>
      <w:pPr>
        <w:jc w:val="both"/>
        <w:ind w:firstLine="1305"/>
        <w:spacing w:after="0" w:line="290" w:lineRule="auto"/>
        <w:tabs>
          <w:tab w:leader="none" w:pos="2155" w:val="left"/>
        </w:tabs>
        <w:numPr>
          <w:ilvl w:val="0"/>
          <w:numId w:val="188"/>
        </w:numPr>
        <w:rPr>
          <w:rFonts w:ascii="Arial" w:cs="Arial" w:eastAsia="Arial" w:hAnsi="Arial"/>
          <w:sz w:val="17"/>
          <w:szCs w:val="17"/>
          <w:color w:val="auto"/>
        </w:rPr>
      </w:pPr>
      <w:r>
        <w:rPr>
          <w:rFonts w:ascii="Arial" w:cs="Arial" w:eastAsia="Arial" w:hAnsi="Arial"/>
          <w:sz w:val="19"/>
          <w:szCs w:val="19"/>
          <w:color w:val="auto"/>
        </w:rPr>
        <w:t>In the event that the Administrative Agent elects not to sell the Collateral, the Administrative Agent retains its rights to dispose of or utilize the Collateral or any part or parts thereof in any manner authorized or permitted by law or in equity and to apply the proceeds of the same towards payment of the Secured Obligations. Each and every method of disposition of the Collateral described in this Agreement shall constitute disposition in a commercially reasonable manner. The Administrative Agent may appoint any Person as agent to perform any act or acts necessary or incident to any sale or transfer of the Collateral.</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7"/>
          <w:szCs w:val="17"/>
          <w:b w:val="1"/>
          <w:bCs w:val="1"/>
          <w:color w:val="auto"/>
        </w:rPr>
        <w:t xml:space="preserve">Section 7.5 </w:t>
      </w:r>
      <w:r>
        <w:rPr>
          <w:rFonts w:ascii="Arial" w:cs="Arial" w:eastAsia="Arial" w:hAnsi="Arial"/>
          <w:sz w:val="18"/>
          <w:szCs w:val="18"/>
          <w:b w:val="1"/>
          <w:bCs w:val="1"/>
          <w:u w:val="single" w:color="auto"/>
          <w:color w:val="auto"/>
        </w:rPr>
        <w:t>Private Sales of Pledged Securities</w:t>
      </w:r>
      <w:r>
        <w:rPr>
          <w:rFonts w:ascii="Arial" w:cs="Arial" w:eastAsia="Arial" w:hAnsi="Arial"/>
          <w:sz w:val="18"/>
          <w:szCs w:val="18"/>
          <w:color w:val="auto"/>
        </w:rPr>
        <w:t>. Each Grantor recognizes that the Administrative Agent may be unable</w:t>
      </w:r>
      <w:r>
        <w:rPr>
          <w:rFonts w:ascii="Arial" w:cs="Arial" w:eastAsia="Arial" w:hAnsi="Arial"/>
          <w:sz w:val="17"/>
          <w:szCs w:val="17"/>
          <w:b w:val="1"/>
          <w:bCs w:val="1"/>
          <w:color w:val="auto"/>
        </w:rPr>
        <w:t xml:space="preserve"> </w:t>
      </w:r>
      <w:r>
        <w:rPr>
          <w:rFonts w:ascii="Arial" w:cs="Arial" w:eastAsia="Arial" w:hAnsi="Arial"/>
          <w:sz w:val="18"/>
          <w:szCs w:val="18"/>
          <w:color w:val="auto"/>
        </w:rPr>
        <w:t>to effect a public sale of any or all the Pledged Securities,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Securities for the period of time necessary to permit the Issuer thereof to register such securities for public sale under the Securities Act, or under applicable state securities laws, even if such Issuer would agree to do so. Each Grantor agrees to use its best efforts to do or cause to be done all such other acts as may reasonably be necessary to make such sale or sales of all or any portion of the Pledged Securities pursuant to this Section valid and binding and in compliance with any and all other applicable Requirements of Law. Each Grantor further agrees that a breach of any of the covenants contained in this Section will cause irreparable injury to the Administrative Agent and the other Secured Parties, that the Administrative Agent and the other Secured Parties have no adequate remedy at law in respect of such breach and, as a consequence, that each and every covenant contained in this Section shall be specifically enforceable against such Grantor, and such Grantor hereby waives and agrees not to assert any defenses against an action for specific performance of such covenants.</w:t>
      </w:r>
    </w:p>
    <w:p>
      <w:pPr>
        <w:spacing w:after="0" w:line="18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9"/>
          <w:szCs w:val="19"/>
          <w:b w:val="1"/>
          <w:bCs w:val="1"/>
          <w:u w:val="single" w:color="auto"/>
          <w:color w:val="auto"/>
        </w:rPr>
        <w:t>Waiver; Deficiency</w:t>
      </w:r>
      <w:r>
        <w:rPr>
          <w:rFonts w:ascii="Arial" w:cs="Arial" w:eastAsia="Arial" w:hAnsi="Arial"/>
          <w:sz w:val="19"/>
          <w:szCs w:val="19"/>
          <w:color w:val="auto"/>
        </w:rPr>
        <w:t>. Each Grantor waives and agrees not to assert any rights or privileges which it may</w:t>
      </w:r>
      <w:r>
        <w:rPr>
          <w:rFonts w:ascii="Arial" w:cs="Arial" w:eastAsia="Arial" w:hAnsi="Arial"/>
          <w:sz w:val="18"/>
          <w:szCs w:val="18"/>
          <w:b w:val="1"/>
          <w:bCs w:val="1"/>
          <w:color w:val="auto"/>
        </w:rPr>
        <w:t xml:space="preserve"> </w:t>
      </w:r>
      <w:r>
        <w:rPr>
          <w:rFonts w:ascii="Arial" w:cs="Arial" w:eastAsia="Arial" w:hAnsi="Arial"/>
          <w:sz w:val="19"/>
          <w:szCs w:val="19"/>
          <w:color w:val="auto"/>
        </w:rPr>
        <w:t>acquire under the UCC or any other applicable law. Each Grantor shall remain liable for any deficiency if the proceeds of any sale or other disposition of the Collateral are insufficient to pay its Obligations or Guaranteed Obligations, as the case may be, and the fees and disbursements of any attorneys employed by the Administrative Agent or any other Secured Party to collect such deficiency.</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9"/>
          <w:szCs w:val="19"/>
          <w:b w:val="1"/>
          <w:bCs w:val="1"/>
          <w:u w:val="single" w:color="auto"/>
          <w:color w:val="auto"/>
        </w:rPr>
        <w:t>Non-Judicial Enforcement</w:t>
      </w:r>
      <w:r>
        <w:rPr>
          <w:rFonts w:ascii="Arial" w:cs="Arial" w:eastAsia="Arial" w:hAnsi="Arial"/>
          <w:sz w:val="19"/>
          <w:szCs w:val="19"/>
          <w:color w:val="auto"/>
        </w:rPr>
        <w:t>. The Administrative Agent may enforce its rights hereunder without prior</w:t>
      </w:r>
      <w:r>
        <w:rPr>
          <w:rFonts w:ascii="Arial" w:cs="Arial" w:eastAsia="Arial" w:hAnsi="Arial"/>
          <w:sz w:val="18"/>
          <w:szCs w:val="18"/>
          <w:b w:val="1"/>
          <w:bCs w:val="1"/>
          <w:color w:val="auto"/>
        </w:rPr>
        <w:t xml:space="preserve"> </w:t>
      </w:r>
      <w:r>
        <w:rPr>
          <w:rFonts w:ascii="Arial" w:cs="Arial" w:eastAsia="Arial" w:hAnsi="Arial"/>
          <w:sz w:val="19"/>
          <w:szCs w:val="19"/>
          <w:color w:val="auto"/>
        </w:rPr>
        <w:t>judicial process or judicial hearing, and, to the extent permitted by law, each Grantor expressly waives any and all legal rights which might otherwise require the Administrative Agent to enforce its rights by judicial process.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THE ADMINISTRATIVE AGENT</w:t>
      </w:r>
    </w:p>
    <w:p>
      <w:pPr>
        <w:spacing w:after="0" w:line="243"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8"/>
          <w:szCs w:val="18"/>
          <w:b w:val="1"/>
          <w:bCs w:val="1"/>
          <w:u w:val="single" w:color="auto"/>
          <w:color w:val="auto"/>
        </w:rPr>
        <w:t>The Administrative Agent’s Appointment as Attorney-in-Fact</w:t>
      </w:r>
      <w:r>
        <w:rPr>
          <w:rFonts w:ascii="Arial" w:cs="Arial" w:eastAsia="Arial" w:hAnsi="Arial"/>
          <w:sz w:val="18"/>
          <w:szCs w:val="18"/>
          <w:color w:val="auto"/>
        </w:rPr>
        <w:t>.</w:t>
      </w:r>
    </w:p>
    <w:p>
      <w:pPr>
        <w:spacing w:after="0" w:line="285" w:lineRule="exact"/>
        <w:rPr>
          <w:sz w:val="20"/>
          <w:szCs w:val="20"/>
          <w:color w:val="auto"/>
        </w:rPr>
      </w:pPr>
    </w:p>
    <w:p>
      <w:pPr>
        <w:jc w:val="both"/>
        <w:ind w:firstLine="1305"/>
        <w:spacing w:after="0" w:line="287" w:lineRule="auto"/>
        <w:tabs>
          <w:tab w:leader="none" w:pos="2144" w:val="left"/>
        </w:tabs>
        <w:numPr>
          <w:ilvl w:val="0"/>
          <w:numId w:val="189"/>
        </w:numPr>
        <w:rPr>
          <w:rFonts w:ascii="Arial" w:cs="Arial" w:eastAsia="Arial" w:hAnsi="Arial"/>
          <w:sz w:val="17"/>
          <w:szCs w:val="17"/>
          <w:color w:val="auto"/>
        </w:rPr>
      </w:pPr>
      <w:r>
        <w:rPr>
          <w:rFonts w:ascii="Arial" w:cs="Arial" w:eastAsia="Arial" w:hAnsi="Arial"/>
          <w:sz w:val="19"/>
          <w:szCs w:val="19"/>
          <w:color w:val="auto"/>
        </w:rPr>
        <w:t>Each Grantor hereby irrevocably constitutes and appoints, during the existence of an Event of Default,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reasonably appropriate action and to execute any and all documents and instruments which may be reasonably necessary or desirable to accomplish the purposes of this Agreement, and, without limiting the generality of the foregoing, each Grantor hereby gives the Administrative Agent the power and right, during the existence of an Event of Default, on behalf of such Grantor, without notice to or assent by such Grantor, to do any or all of the following: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09" w:right="239" w:bottom="1440" w:gutter="0" w:footer="0" w:header="0"/>
        </w:sectPr>
      </w:pPr>
    </w:p>
    <w:bookmarkStart w:id="188" w:name="page189"/>
    <w:bookmarkEnd w:id="188"/>
    <w:p>
      <w:pPr>
        <w:ind w:left="660" w:firstLine="1293"/>
        <w:spacing w:after="0" w:line="347" w:lineRule="auto"/>
        <w:tabs>
          <w:tab w:leader="none" w:pos="2775" w:val="left"/>
        </w:tabs>
        <w:numPr>
          <w:ilvl w:val="0"/>
          <w:numId w:val="190"/>
        </w:numPr>
        <w:rPr>
          <w:rFonts w:ascii="Arial" w:cs="Arial" w:eastAsia="Arial" w:hAnsi="Arial"/>
          <w:sz w:val="16"/>
          <w:szCs w:val="16"/>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44" w:lineRule="exact"/>
        <w:rPr>
          <w:rFonts w:ascii="Arial" w:cs="Arial" w:eastAsia="Arial" w:hAnsi="Arial"/>
          <w:sz w:val="16"/>
          <w:szCs w:val="16"/>
          <w:color w:val="auto"/>
        </w:rPr>
      </w:pPr>
    </w:p>
    <w:p>
      <w:pPr>
        <w:ind w:left="660" w:firstLine="1293"/>
        <w:spacing w:after="0" w:line="289" w:lineRule="auto"/>
        <w:tabs>
          <w:tab w:leader="none" w:pos="2825" w:val="left"/>
        </w:tabs>
        <w:numPr>
          <w:ilvl w:val="0"/>
          <w:numId w:val="190"/>
        </w:numPr>
        <w:rPr>
          <w:rFonts w:ascii="Arial" w:cs="Arial" w:eastAsia="Arial" w:hAnsi="Arial"/>
          <w:sz w:val="18"/>
          <w:szCs w:val="18"/>
          <w:color w:val="auto"/>
        </w:rPr>
      </w:pPr>
      <w:r>
        <w:rPr>
          <w:rFonts w:ascii="Arial" w:cs="Arial" w:eastAsia="Arial" w:hAnsi="Arial"/>
          <w:sz w:val="20"/>
          <w:szCs w:val="20"/>
          <w:color w:val="auto"/>
        </w:rPr>
        <w:t xml:space="preserve">execute, in connection with any sale provided for in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7.5</w:t>
      </w:r>
      <w:r>
        <w:rPr>
          <w:rFonts w:ascii="Arial" w:cs="Arial" w:eastAsia="Arial" w:hAnsi="Arial"/>
          <w:sz w:val="20"/>
          <w:szCs w:val="20"/>
          <w:color w:val="auto"/>
        </w:rPr>
        <w:t>, any endorsements, assignments or other instruments of conveyance or transfer with respect to the Collateral; and</w:t>
      </w:r>
    </w:p>
    <w:p>
      <w:pPr>
        <w:spacing w:after="0" w:line="188" w:lineRule="exact"/>
        <w:rPr>
          <w:rFonts w:ascii="Arial" w:cs="Arial" w:eastAsia="Arial" w:hAnsi="Arial"/>
          <w:sz w:val="18"/>
          <w:szCs w:val="18"/>
          <w:color w:val="auto"/>
        </w:rPr>
      </w:pPr>
    </w:p>
    <w:p>
      <w:pPr>
        <w:jc w:val="both"/>
        <w:ind w:left="660" w:firstLine="1293"/>
        <w:spacing w:after="0" w:line="299" w:lineRule="auto"/>
        <w:tabs>
          <w:tab w:leader="none" w:pos="2875" w:val="left"/>
        </w:tabs>
        <w:numPr>
          <w:ilvl w:val="0"/>
          <w:numId w:val="190"/>
        </w:numPr>
        <w:rPr>
          <w:rFonts w:ascii="Arial" w:cs="Arial" w:eastAsia="Arial" w:hAnsi="Arial"/>
          <w:sz w:val="16"/>
          <w:szCs w:val="16"/>
          <w:color w:val="auto"/>
        </w:rPr>
      </w:pPr>
      <w:r>
        <w:rPr>
          <w:rFonts w:ascii="Arial" w:cs="Arial" w:eastAsia="Arial" w:hAnsi="Arial"/>
          <w:sz w:val="18"/>
          <w:szCs w:val="18"/>
          <w:color w:val="auto"/>
        </w:rPr>
        <w:t>(A) direct any party liable for any payment under any of the Collateral to make payment of any and all moneys due or to become due thereunder directly to the Administrative Agent or as the Administrative Agent shall direct; (B) take possession of and indorse and collect any checks, drafts, notes, acceptances or other instruments for the payment of moneys due under any Account, Instrument, General Intangible, Chattel Paper or Payment Intangible or with respect to any other Collateral, and to file any claim or to take any other action or proceeding in any court of law or equity or otherwise deemed appropriate by the Administrative Agent for the purpose of collecting any or all such moneys due under any Account, Instrument or General Intangible or with respect to any other Collateral whenever payable; (C) ask or demand for, collect, and receive payment of and receipt for any and all moneys, claims and other amounts due or to become due at any time in respect of or arising out of any Collateral; (D) sign and indorse any invoices, freight or express bills, bills of lading, storage or warehouse receipts, drafts against debtors, assignments, verifications, notices and other documents in connection with any of the Collateral; (E) receive, change the address for delivery, open and dispose of mail addressed to any Grantor, and execute, assign and indorse negotiable and other instruments for the payment of money, documents of title or other evidences of payment, shipment or storage for any form of Collateral on behalf of and in the name of any Grantor; (F) commence and prosecute any suits, actions or proceedings at law or in equity in any court of competent jurisdiction to collect the Collateral or any portion thereof and to enforce any other right in respect of any Collateral; (G) defend any suit, action or proceeding brought against such Grantor with respect to any Collateral; (H) settle, compromise or adjust any such suit, action or proceeding and, in connection therewith, give such discharges or releases as the Administrative Agent may deem appropriate; (I) assign any Patent or Trademark (along with the goodwill of the business to which any such Trademark pertains) throughout the world for such term or terms, on such conditions, and in such manner as the Administrative Agent shall in its sole discretion determine; and (J)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other Secured Parties’ security interests therein and to effect the intent of this Agreement, all as fully and effectively as such Grantor might do.</w:t>
      </w:r>
    </w:p>
    <w:p>
      <w:pPr>
        <w:spacing w:after="0" w:line="18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Anything in this subsection to the contrary notwithstanding, the Administrative Agent agrees that it will not exercise any rights under the power of attorney provided for in this subsection unless an Event of Default shall have occurred and be continuing. The Administrative Agent shall give the relevant Grantor notice of any action taken pursuant to this subsection when reasonably practicable;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have no liability for the failure to provide any such notice.</w:t>
      </w:r>
    </w:p>
    <w:p>
      <w:pPr>
        <w:spacing w:after="0" w:line="205" w:lineRule="exact"/>
        <w:rPr>
          <w:sz w:val="20"/>
          <w:szCs w:val="20"/>
          <w:color w:val="auto"/>
        </w:rPr>
      </w:pPr>
    </w:p>
    <w:p>
      <w:pPr>
        <w:jc w:val="both"/>
        <w:ind w:firstLine="1305"/>
        <w:spacing w:after="0" w:line="278" w:lineRule="auto"/>
        <w:tabs>
          <w:tab w:leader="none" w:pos="2155" w:val="left"/>
        </w:tabs>
        <w:numPr>
          <w:ilvl w:val="0"/>
          <w:numId w:val="191"/>
        </w:numPr>
        <w:rPr>
          <w:rFonts w:ascii="Arial" w:cs="Arial" w:eastAsia="Arial" w:hAnsi="Arial"/>
          <w:sz w:val="18"/>
          <w:szCs w:val="18"/>
          <w:color w:val="auto"/>
        </w:rPr>
      </w:pPr>
      <w:r>
        <w:rPr>
          <w:rFonts w:ascii="Arial" w:cs="Arial" w:eastAsia="Arial" w:hAnsi="Arial"/>
          <w:sz w:val="20"/>
          <w:szCs w:val="20"/>
          <w:color w:val="auto"/>
        </w:rPr>
        <w:t>If any Grantor fails to perform or comply with any of its agreements contained herein within the applicable grace periods, the Administrative Agent, at its option, but without any obligation so to do, may perform or comply, or otherwise cause performance or compliance, with such agreement.</w:t>
      </w:r>
    </w:p>
    <w:p>
      <w:pPr>
        <w:spacing w:after="0" w:line="200" w:lineRule="exact"/>
        <w:rPr>
          <w:rFonts w:ascii="Arial" w:cs="Arial" w:eastAsia="Arial" w:hAnsi="Arial"/>
          <w:sz w:val="18"/>
          <w:szCs w:val="18"/>
          <w:color w:val="auto"/>
        </w:rPr>
      </w:pPr>
    </w:p>
    <w:p>
      <w:pPr>
        <w:jc w:val="both"/>
        <w:ind w:firstLine="1305"/>
        <w:spacing w:after="0" w:line="278" w:lineRule="auto"/>
        <w:tabs>
          <w:tab w:leader="none" w:pos="2144" w:val="left"/>
        </w:tabs>
        <w:numPr>
          <w:ilvl w:val="0"/>
          <w:numId w:val="191"/>
        </w:numPr>
        <w:rPr>
          <w:rFonts w:ascii="Arial" w:cs="Arial" w:eastAsia="Arial" w:hAnsi="Arial"/>
          <w:sz w:val="18"/>
          <w:szCs w:val="18"/>
          <w:color w:val="auto"/>
        </w:rPr>
      </w:pPr>
      <w:r>
        <w:rPr>
          <w:rFonts w:ascii="Arial" w:cs="Arial" w:eastAsia="Arial" w:hAnsi="Arial"/>
          <w:sz w:val="20"/>
          <w:szCs w:val="20"/>
          <w:color w:val="auto"/>
        </w:rPr>
        <w:t>The expenses of the Administrative Agent incurred in connection with actions undertaken as provided in this Section, together with interest thereon at the rate for Default Interest from the date of payment by the Administrative Agent to the date reimbursed by the relevant Grantor, shall be payable by such Grantor to the Administrative Agent on demand.</w:t>
      </w:r>
    </w:p>
    <w:p>
      <w:pPr>
        <w:spacing w:after="0" w:line="200" w:lineRule="exact"/>
        <w:rPr>
          <w:rFonts w:ascii="Arial" w:cs="Arial" w:eastAsia="Arial" w:hAnsi="Arial"/>
          <w:sz w:val="18"/>
          <w:szCs w:val="18"/>
          <w:color w:val="auto"/>
        </w:rPr>
      </w:pPr>
    </w:p>
    <w:p>
      <w:pPr>
        <w:ind w:firstLine="1305"/>
        <w:spacing w:after="0" w:line="289" w:lineRule="auto"/>
        <w:tabs>
          <w:tab w:leader="none" w:pos="2155" w:val="left"/>
        </w:tabs>
        <w:numPr>
          <w:ilvl w:val="0"/>
          <w:numId w:val="191"/>
        </w:numPr>
        <w:rPr>
          <w:rFonts w:ascii="Arial" w:cs="Arial" w:eastAsia="Arial" w:hAnsi="Arial"/>
          <w:sz w:val="18"/>
          <w:szCs w:val="18"/>
          <w:color w:val="auto"/>
        </w:rPr>
      </w:pPr>
      <w:r>
        <w:rPr>
          <w:rFonts w:ascii="Arial" w:cs="Arial" w:eastAsia="Arial" w:hAnsi="Arial"/>
          <w:sz w:val="20"/>
          <w:szCs w:val="20"/>
          <w:color w:val="auto"/>
        </w:rPr>
        <w:t>Each Grantor hereby ratifies all that said attorneys shall lawfully do or cause to be done by virtue hereof and in compliance herewith. All powers, authorizations and agencies contained in this Agreement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80" w:right="23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color w:val="auto"/>
        </w:rPr>
        <w:t>coupled with an interest and are irrevocable until this Agreement is terminated and the security interests created hereby are released.</w:t>
      </w:r>
    </w:p>
    <w:p>
      <w:pPr>
        <w:spacing w:after="0" w:line="26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7"/>
          <w:szCs w:val="17"/>
          <w:b w:val="1"/>
          <w:bCs w:val="1"/>
          <w:color w:val="auto"/>
        </w:rPr>
        <w:t xml:space="preserve">Section 8.2 </w:t>
      </w:r>
      <w:r>
        <w:rPr>
          <w:rFonts w:ascii="Arial" w:cs="Arial" w:eastAsia="Arial" w:hAnsi="Arial"/>
          <w:sz w:val="18"/>
          <w:szCs w:val="18"/>
          <w:b w:val="1"/>
          <w:bCs w:val="1"/>
          <w:u w:val="single" w:color="auto"/>
          <w:color w:val="auto"/>
        </w:rPr>
        <w:t>Duty of the Administrative Agent</w:t>
      </w:r>
      <w:r>
        <w:rPr>
          <w:rFonts w:ascii="Arial" w:cs="Arial" w:eastAsia="Arial" w:hAnsi="Arial"/>
          <w:sz w:val="18"/>
          <w:szCs w:val="18"/>
          <w:color w:val="auto"/>
        </w:rPr>
        <w:t>. The Administrative Agent’s sole duty with respect to the custody,</w:t>
      </w:r>
      <w:r>
        <w:rPr>
          <w:rFonts w:ascii="Arial" w:cs="Arial" w:eastAsia="Arial" w:hAnsi="Arial"/>
          <w:sz w:val="17"/>
          <w:szCs w:val="17"/>
          <w:b w:val="1"/>
          <w:bCs w:val="1"/>
          <w:color w:val="auto"/>
        </w:rPr>
        <w:t xml:space="preserve"> </w:t>
      </w:r>
      <w:r>
        <w:rPr>
          <w:rFonts w:ascii="Arial" w:cs="Arial" w:eastAsia="Arial" w:hAnsi="Arial"/>
          <w:sz w:val="18"/>
          <w:szCs w:val="18"/>
          <w:color w:val="auto"/>
        </w:rPr>
        <w:t>safekeeping and physical preservation of the Collateral in its possession, under Section 9-207 of the UCC or otherwise, shall be to deal with it in the same manner as the Administrative Agent deals with similar property for its own account and shall be deemed to have exercised reasonable care in the custody and preservation of the Collateral in its possession if the Collateral is accorded treatment substantially equal to that which comparable secured parties accord comparable collateral. Neither the Administrative Agent, any other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other Secured Parties hereunder are solely to protect the Administrative Agent’s and the other Secured Parties’ interests in the Collateral and shall not impose any duty upon the Administrative Agent or any other Secured Party to exercise any such powers. The Administrative Agent and the other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 as determined by a court of competent jurisdiction in a final and non-appealable judgment. To the fullest extent permitted by applicable law, the Administrative Agent shall be under no duty whatsoever to make or give any presentment, notice of dishonor, protest, demand for performance, notice of non-performance, notice of intent to accelerate, notice of acceleration, or other notice or demand in connection with any Collateral, or to take any steps necessary to preserve any rights against any Grantor or other Person or ascertaining or taking action with respect to calls, conversions, exchanges, maturities, tenders or other matters relative to any Collateral, whether or not it has or is deemed to have knowledge of such matters. Each Grantor, to the extent permitted by applicable law, waives any right of marshaling in respect of any and all Collateral, and waives any right to require the Administrative Agent or any other Secured Party to proceed against any Grantor or other Person, exhaust any Collateral or enforce any other remedy which the Administrative Agent or any other Secured Party now has or may hereafter have against any Grantor or other Person.</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9"/>
          <w:szCs w:val="19"/>
          <w:b w:val="1"/>
          <w:bCs w:val="1"/>
          <w:u w:val="single" w:color="auto"/>
          <w:color w:val="auto"/>
        </w:rPr>
        <w:t>Filing of Financing Statements</w:t>
      </w:r>
      <w:r>
        <w:rPr>
          <w:rFonts w:ascii="Arial" w:cs="Arial" w:eastAsia="Arial" w:hAnsi="Arial"/>
          <w:sz w:val="19"/>
          <w:szCs w:val="19"/>
          <w:color w:val="auto"/>
        </w:rPr>
        <w:t>. Pursuant to the UCC and any other applicable law, each Grantor authorizes</w:t>
      </w:r>
      <w:r>
        <w:rPr>
          <w:rFonts w:ascii="Arial" w:cs="Arial" w:eastAsia="Arial" w:hAnsi="Arial"/>
          <w:sz w:val="18"/>
          <w:szCs w:val="18"/>
          <w:b w:val="1"/>
          <w:bCs w:val="1"/>
          <w:color w:val="auto"/>
        </w:rPr>
        <w:t xml:space="preserve"> </w:t>
      </w:r>
      <w:r>
        <w:rPr>
          <w:rFonts w:ascii="Arial" w:cs="Arial" w:eastAsia="Arial" w:hAnsi="Arial"/>
          <w:sz w:val="19"/>
          <w:szCs w:val="19"/>
          <w:color w:val="auto"/>
        </w:rPr>
        <w:t>the Administrative Agent, its counsel or its representative, at any time and from time to time, to file or record financing statements, continuation statements, amendments thereto and other filing or recording documents or instruments with respect to the Collateral without the signature of such Grantor in such form and in such offices as the Administrative Agent reasonably determines appropriate to perfect the security interests of the Administrative Agent under this Agreement. Additionally, each Grantor authorizes the Administrative Agent, its counsel or its representative, at any time and from time to time, to file or record such financing statements that describe the collateral covered thereby as “all assets of the Grantor”, “all personal property of the Grantor” or words of similar effect. A photographic or other reproduction of this Agreement shall be sufficient as a financing statement or other filing or recording document or instrument for filing or recording in any jurisdiction.</w:t>
      </w:r>
    </w:p>
    <w:p>
      <w:pPr>
        <w:spacing w:after="0" w:line="18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b w:val="1"/>
          <w:bCs w:val="1"/>
          <w:color w:val="auto"/>
        </w:rPr>
        <w:t xml:space="preserve">Section 8.4 </w:t>
      </w:r>
      <w:r>
        <w:rPr>
          <w:rFonts w:ascii="Arial" w:cs="Arial" w:eastAsia="Arial" w:hAnsi="Arial"/>
          <w:sz w:val="18"/>
          <w:szCs w:val="18"/>
          <w:b w:val="1"/>
          <w:bCs w:val="1"/>
          <w:u w:val="single" w:color="auto"/>
          <w:color w:val="auto"/>
        </w:rPr>
        <w:t>Authority of the Administrative Agent</w:t>
      </w:r>
      <w:r>
        <w:rPr>
          <w:rFonts w:ascii="Arial" w:cs="Arial" w:eastAsia="Arial" w:hAnsi="Arial"/>
          <w:sz w:val="18"/>
          <w:szCs w:val="18"/>
          <w:color w:val="auto"/>
        </w:rPr>
        <w:t>. Each Grantor acknowledges that the rights and responsibilities of</w:t>
      </w:r>
      <w:r>
        <w:rPr>
          <w:rFonts w:ascii="Arial" w:cs="Arial" w:eastAsia="Arial" w:hAnsi="Arial"/>
          <w:sz w:val="17"/>
          <w:szCs w:val="17"/>
          <w:b w:val="1"/>
          <w:bCs w:val="1"/>
          <w:color w:val="auto"/>
        </w:rPr>
        <w:t xml:space="preserve"> </w:t>
      </w:r>
      <w:r>
        <w:rPr>
          <w:rFonts w:ascii="Arial" w:cs="Arial" w:eastAsia="Arial" w:hAnsi="Arial"/>
          <w:sz w:val="18"/>
          <w:szCs w:val="18"/>
          <w:color w:val="auto"/>
        </w:rPr>
        <w:t>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other Secured Parties, be governed by the Credit Agreement and by such other agreements with respect thereto as may exist from time to time among them, but, as between the Administrative Agent and the Grantors, the Administrative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79"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0"/>
          <w:szCs w:val="20"/>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SUBORDINATION OF INDEBTEDNESS</w:t>
      </w:r>
    </w:p>
    <w:p>
      <w:pPr>
        <w:spacing w:after="0" w:line="243"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8"/>
          <w:szCs w:val="18"/>
          <w:b w:val="1"/>
          <w:bCs w:val="1"/>
          <w:u w:val="single" w:color="auto"/>
          <w:color w:val="auto"/>
        </w:rPr>
        <w:t>Subordination of All Guarantor Claims</w:t>
      </w:r>
      <w:r>
        <w:rPr>
          <w:rFonts w:ascii="Arial" w:cs="Arial" w:eastAsia="Arial" w:hAnsi="Arial"/>
          <w:sz w:val="18"/>
          <w:szCs w:val="18"/>
          <w:color w:val="auto"/>
        </w:rPr>
        <w:t>. As used herein, the term “Guarantor Claims” shall mean all debts</w:t>
      </w:r>
    </w:p>
    <w:p>
      <w:pPr>
        <w:spacing w:after="0" w:line="56"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and obligations of Parent, the Borrower or any other Grantor to any Grantor, whether such debts and obligations now exist or are hereafter incurred or arise, or whether the obligation of the debtor thereon be direct, contingent, primary, secondary, several, joint and several, or otherwise, and irrespective of whether such debts or obligations be evidenced by note, contract, open account, or otherwise, and irrespective of the Person or Persons in whose favor such debts or obligations may, at their inception, have been or may hereafter be created, or the manner in which they have been or may hereafter be acquired. After the occurrence and during the continuation of an Event of Default, no Grantor shall receive or collect, directly or indirectly, from any obligor in respect thereof any amount upon the Guarantor Claims.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7"/>
          <w:szCs w:val="17"/>
          <w:b w:val="1"/>
          <w:bCs w:val="1"/>
          <w:color w:val="auto"/>
        </w:rPr>
        <w:t xml:space="preserve">Section 9.2 </w:t>
      </w:r>
      <w:r>
        <w:rPr>
          <w:rFonts w:ascii="Arial" w:cs="Arial" w:eastAsia="Arial" w:hAnsi="Arial"/>
          <w:sz w:val="18"/>
          <w:szCs w:val="18"/>
          <w:b w:val="1"/>
          <w:bCs w:val="1"/>
          <w:u w:val="single" w:color="auto"/>
          <w:color w:val="auto"/>
        </w:rPr>
        <w:t>Claims in Bankruptcy</w:t>
      </w:r>
      <w:r>
        <w:rPr>
          <w:rFonts w:ascii="Arial" w:cs="Arial" w:eastAsia="Arial" w:hAnsi="Arial"/>
          <w:sz w:val="18"/>
          <w:szCs w:val="18"/>
          <w:color w:val="auto"/>
        </w:rPr>
        <w:t>. In the event of receivership, bankruptcy, reorganization, arrangement, debtor’s</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relief or other insolvency proceedings involving any Grantor, the Administrative Agent on behalf of the Secured Parties shall have the right to prove their claim in any proceeding, so as to establish their rights hereunder and receive directly from the receiver, trustee or other court custodian dividends and payments which would otherwise be payable upon Guarantor Claims. Each Grantor hereby assigns such dividends and payments to the Administrative Agent for the benefit of the Secured Parties for application against the Secured Obligations as provided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of the Credit Agreement. Should the Administrative Agent or any other Secured Party receive, for application upon the Secured Obligations, any such dividend or payment which is otherwise payable to any Grantor, and which, as between such Grantor, shall constitute a credit upon the Guarantor Claims, then upon payment in full of the Secured Obligations and termination of all Commitments, the intended recipient shall become subrogated to the rights of the Administrative Agent and the other Secured Parties to the extent that such payments to the Administrative Agent and the other Secured Parties on the Guarantor Claims have contributed toward the liquidation of the Secured Obligations, and such subrogation shall be with respect to that proportion of the Secured Obligations which would have been unpaid if the Administrative Agent and the other Secured Parties had not received dividends or payments upon the Guarantor Claims.</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b w:val="1"/>
          <w:bCs w:val="1"/>
          <w:color w:val="auto"/>
        </w:rPr>
        <w:t xml:space="preserve">Section 9.3 </w:t>
      </w:r>
      <w:r>
        <w:rPr>
          <w:rFonts w:ascii="Arial" w:cs="Arial" w:eastAsia="Arial" w:hAnsi="Arial"/>
          <w:sz w:val="19"/>
          <w:szCs w:val="19"/>
          <w:b w:val="1"/>
          <w:bCs w:val="1"/>
          <w:u w:val="single" w:color="auto"/>
          <w:color w:val="auto"/>
        </w:rPr>
        <w:t>Payments Held in Trust</w:t>
      </w:r>
      <w:r>
        <w:rPr>
          <w:rFonts w:ascii="Arial" w:cs="Arial" w:eastAsia="Arial" w:hAnsi="Arial"/>
          <w:sz w:val="19"/>
          <w:szCs w:val="19"/>
          <w:color w:val="auto"/>
        </w:rPr>
        <w:t>. In the event that, notwithstanding</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Section 9.1</w:t>
      </w:r>
      <w:r>
        <w:rPr>
          <w:rFonts w:ascii="Arial" w:cs="Arial" w:eastAsia="Arial" w:hAnsi="Arial"/>
          <w:sz w:val="18"/>
          <w:szCs w:val="18"/>
          <w:b w:val="1"/>
          <w:bCs w:val="1"/>
          <w:color w:val="auto"/>
        </w:rPr>
        <w:t xml:space="preserve"> </w:t>
      </w:r>
      <w:r>
        <w:rPr>
          <w:rFonts w:ascii="Arial" w:cs="Arial" w:eastAsia="Arial" w:hAnsi="Arial"/>
          <w:sz w:val="19"/>
          <w:szCs w:val="19"/>
          <w:color w:val="auto"/>
        </w:rPr>
        <w:t>and</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Section 9.2</w:t>
      </w:r>
      <w:r>
        <w:rPr>
          <w:rFonts w:ascii="Arial" w:cs="Arial" w:eastAsia="Arial" w:hAnsi="Arial"/>
          <w:sz w:val="19"/>
          <w:szCs w:val="19"/>
          <w:color w:val="auto"/>
        </w:rPr>
        <w:t>, any Grantor should</w:t>
      </w:r>
      <w:r>
        <w:rPr>
          <w:rFonts w:ascii="Arial" w:cs="Arial" w:eastAsia="Arial" w:hAnsi="Arial"/>
          <w:sz w:val="18"/>
          <w:szCs w:val="18"/>
          <w:b w:val="1"/>
          <w:bCs w:val="1"/>
          <w:color w:val="auto"/>
        </w:rPr>
        <w:t xml:space="preserve"> </w:t>
      </w:r>
      <w:r>
        <w:rPr>
          <w:rFonts w:ascii="Arial" w:cs="Arial" w:eastAsia="Arial" w:hAnsi="Arial"/>
          <w:sz w:val="19"/>
          <w:szCs w:val="19"/>
          <w:color w:val="auto"/>
        </w:rPr>
        <w:t>receive any funds, payments, claims or distributions which are prohibited by such Sections, then it agrees (a) to hold in trust for the Administrative Agent and the other Secured Parties an amount equal to the amount of all funds, payments, claims or distributions so received, and (b) that it shall have absolutely no dominion over the amount of such funds, payments, claims or distributions except to pay them promptly to the Administrative Agent, for the benefit of the Secured Parties; and each Grantor covenants promptly to pay the same to the Administrative Agent.</w:t>
      </w:r>
    </w:p>
    <w:p>
      <w:pPr>
        <w:spacing w:after="0" w:line="18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7"/>
          <w:szCs w:val="17"/>
          <w:b w:val="1"/>
          <w:bCs w:val="1"/>
          <w:color w:val="auto"/>
        </w:rPr>
        <w:t xml:space="preserve">Section 9.4 </w:t>
      </w:r>
      <w:r>
        <w:rPr>
          <w:rFonts w:ascii="Arial" w:cs="Arial" w:eastAsia="Arial" w:hAnsi="Arial"/>
          <w:sz w:val="18"/>
          <w:szCs w:val="18"/>
          <w:b w:val="1"/>
          <w:bCs w:val="1"/>
          <w:u w:val="single" w:color="auto"/>
          <w:color w:val="auto"/>
        </w:rPr>
        <w:t>Liens Subordinate</w:t>
      </w:r>
      <w:r>
        <w:rPr>
          <w:rFonts w:ascii="Arial" w:cs="Arial" w:eastAsia="Arial" w:hAnsi="Arial"/>
          <w:sz w:val="18"/>
          <w:szCs w:val="18"/>
          <w:color w:val="auto"/>
        </w:rPr>
        <w:t>. Each Grantor agrees that, until the Secured Obligations are paid in full and all</w:t>
      </w:r>
      <w:r>
        <w:rPr>
          <w:rFonts w:ascii="Arial" w:cs="Arial" w:eastAsia="Arial" w:hAnsi="Arial"/>
          <w:sz w:val="17"/>
          <w:szCs w:val="17"/>
          <w:b w:val="1"/>
          <w:bCs w:val="1"/>
          <w:color w:val="auto"/>
        </w:rPr>
        <w:t xml:space="preserve"> </w:t>
      </w:r>
      <w:r>
        <w:rPr>
          <w:rFonts w:ascii="Arial" w:cs="Arial" w:eastAsia="Arial" w:hAnsi="Arial"/>
          <w:sz w:val="18"/>
          <w:szCs w:val="18"/>
          <w:color w:val="auto"/>
        </w:rPr>
        <w:t>Commitments have terminated, any Liens securing payment of the Guarantor Claims shall be and remain inferior and subordinate to any Liens securing payment of the Secured Obligations, regardless of whether such encumbrances in favor of such Grantor, the Administrative Agent or any other Secured Party presently exist or are hereafter created or attach. Without the prior written consent of the Administrative Agent, no Grantor, during the period in which any of the Secured Obligations are outstanding and all Commitments have terminated, shall (a) exercise or enforce any creditor’s right it may have against any debtor in respect of the Guarantor Claims, or (b) foreclose, repossess, sequester or otherwise take steps or institute any action or proceeding (judicial or otherwise, including, without limitation, the commencement of or joinder in any liquidation, bankruptcy, rearrangement, debtor’s relief or insolvency proceeding) to enforce any Lien held by it.</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9"/>
          <w:szCs w:val="19"/>
          <w:b w:val="1"/>
          <w:bCs w:val="1"/>
          <w:u w:val="single" w:color="auto"/>
          <w:color w:val="auto"/>
        </w:rPr>
        <w:t>Notation of Records</w:t>
      </w:r>
      <w:r>
        <w:rPr>
          <w:rFonts w:ascii="Arial" w:cs="Arial" w:eastAsia="Arial" w:hAnsi="Arial"/>
          <w:sz w:val="19"/>
          <w:szCs w:val="19"/>
          <w:color w:val="auto"/>
        </w:rPr>
        <w:t>. Upon the request of the Administrative Agent, all promissory notes and all accounts</w:t>
      </w:r>
      <w:r>
        <w:rPr>
          <w:rFonts w:ascii="Arial" w:cs="Arial" w:eastAsia="Arial" w:hAnsi="Arial"/>
          <w:sz w:val="18"/>
          <w:szCs w:val="18"/>
          <w:b w:val="1"/>
          <w:bCs w:val="1"/>
          <w:color w:val="auto"/>
        </w:rPr>
        <w:t xml:space="preserve"> </w:t>
      </w:r>
      <w:r>
        <w:rPr>
          <w:rFonts w:ascii="Arial" w:cs="Arial" w:eastAsia="Arial" w:hAnsi="Arial"/>
          <w:sz w:val="19"/>
          <w:szCs w:val="19"/>
          <w:color w:val="auto"/>
        </w:rPr>
        <w:t>receivable ledgers or other evidence of the Guarantor Claims accepted by or held by any Grantor shall contain a specific written notice thereon that the indebtedness evidenced thereby is subordinated under the terms of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0"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43"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failure on the part of the Administrative Agent or any other Secured Party to exercise and no</w:t>
      </w:r>
    </w:p>
    <w:p>
      <w:pPr>
        <w:spacing w:after="0" w:line="5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delay in exercising, and no course of dealing with respect to, any right, remedy, power or privilege under any of the Loan Documents shall operate as a waiver thereof, nor shall any single or partial exercise of any right, power or privilege under any of the Loan Documents preclude any other or further exercise thereof or the exercise of any other right, remedy, power or privilege. The rights, remedies, powers and privileges provided herein are cumulative and not exclusive of any rights, remedies, powers and privileges provided by law. The exercise by the Administrative Agent of any one or more of the rights, powers and remedies herein shall not be construed as a waiver of any other rights, powers and remedies, including, without limitation, any rights of set-off.</w:t>
      </w:r>
    </w:p>
    <w:p>
      <w:pPr>
        <w:spacing w:after="0" w:line="19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and other communications provided for herein shall be given in the manner and subject</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to the terms of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notice, request or demand to or upon any Guarantor shall be addressed to such Guarantor at its notice address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175"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u w:val="single" w:color="auto"/>
          <w:color w:val="auto"/>
        </w:rPr>
        <w:t>Payment of Expenses, Indemnities</w:t>
      </w:r>
      <w:r>
        <w:rPr>
          <w:rFonts w:ascii="Arial" w:cs="Arial" w:eastAsia="Arial" w:hAnsi="Arial"/>
          <w:sz w:val="16"/>
          <w:szCs w:val="16"/>
          <w:color w:val="auto"/>
        </w:rPr>
        <w:t>.</w:t>
      </w:r>
    </w:p>
    <w:p>
      <w:pPr>
        <w:spacing w:after="0" w:line="285" w:lineRule="exact"/>
        <w:rPr>
          <w:sz w:val="20"/>
          <w:szCs w:val="20"/>
          <w:color w:val="auto"/>
        </w:rPr>
      </w:pPr>
    </w:p>
    <w:p>
      <w:pPr>
        <w:jc w:val="both"/>
        <w:ind w:firstLine="1305"/>
        <w:spacing w:after="0" w:line="302" w:lineRule="auto"/>
        <w:tabs>
          <w:tab w:leader="none" w:pos="2144" w:val="left"/>
        </w:tabs>
        <w:numPr>
          <w:ilvl w:val="0"/>
          <w:numId w:val="192"/>
        </w:numPr>
        <w:rPr>
          <w:rFonts w:ascii="Arial" w:cs="Arial" w:eastAsia="Arial" w:hAnsi="Arial"/>
          <w:sz w:val="16"/>
          <w:szCs w:val="16"/>
          <w:color w:val="auto"/>
        </w:rPr>
      </w:pPr>
      <w:r>
        <w:rPr>
          <w:rFonts w:ascii="Arial" w:cs="Arial" w:eastAsia="Arial" w:hAnsi="Arial"/>
          <w:sz w:val="18"/>
          <w:szCs w:val="18"/>
          <w:color w:val="auto"/>
        </w:rPr>
        <w:t xml:space="preserve">Each Grantor agrees to pay or promptly reimburse the Administrative Agent and each other Secured Party for all advances and reasonable and documented out-of-pocket charges, costs and expenses (including, without limitation, all reasonable and documented out-of-pocket costs and expenses of holding, preparing for sale and selling, collecting or otherwise realizing upon the Collateral and all reasonable and documented out-of-pocket attorneys’ fees, legal expenses and court costs) incurred by any Secured Party in connection with the exercise of its respective rights and remedies hereunder, including, without limitation, any advances and reasonable and documented out-of-pocket charges, costs and expenses that may be incurred in any effort to enforce any of the provisions of this Agreement or any obligation of any Grantor in respect of the Collateral or in connection with (i) the preservation of the Lien of, or the rights of the Administrative Agent or any other Secured Party under, this Agreement, (ii) any actual or attempted sale, lease, disposition, exchange, collection, compromise, settlement or other realization in respect of, or care of, the Collateral, including all such costs and expenses incurred in any bankruptcy, reorganization, workout or other similar proceeding, or (iii) collecting against such Grantor under the guarantee 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otherwise enforcing or preserving any rights under this Agreement and the other Loan Documents to which such Grantor is a party.</w:t>
      </w:r>
    </w:p>
    <w:p>
      <w:pPr>
        <w:spacing w:after="0" w:line="187" w:lineRule="exact"/>
        <w:rPr>
          <w:rFonts w:ascii="Arial" w:cs="Arial" w:eastAsia="Arial" w:hAnsi="Arial"/>
          <w:sz w:val="16"/>
          <w:szCs w:val="16"/>
          <w:color w:val="auto"/>
        </w:rPr>
      </w:pPr>
    </w:p>
    <w:p>
      <w:pPr>
        <w:jc w:val="both"/>
        <w:ind w:firstLine="1305"/>
        <w:spacing w:after="0" w:line="305" w:lineRule="auto"/>
        <w:tabs>
          <w:tab w:leader="none" w:pos="2155" w:val="left"/>
        </w:tabs>
        <w:numPr>
          <w:ilvl w:val="0"/>
          <w:numId w:val="192"/>
        </w:numPr>
        <w:rPr>
          <w:rFonts w:ascii="Arial" w:cs="Arial" w:eastAsia="Arial" w:hAnsi="Arial"/>
          <w:sz w:val="16"/>
          <w:szCs w:val="16"/>
          <w:color w:val="auto"/>
        </w:rPr>
      </w:pPr>
      <w:r>
        <w:rPr>
          <w:rFonts w:ascii="Arial" w:cs="Arial" w:eastAsia="Arial" w:hAnsi="Arial"/>
          <w:sz w:val="18"/>
          <w:szCs w:val="18"/>
          <w:color w:val="auto"/>
        </w:rPr>
        <w:t xml:space="preserve">Each Grantor agrees to pay, and to save the Administrative Agent and the other Secured Parties harmless from, any and all liabilities, obligations, losses, damages, penalties, actions, judgments, suits, costs, expenses or disbursements of any kind or nature whatsoever (including, without limitation, court costs and attorneys’ fees and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 incurred because of, incident to, or with respect to the Collateral (including, without limitation, any exercise of rights or remedies in connection therewith) or the execution, delivery, enforcement, performance or administration of this Agreement, to the extent the Borrower would be required to do so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Credit Agreement.</w:t>
      </w:r>
    </w:p>
    <w:p>
      <w:pPr>
        <w:spacing w:after="0" w:line="184" w:lineRule="exact"/>
        <w:rPr>
          <w:rFonts w:ascii="Arial" w:cs="Arial" w:eastAsia="Arial" w:hAnsi="Arial"/>
          <w:sz w:val="16"/>
          <w:szCs w:val="16"/>
          <w:color w:val="auto"/>
        </w:rPr>
      </w:pPr>
    </w:p>
    <w:p>
      <w:pPr>
        <w:ind w:firstLine="1305"/>
        <w:spacing w:after="0" w:line="289" w:lineRule="auto"/>
        <w:tabs>
          <w:tab w:leader="none" w:pos="2144" w:val="left"/>
        </w:tabs>
        <w:numPr>
          <w:ilvl w:val="0"/>
          <w:numId w:val="192"/>
        </w:numPr>
        <w:rPr>
          <w:rFonts w:ascii="Arial" w:cs="Arial" w:eastAsia="Arial" w:hAnsi="Arial"/>
          <w:sz w:val="18"/>
          <w:szCs w:val="18"/>
          <w:color w:val="auto"/>
        </w:rPr>
      </w:pPr>
      <w:r>
        <w:rPr>
          <w:rFonts w:ascii="Arial" w:cs="Arial" w:eastAsia="Arial" w:hAnsi="Arial"/>
          <w:sz w:val="20"/>
          <w:szCs w:val="20"/>
          <w:color w:val="auto"/>
        </w:rPr>
        <w:t>All amounts for which any Grantor is liable pursuant to this Section shall be due and payable by such Grantor to the Administrative Agent or any Secured Party upon demand.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ind w:left="660"/>
              <w:spacing w:after="0"/>
              <w:rPr>
                <w:sz w:val="20"/>
                <w:szCs w:val="20"/>
                <w:color w:val="auto"/>
              </w:rPr>
            </w:pPr>
            <w:r>
              <w:rPr>
                <w:rFonts w:ascii="Arial" w:cs="Arial" w:eastAsia="Arial" w:hAnsi="Arial"/>
                <w:sz w:val="18"/>
                <w:szCs w:val="18"/>
                <w:b w:val="1"/>
                <w:bCs w:val="1"/>
                <w:color w:val="auto"/>
              </w:rPr>
              <w:t>Section 10.4</w:t>
            </w:r>
          </w:p>
        </w:tc>
        <w:tc>
          <w:tcPr>
            <w:tcW w:w="8500" w:type="dxa"/>
            <w:vAlign w:val="bottom"/>
            <w:gridSpan w:val="5"/>
          </w:tcPr>
          <w:p>
            <w:pPr>
              <w:spacing w:after="0"/>
              <w:rPr>
                <w:sz w:val="20"/>
                <w:szCs w:val="20"/>
                <w:color w:val="auto"/>
              </w:rPr>
            </w:pPr>
            <w:r>
              <w:rPr>
                <w:rFonts w:ascii="Arial" w:cs="Arial" w:eastAsia="Arial" w:hAnsi="Arial"/>
                <w:sz w:val="20"/>
                <w:szCs w:val="20"/>
                <w:b w:val="1"/>
                <w:bCs w:val="1"/>
                <w:color w:val="auto"/>
                <w:w w:val="92"/>
              </w:rPr>
              <w:t>Amendments in Writing</w:t>
            </w:r>
            <w:r>
              <w:rPr>
                <w:rFonts w:ascii="Arial" w:cs="Arial" w:eastAsia="Arial" w:hAnsi="Arial"/>
                <w:sz w:val="20"/>
                <w:szCs w:val="20"/>
                <w:color w:val="auto"/>
                <w:w w:val="92"/>
              </w:rPr>
              <w:t>. None of the terms or provisions of this Agreement may be waived, amended,</w:t>
            </w:r>
          </w:p>
        </w:tc>
      </w:tr>
      <w:tr>
        <w:trPr>
          <w:trHeight w:val="20"/>
        </w:trPr>
        <w:tc>
          <w:tcPr>
            <w:tcW w:w="29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37"/>
        </w:trPr>
        <w:tc>
          <w:tcPr>
            <w:tcW w:w="11400" w:type="dxa"/>
            <w:vAlign w:val="bottom"/>
            <w:gridSpan w:val="6"/>
          </w:tcPr>
          <w:p>
            <w:pPr>
              <w:spacing w:after="0"/>
              <w:rPr>
                <w:sz w:val="20"/>
                <w:szCs w:val="20"/>
                <w:color w:val="auto"/>
              </w:rPr>
            </w:pPr>
            <w:r>
              <w:rPr>
                <w:rFonts w:ascii="Arial" w:cs="Arial" w:eastAsia="Arial" w:hAnsi="Arial"/>
                <w:sz w:val="20"/>
                <w:szCs w:val="20"/>
                <w:color w:val="auto"/>
              </w:rPr>
              <w:t>supplemented or otherwise modified except in accordance with Section 10.2 of the Credit Agreement.</w:t>
            </w:r>
          </w:p>
        </w:tc>
      </w:tr>
      <w:tr>
        <w:trPr>
          <w:trHeight w:val="20"/>
        </w:trPr>
        <w:tc>
          <w:tcPr>
            <w:tcW w:w="2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66"/>
        </w:trPr>
        <w:tc>
          <w:tcPr>
            <w:tcW w:w="2900" w:type="dxa"/>
            <w:vAlign w:val="bottom"/>
          </w:tcPr>
          <w:p>
            <w:pPr>
              <w:ind w:left="660"/>
              <w:spacing w:after="0"/>
              <w:rPr>
                <w:sz w:val="20"/>
                <w:szCs w:val="20"/>
                <w:color w:val="auto"/>
              </w:rPr>
            </w:pPr>
            <w:r>
              <w:rPr>
                <w:rFonts w:ascii="Arial" w:cs="Arial" w:eastAsia="Arial" w:hAnsi="Arial"/>
                <w:sz w:val="18"/>
                <w:szCs w:val="18"/>
                <w:b w:val="1"/>
                <w:bCs w:val="1"/>
                <w:color w:val="auto"/>
              </w:rPr>
              <w:t>Section 10.5</w:t>
            </w:r>
          </w:p>
        </w:tc>
        <w:tc>
          <w:tcPr>
            <w:tcW w:w="8500" w:type="dxa"/>
            <w:vAlign w:val="bottom"/>
            <w:gridSpan w:val="5"/>
          </w:tcPr>
          <w:p>
            <w:pPr>
              <w:spacing w:after="0"/>
              <w:rPr>
                <w:sz w:val="20"/>
                <w:szCs w:val="20"/>
                <w:color w:val="auto"/>
              </w:rPr>
            </w:pPr>
            <w:r>
              <w:rPr>
                <w:rFonts w:ascii="Arial" w:cs="Arial" w:eastAsia="Arial" w:hAnsi="Arial"/>
                <w:sz w:val="20"/>
                <w:szCs w:val="20"/>
                <w:b w:val="1"/>
                <w:bCs w:val="1"/>
                <w:color w:val="auto"/>
                <w:w w:val="86"/>
              </w:rPr>
              <w:t>Successors and Assigns</w:t>
            </w:r>
            <w:r>
              <w:rPr>
                <w:rFonts w:ascii="Arial" w:cs="Arial" w:eastAsia="Arial" w:hAnsi="Arial"/>
                <w:sz w:val="20"/>
                <w:szCs w:val="20"/>
                <w:color w:val="auto"/>
                <w:w w:val="86"/>
              </w:rPr>
              <w:t>. This Agreement shall be binding upon the successors and assigns of each Grantor</w:t>
            </w:r>
          </w:p>
        </w:tc>
      </w:tr>
      <w:tr>
        <w:trPr>
          <w:trHeight w:val="20"/>
        </w:trPr>
        <w:tc>
          <w:tcPr>
            <w:tcW w:w="2900" w:type="dxa"/>
            <w:vAlign w:val="bottom"/>
            <w:tcBorders>
              <w:right w:val="single" w:sz="8" w:color="auto"/>
            </w:tcBorders>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 xml:space="preserve">and shall inure to the benefit of the Administrative Agent and the other Secured Parties, the future holders of the Loans, and their respective successors and assigns;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Grantor may assign, transfer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0" w:right="239" w:bottom="1440" w:gutter="0" w:footer="0" w:header="0"/>
        </w:sectPr>
      </w:pPr>
    </w:p>
    <w:bookmarkStart w:id="192" w:name="page193"/>
    <w:bookmarkEnd w:id="192"/>
    <w:p>
      <w:pPr>
        <w:jc w:val="both"/>
        <w:ind w:right="20"/>
        <w:spacing w:after="0" w:line="289" w:lineRule="auto"/>
        <w:rPr>
          <w:sz w:val="20"/>
          <w:szCs w:val="20"/>
          <w:color w:val="auto"/>
        </w:rPr>
      </w:pPr>
      <w:r>
        <w:rPr>
          <w:rFonts w:ascii="Arial" w:cs="Arial" w:eastAsia="Arial" w:hAnsi="Arial"/>
          <w:sz w:val="20"/>
          <w:szCs w:val="20"/>
          <w:color w:val="auto"/>
        </w:rPr>
        <w:t>delegate any of its rights or Secured Obligations under this Agreement without the prior written consent of the Administrative Agent and the Lenders.</w:t>
      </w:r>
    </w:p>
    <w:p>
      <w:pPr>
        <w:spacing w:after="0" w:line="18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Any provision of this Agreement held to be invalid, illegal or unenforceable in any</w:t>
      </w:r>
      <w:r>
        <w:rPr>
          <w:rFonts w:ascii="Arial" w:cs="Arial" w:eastAsia="Arial" w:hAnsi="Arial"/>
          <w:sz w:val="18"/>
          <w:szCs w:val="18"/>
          <w:b w:val="1"/>
          <w:bCs w:val="1"/>
          <w:color w:val="auto"/>
        </w:rPr>
        <w:t xml:space="preserve"> </w:t>
      </w:r>
      <w:r>
        <w:rPr>
          <w:rFonts w:ascii="Arial" w:cs="Arial" w:eastAsia="Arial" w:hAnsi="Arial"/>
          <w:sz w:val="19"/>
          <w:szCs w:val="19"/>
          <w:color w:val="auto"/>
        </w:rPr>
        <w:t>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any number of counterparts, all of which taken</w:t>
      </w:r>
      <w:r>
        <w:rPr>
          <w:rFonts w:ascii="Arial" w:cs="Arial" w:eastAsia="Arial" w:hAnsi="Arial"/>
          <w:sz w:val="18"/>
          <w:szCs w:val="18"/>
          <w:b w:val="1"/>
          <w:bCs w:val="1"/>
          <w:color w:val="auto"/>
        </w:rPr>
        <w:t xml:space="preserve"> </w:t>
      </w:r>
      <w:r>
        <w:rPr>
          <w:rFonts w:ascii="Arial" w:cs="Arial" w:eastAsia="Arial" w:hAnsi="Arial"/>
          <w:sz w:val="19"/>
          <w:szCs w:val="19"/>
          <w:color w:val="auto"/>
        </w:rPr>
        <w:t>together shall constitute one and the same instrument, and any of the parties hereto may execute this Agreement by signing any such counterpart.</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b w:val="1"/>
          <w:bCs w:val="1"/>
          <w:color w:val="auto"/>
        </w:rPr>
        <w:t xml:space="preserve">Section 10.8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The obligations of the parties under</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Section 10.3</w:t>
      </w:r>
      <w:r>
        <w:rPr>
          <w:rFonts w:ascii="Arial" w:cs="Arial" w:eastAsia="Arial" w:hAnsi="Arial"/>
          <w:sz w:val="18"/>
          <w:szCs w:val="18"/>
          <w:b w:val="1"/>
          <w:bCs w:val="1"/>
          <w:color w:val="auto"/>
        </w:rPr>
        <w:t xml:space="preserve"> </w:t>
      </w:r>
      <w:r>
        <w:rPr>
          <w:rFonts w:ascii="Arial" w:cs="Arial" w:eastAsia="Arial" w:hAnsi="Arial"/>
          <w:sz w:val="19"/>
          <w:szCs w:val="19"/>
          <w:color w:val="auto"/>
        </w:rPr>
        <w:t>shall survive the repayment of the Secured</w:t>
      </w:r>
      <w:r>
        <w:rPr>
          <w:rFonts w:ascii="Arial" w:cs="Arial" w:eastAsia="Arial" w:hAnsi="Arial"/>
          <w:sz w:val="18"/>
          <w:szCs w:val="18"/>
          <w:b w:val="1"/>
          <w:bCs w:val="1"/>
          <w:color w:val="auto"/>
        </w:rPr>
        <w:t xml:space="preserve"> </w:t>
      </w:r>
      <w:r>
        <w:rPr>
          <w:rFonts w:ascii="Arial" w:cs="Arial" w:eastAsia="Arial" w:hAnsi="Arial"/>
          <w:sz w:val="19"/>
          <w:szCs w:val="19"/>
          <w:color w:val="auto"/>
        </w:rPr>
        <w:t>Obligations and the termination of the Credit Agreement, the Letters of Credit (or the Cash Collateralization thereof in accordance with the terms of the Credit Agreement), the Commitments, the Hedging Obligations and the Bank Product Obligations. To the extent that any payments on the Secured Obligations or proceeds of any Collateral are subsequently invalidated, declared to be fraudulent or preferential, set aside or required to be repaid to a trustee, debtor in possession, receiver or other Person under any bankruptcy law, common law or equitable cause, then, to such extent, the Secured Obligations so satisfied shall be revived and continue as if such payment or proceeds had not been received and the Administrative Agent’s and the other Secured Parties’ Liens, security interests, rights, powers and remedies under this Agreement and each other applicable Collateral Document shall continue in full force and effect. In such event, each applicable Collateral Document shall be automatically reinstated and each Grantor shall take such action as may be reasonably requested by the Administrative Agent and the other Secured Parties to effect such reinstatement.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ind w:left="660"/>
              <w:spacing w:after="0"/>
              <w:rPr>
                <w:sz w:val="20"/>
                <w:szCs w:val="20"/>
                <w:color w:val="auto"/>
              </w:rPr>
            </w:pPr>
            <w:r>
              <w:rPr>
                <w:rFonts w:ascii="Arial" w:cs="Arial" w:eastAsia="Arial" w:hAnsi="Arial"/>
                <w:sz w:val="18"/>
                <w:szCs w:val="18"/>
                <w:b w:val="1"/>
                <w:bCs w:val="1"/>
                <w:color w:val="auto"/>
              </w:rPr>
              <w:t>Section 10.9</w:t>
            </w:r>
          </w:p>
        </w:tc>
        <w:tc>
          <w:tcPr>
            <w:tcW w:w="8540" w:type="dxa"/>
            <w:vAlign w:val="bottom"/>
            <w:gridSpan w:val="4"/>
          </w:tcPr>
          <w:p>
            <w:pPr>
              <w:spacing w:after="0"/>
              <w:rPr>
                <w:sz w:val="20"/>
                <w:szCs w:val="20"/>
                <w:color w:val="auto"/>
              </w:rPr>
            </w:pPr>
            <w:r>
              <w:rPr>
                <w:rFonts w:ascii="Arial" w:cs="Arial" w:eastAsia="Arial" w:hAnsi="Arial"/>
                <w:sz w:val="20"/>
                <w:szCs w:val="20"/>
                <w:b w:val="1"/>
                <w:bCs w:val="1"/>
                <w:color w:val="auto"/>
                <w:w w:val="89"/>
              </w:rPr>
              <w:t>Captions</w:t>
            </w:r>
            <w:r>
              <w:rPr>
                <w:rFonts w:ascii="Arial" w:cs="Arial" w:eastAsia="Arial" w:hAnsi="Arial"/>
                <w:sz w:val="20"/>
                <w:szCs w:val="20"/>
                <w:color w:val="auto"/>
                <w:w w:val="89"/>
              </w:rPr>
              <w:t>. Captions and section headings appearing herein are included solely for convenience of reference</w:t>
            </w:r>
          </w:p>
        </w:tc>
      </w:tr>
      <w:tr>
        <w:trPr>
          <w:trHeight w:val="20"/>
        </w:trPr>
        <w:tc>
          <w:tcPr>
            <w:tcW w:w="2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281"/>
        </w:trPr>
        <w:tc>
          <w:tcPr>
            <w:tcW w:w="11420" w:type="dxa"/>
            <w:vAlign w:val="bottom"/>
            <w:gridSpan w:val="5"/>
          </w:tcPr>
          <w:p>
            <w:pPr>
              <w:spacing w:after="0"/>
              <w:rPr>
                <w:sz w:val="20"/>
                <w:szCs w:val="20"/>
                <w:color w:val="auto"/>
              </w:rPr>
            </w:pPr>
            <w:r>
              <w:rPr>
                <w:rFonts w:ascii="Arial" w:cs="Arial" w:eastAsia="Arial" w:hAnsi="Arial"/>
                <w:sz w:val="20"/>
                <w:szCs w:val="20"/>
                <w:color w:val="auto"/>
              </w:rPr>
              <w:t>and are not intended to affect the interpretation of any provision of this Agreement.</w:t>
            </w:r>
          </w:p>
        </w:tc>
      </w:tr>
      <w:tr>
        <w:trPr>
          <w:trHeight w:val="442"/>
        </w:trPr>
        <w:tc>
          <w:tcPr>
            <w:tcW w:w="2880" w:type="dxa"/>
            <w:vAlign w:val="bottom"/>
          </w:tcPr>
          <w:p>
            <w:pPr>
              <w:ind w:left="660"/>
              <w:spacing w:after="0"/>
              <w:rPr>
                <w:sz w:val="20"/>
                <w:szCs w:val="20"/>
                <w:color w:val="auto"/>
              </w:rPr>
            </w:pPr>
            <w:r>
              <w:rPr>
                <w:rFonts w:ascii="Arial" w:cs="Arial" w:eastAsia="Arial" w:hAnsi="Arial"/>
                <w:sz w:val="18"/>
                <w:szCs w:val="18"/>
                <w:b w:val="1"/>
                <w:bCs w:val="1"/>
                <w:color w:val="auto"/>
              </w:rPr>
              <w:t>Section 10.10</w:t>
            </w:r>
          </w:p>
        </w:tc>
        <w:tc>
          <w:tcPr>
            <w:tcW w:w="80" w:type="dxa"/>
            <w:vAlign w:val="bottom"/>
          </w:tcPr>
          <w:p>
            <w:pPr>
              <w:spacing w:after="0"/>
              <w:rPr>
                <w:sz w:val="24"/>
                <w:szCs w:val="24"/>
                <w:color w:val="auto"/>
              </w:rPr>
            </w:pPr>
          </w:p>
        </w:tc>
        <w:tc>
          <w:tcPr>
            <w:tcW w:w="8460" w:type="dxa"/>
            <w:vAlign w:val="bottom"/>
            <w:gridSpan w:val="3"/>
          </w:tcPr>
          <w:p>
            <w:pPr>
              <w:spacing w:after="0"/>
              <w:rPr>
                <w:sz w:val="20"/>
                <w:szCs w:val="20"/>
                <w:color w:val="auto"/>
              </w:rPr>
            </w:pPr>
            <w:r>
              <w:rPr>
                <w:rFonts w:ascii="Arial" w:cs="Arial" w:eastAsia="Arial" w:hAnsi="Arial"/>
                <w:sz w:val="20"/>
                <w:szCs w:val="20"/>
                <w:b w:val="1"/>
                <w:bCs w:val="1"/>
                <w:color w:val="auto"/>
                <w:w w:val="89"/>
              </w:rPr>
              <w:t>No Oral Agreements</w:t>
            </w:r>
            <w:r>
              <w:rPr>
                <w:rFonts w:ascii="Arial" w:cs="Arial" w:eastAsia="Arial" w:hAnsi="Arial"/>
                <w:sz w:val="20"/>
                <w:szCs w:val="20"/>
                <w:color w:val="auto"/>
                <w:w w:val="89"/>
              </w:rPr>
              <w:t>. The Loan Documents embody the entire agreement and understanding between the</w:t>
            </w: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parties and supersede all other agreements and understandings between such parties relating to the subject matter hereof and thereof. The Loan Documents represent the final agreement between the parties and may not be contradicted by evidence of prior, contemporaneous or subsequent oral agreements of the parties. There are no unwritten oral agreements between the parties.</w:t>
      </w:r>
    </w:p>
    <w:p>
      <w:pPr>
        <w:spacing w:after="0" w:line="177"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18"/>
          <w:szCs w:val="18"/>
          <w:b w:val="1"/>
          <w:bCs w:val="1"/>
          <w:color w:val="auto"/>
        </w:rPr>
        <w:t>Section 10.11</w:t>
      </w:r>
      <w:r>
        <w:rPr>
          <w:sz w:val="20"/>
          <w:szCs w:val="20"/>
          <w:color w:val="auto"/>
        </w:rPr>
        <w:tab/>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color w:val="auto"/>
        </w:rPr>
        <w:t>.</w:t>
      </w:r>
    </w:p>
    <w:p>
      <w:pPr>
        <w:spacing w:after="0" w:line="285" w:lineRule="exact"/>
        <w:rPr>
          <w:sz w:val="20"/>
          <w:szCs w:val="20"/>
          <w:color w:val="auto"/>
        </w:rPr>
      </w:pPr>
    </w:p>
    <w:p>
      <w:pPr>
        <w:jc w:val="both"/>
        <w:ind w:firstLine="1305"/>
        <w:spacing w:after="0" w:line="273" w:lineRule="auto"/>
        <w:tabs>
          <w:tab w:leader="none" w:pos="2144" w:val="left"/>
        </w:tabs>
        <w:numPr>
          <w:ilvl w:val="0"/>
          <w:numId w:val="193"/>
        </w:numPr>
        <w:rPr>
          <w:rFonts w:ascii="Arial" w:cs="Arial" w:eastAsia="Arial" w:hAnsi="Arial"/>
          <w:sz w:val="18"/>
          <w:szCs w:val="18"/>
          <w:color w:val="auto"/>
        </w:rPr>
      </w:pPr>
      <w:r>
        <w:rPr>
          <w:rFonts w:ascii="Arial" w:cs="Arial" w:eastAsia="Arial" w:hAnsi="Arial"/>
          <w:sz w:val="20"/>
          <w:szCs w:val="20"/>
          <w:color w:val="auto"/>
        </w:rPr>
        <w:t>This Agreement and the other Loan Documents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except for Sections 5-1401 and 5-1402 of the New York General Obligations Law) of the State of New York.</w:t>
      </w:r>
    </w:p>
    <w:p>
      <w:pPr>
        <w:spacing w:after="0" w:line="204" w:lineRule="exact"/>
        <w:rPr>
          <w:rFonts w:ascii="Arial" w:cs="Arial" w:eastAsia="Arial" w:hAnsi="Arial"/>
          <w:sz w:val="18"/>
          <w:szCs w:val="18"/>
          <w:color w:val="auto"/>
        </w:rPr>
      </w:pPr>
    </w:p>
    <w:p>
      <w:pPr>
        <w:jc w:val="both"/>
        <w:ind w:firstLine="1305"/>
        <w:spacing w:after="0" w:line="286" w:lineRule="auto"/>
        <w:tabs>
          <w:tab w:leader="none" w:pos="2155" w:val="left"/>
        </w:tabs>
        <w:numPr>
          <w:ilvl w:val="0"/>
          <w:numId w:val="193"/>
        </w:numPr>
        <w:rPr>
          <w:rFonts w:ascii="Arial" w:cs="Arial" w:eastAsia="Arial" w:hAnsi="Arial"/>
          <w:sz w:val="17"/>
          <w:szCs w:val="17"/>
          <w:color w:val="auto"/>
        </w:rPr>
      </w:pPr>
      <w:r>
        <w:rPr>
          <w:rFonts w:ascii="Arial" w:cs="Arial" w:eastAsia="Arial" w:hAnsi="Arial"/>
          <w:sz w:val="19"/>
          <w:szCs w:val="19"/>
          <w:color w:val="auto"/>
        </w:rPr>
        <w:t>Each Grantor hereby irrevocably and unconditionally submits, for itself and its property, to the exclusive jurisdiction of the United States District Court for the Southern District of New York, and of the Supreme Court of the State of New York sitting in New York County,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such New York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79" w:right="239" w:bottom="1440" w:gutter="0" w:footer="0" w:header="0"/>
        </w:sectPr>
      </w:pPr>
    </w:p>
    <w:bookmarkStart w:id="193" w:name="page194"/>
    <w:bookmarkEnd w:id="193"/>
    <w:p>
      <w:pPr>
        <w:spacing w:after="0" w:line="289" w:lineRule="auto"/>
        <w:rPr>
          <w:sz w:val="20"/>
          <w:szCs w:val="20"/>
          <w:color w:val="auto"/>
        </w:rPr>
      </w:pPr>
      <w:r>
        <w:rPr>
          <w:rFonts w:ascii="Arial" w:cs="Arial" w:eastAsia="Arial" w:hAnsi="Arial"/>
          <w:sz w:val="20"/>
          <w:szCs w:val="20"/>
          <w:color w:val="auto"/>
        </w:rPr>
        <w:t>Lender may otherwise have to bring any action or proceeding relating to this Agreement or any other Loan Document against Parent, the Borrower or their respective properties in the courts of any jurisdiction.</w:t>
      </w:r>
    </w:p>
    <w:p>
      <w:pPr>
        <w:spacing w:after="0" w:line="189" w:lineRule="exact"/>
        <w:rPr>
          <w:sz w:val="20"/>
          <w:szCs w:val="20"/>
          <w:color w:val="auto"/>
        </w:rPr>
      </w:pPr>
    </w:p>
    <w:p>
      <w:pPr>
        <w:jc w:val="both"/>
        <w:ind w:firstLine="1305"/>
        <w:spacing w:after="0" w:line="274" w:lineRule="auto"/>
        <w:tabs>
          <w:tab w:leader="none" w:pos="2144" w:val="left"/>
        </w:tabs>
        <w:numPr>
          <w:ilvl w:val="0"/>
          <w:numId w:val="194"/>
        </w:numPr>
        <w:rPr>
          <w:rFonts w:ascii="Arial" w:cs="Arial" w:eastAsia="Arial" w:hAnsi="Arial"/>
          <w:sz w:val="18"/>
          <w:szCs w:val="18"/>
          <w:color w:val="auto"/>
        </w:rPr>
      </w:pPr>
      <w:r>
        <w:rPr>
          <w:rFonts w:ascii="Arial" w:cs="Arial" w:eastAsia="Arial" w:hAnsi="Arial"/>
          <w:sz w:val="20"/>
          <w:szCs w:val="20"/>
          <w:color w:val="auto"/>
        </w:rPr>
        <w:t>Each Grantor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pacing w:after="0" w:line="205" w:lineRule="exact"/>
        <w:rPr>
          <w:rFonts w:ascii="Arial" w:cs="Arial" w:eastAsia="Arial" w:hAnsi="Arial"/>
          <w:sz w:val="18"/>
          <w:szCs w:val="18"/>
          <w:color w:val="auto"/>
        </w:rPr>
      </w:pPr>
    </w:p>
    <w:p>
      <w:pPr>
        <w:jc w:val="both"/>
        <w:ind w:right="20" w:firstLine="1305"/>
        <w:spacing w:after="0" w:line="278" w:lineRule="auto"/>
        <w:tabs>
          <w:tab w:leader="none" w:pos="2155" w:val="left"/>
        </w:tabs>
        <w:numPr>
          <w:ilvl w:val="0"/>
          <w:numId w:val="194"/>
        </w:numPr>
        <w:rPr>
          <w:rFonts w:ascii="Arial" w:cs="Arial" w:eastAsia="Arial" w:hAnsi="Arial"/>
          <w:sz w:val="18"/>
          <w:szCs w:val="18"/>
          <w:color w:val="auto"/>
        </w:rPr>
      </w:pPr>
      <w:r>
        <w:rPr>
          <w:rFonts w:ascii="Arial" w:cs="Arial" w:eastAsia="Arial" w:hAnsi="Arial"/>
          <w:sz w:val="20"/>
          <w:szCs w:val="20"/>
          <w:color w:val="auto"/>
        </w:rPr>
        <w:t xml:space="preserve">Each party to this Agreement irrevocably consents to the service of process in the manner provided for notices in </w:t>
      </w:r>
      <w:r>
        <w:rPr>
          <w:rFonts w:ascii="Arial" w:cs="Arial" w:eastAsia="Arial" w:hAnsi="Arial"/>
          <w:sz w:val="20"/>
          <w:szCs w:val="20"/>
          <w:u w:val="single" w:color="auto"/>
          <w:color w:val="auto"/>
        </w:rPr>
        <w:t>Section 10.2</w:t>
      </w:r>
      <w:r>
        <w:rPr>
          <w:rFonts w:ascii="Arial" w:cs="Arial" w:eastAsia="Arial" w:hAnsi="Arial"/>
          <w:sz w:val="20"/>
          <w:szCs w:val="20"/>
          <w:color w:val="auto"/>
        </w:rPr>
        <w:t>. Nothing in this Agreement or in any other Loan Document will affect the right of any party hereto to serve process in any other manner permitted by law.</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 xml:space="preserve">Section 10.12 </w:t>
      </w: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EACH PARTY HERETO IRREVOCABLY WAIVES, TO THE FULLEST</w:t>
      </w:r>
      <w:r>
        <w:rPr>
          <w:rFonts w:ascii="Arial" w:cs="Arial" w:eastAsia="Arial" w:hAnsi="Arial"/>
          <w:sz w:val="18"/>
          <w:szCs w:val="18"/>
          <w:b w:val="1"/>
          <w:bCs w:val="1"/>
          <w:color w:val="auto"/>
        </w:rPr>
        <w:t xml:space="preserve"> </w:t>
      </w:r>
      <w:r>
        <w:rPr>
          <w:rFonts w:ascii="Arial" w:cs="Arial" w:eastAsia="Arial" w:hAnsi="Arial"/>
          <w:sz w:val="19"/>
          <w:szCs w:val="19"/>
          <w:color w:val="auto"/>
        </w:rPr>
        <w:t>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8"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18"/>
          <w:szCs w:val="18"/>
          <w:b w:val="1"/>
          <w:bCs w:val="1"/>
          <w:color w:val="auto"/>
        </w:rPr>
        <w:t>Section 10.13</w:t>
      </w:r>
      <w:r>
        <w:rPr>
          <w:sz w:val="20"/>
          <w:szCs w:val="20"/>
          <w:color w:val="auto"/>
        </w:rPr>
        <w:tab/>
      </w:r>
      <w:r>
        <w:rPr>
          <w:rFonts w:ascii="Arial" w:cs="Arial" w:eastAsia="Arial" w:hAnsi="Arial"/>
          <w:sz w:val="16"/>
          <w:szCs w:val="16"/>
          <w:b w:val="1"/>
          <w:bCs w:val="1"/>
          <w:u w:val="single" w:color="auto"/>
          <w:color w:val="auto"/>
        </w:rPr>
        <w:t>Acknowledgments</w:t>
      </w:r>
      <w:r>
        <w:rPr>
          <w:rFonts w:ascii="Arial" w:cs="Arial" w:eastAsia="Arial" w:hAnsi="Arial"/>
          <w:sz w:val="16"/>
          <w:szCs w:val="16"/>
          <w:color w:val="auto"/>
        </w:rPr>
        <w:t>.</w:t>
      </w:r>
    </w:p>
    <w:p>
      <w:pPr>
        <w:spacing w:after="0" w:line="285" w:lineRule="exact"/>
        <w:rPr>
          <w:sz w:val="20"/>
          <w:szCs w:val="20"/>
          <w:color w:val="auto"/>
        </w:rPr>
      </w:pPr>
    </w:p>
    <w:p>
      <w:pPr>
        <w:ind w:left="2160" w:hanging="855"/>
        <w:spacing w:after="0"/>
        <w:tabs>
          <w:tab w:leader="none" w:pos="2160" w:val="left"/>
        </w:tabs>
        <w:numPr>
          <w:ilvl w:val="0"/>
          <w:numId w:val="195"/>
        </w:numPr>
        <w:rPr>
          <w:rFonts w:ascii="Arial" w:cs="Arial" w:eastAsia="Arial" w:hAnsi="Arial"/>
          <w:sz w:val="18"/>
          <w:szCs w:val="18"/>
          <w:color w:val="auto"/>
        </w:rPr>
      </w:pPr>
      <w:r>
        <w:rPr>
          <w:rFonts w:ascii="Arial" w:cs="Arial" w:eastAsia="Arial" w:hAnsi="Arial"/>
          <w:sz w:val="20"/>
          <w:szCs w:val="20"/>
          <w:color w:val="auto"/>
        </w:rPr>
        <w:t>Each Grantor hereby acknowledges that:</w:t>
      </w:r>
    </w:p>
    <w:p>
      <w:pPr>
        <w:spacing w:after="0" w:line="256" w:lineRule="exact"/>
        <w:rPr>
          <w:rFonts w:ascii="Arial" w:cs="Arial" w:eastAsia="Arial" w:hAnsi="Arial"/>
          <w:sz w:val="18"/>
          <w:szCs w:val="18"/>
          <w:color w:val="auto"/>
        </w:rPr>
      </w:pPr>
    </w:p>
    <w:p>
      <w:pPr>
        <w:ind w:left="660" w:right="20" w:firstLine="1293"/>
        <w:spacing w:after="0" w:line="289" w:lineRule="auto"/>
        <w:tabs>
          <w:tab w:leader="none" w:pos="2775" w:val="left"/>
        </w:tabs>
        <w:numPr>
          <w:ilvl w:val="1"/>
          <w:numId w:val="195"/>
        </w:numPr>
        <w:rPr>
          <w:rFonts w:ascii="Arial" w:cs="Arial" w:eastAsia="Arial" w:hAnsi="Arial"/>
          <w:sz w:val="18"/>
          <w:szCs w:val="18"/>
          <w:color w:val="auto"/>
        </w:rPr>
      </w:pPr>
      <w:r>
        <w:rPr>
          <w:rFonts w:ascii="Arial" w:cs="Arial" w:eastAsia="Arial" w:hAnsi="Arial"/>
          <w:sz w:val="20"/>
          <w:szCs w:val="20"/>
          <w:color w:val="auto"/>
        </w:rPr>
        <w:t>it has been advised by counsel in the negotiation, execution and delivery of this Agreement and the other Loan Documents to which it is a party;</w:t>
      </w:r>
    </w:p>
    <w:p>
      <w:pPr>
        <w:spacing w:after="0" w:line="188" w:lineRule="exact"/>
        <w:rPr>
          <w:rFonts w:ascii="Arial" w:cs="Arial" w:eastAsia="Arial" w:hAnsi="Arial"/>
          <w:sz w:val="18"/>
          <w:szCs w:val="18"/>
          <w:color w:val="auto"/>
        </w:rPr>
      </w:pPr>
    </w:p>
    <w:p>
      <w:pPr>
        <w:jc w:val="both"/>
        <w:ind w:left="660" w:firstLine="1293"/>
        <w:spacing w:after="0" w:line="274" w:lineRule="auto"/>
        <w:tabs>
          <w:tab w:leader="none" w:pos="2825" w:val="left"/>
        </w:tabs>
        <w:numPr>
          <w:ilvl w:val="1"/>
          <w:numId w:val="195"/>
        </w:numPr>
        <w:rPr>
          <w:rFonts w:ascii="Arial" w:cs="Arial" w:eastAsia="Arial" w:hAnsi="Arial"/>
          <w:sz w:val="18"/>
          <w:szCs w:val="18"/>
          <w:color w:val="auto"/>
        </w:rPr>
      </w:pPr>
      <w:r>
        <w:rPr>
          <w:rFonts w:ascii="Arial" w:cs="Arial" w:eastAsia="Arial" w:hAnsi="Arial"/>
          <w:sz w:val="20"/>
          <w:szCs w:val="20"/>
          <w:color w:val="auto"/>
        </w:rPr>
        <w:t>neither the Administrative Agent nor any other Secured Party has any fiduciary relationship with or duty to any Grantor arising out of or in connection with this Agreement or any of the other Loan Documents, and the relationship between the Grantors, on the one hand, and the Administrative Agent and the other Secured Parties, on the other hand, in connection herewith or therewith is solely that of debtor and creditor; and</w:t>
      </w:r>
    </w:p>
    <w:p>
      <w:pPr>
        <w:spacing w:after="0" w:line="205" w:lineRule="exact"/>
        <w:rPr>
          <w:rFonts w:ascii="Arial" w:cs="Arial" w:eastAsia="Arial" w:hAnsi="Arial"/>
          <w:sz w:val="18"/>
          <w:szCs w:val="18"/>
          <w:color w:val="auto"/>
        </w:rPr>
      </w:pPr>
    </w:p>
    <w:p>
      <w:pPr>
        <w:ind w:left="660" w:firstLine="1293"/>
        <w:spacing w:after="0" w:line="289" w:lineRule="auto"/>
        <w:tabs>
          <w:tab w:leader="none" w:pos="2875" w:val="left"/>
        </w:tabs>
        <w:numPr>
          <w:ilvl w:val="1"/>
          <w:numId w:val="195"/>
        </w:numPr>
        <w:rPr>
          <w:rFonts w:ascii="Arial" w:cs="Arial" w:eastAsia="Arial" w:hAnsi="Arial"/>
          <w:sz w:val="18"/>
          <w:szCs w:val="18"/>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Secured Parties or among the Grantors and the Lenders.</w:t>
      </w:r>
    </w:p>
    <w:p>
      <w:pPr>
        <w:spacing w:after="0" w:line="188" w:lineRule="exact"/>
        <w:rPr>
          <w:rFonts w:ascii="Arial" w:cs="Arial" w:eastAsia="Arial" w:hAnsi="Arial"/>
          <w:sz w:val="18"/>
          <w:szCs w:val="18"/>
          <w:color w:val="auto"/>
        </w:rPr>
      </w:pPr>
    </w:p>
    <w:p>
      <w:pPr>
        <w:jc w:val="both"/>
        <w:ind w:firstLine="1305"/>
        <w:spacing w:after="0" w:line="285" w:lineRule="auto"/>
        <w:tabs>
          <w:tab w:leader="none" w:pos="2155" w:val="left"/>
        </w:tabs>
        <w:numPr>
          <w:ilvl w:val="0"/>
          <w:numId w:val="195"/>
        </w:numPr>
        <w:rPr>
          <w:rFonts w:ascii="Arial" w:cs="Arial" w:eastAsia="Arial" w:hAnsi="Arial"/>
          <w:sz w:val="17"/>
          <w:szCs w:val="17"/>
          <w:color w:val="auto"/>
        </w:rPr>
      </w:pPr>
      <w:r>
        <w:rPr>
          <w:rFonts w:ascii="Arial" w:cs="Arial" w:eastAsia="Arial" w:hAnsi="Arial"/>
          <w:sz w:val="19"/>
          <w:szCs w:val="19"/>
          <w:color w:val="auto"/>
        </w:rPr>
        <w:t>Each of the parties hereto specifically agrees that it has a duty to read this Agreement and the other Loan Documents to which it is a party and agrees that it is charged with notice and knowledge of the terms of this Agreement and the other Loan Documents to which it is a party; that it has in fact read this Agreement and the other Loan Documents to which it is a party and is fully informed and has full notice and knowledge of the terms, conditions and effects of this Agreement and the other Loan Documents to which it is a party; that it has been represented by independent legal counsel of its choice throughout the negotiations preceding its execution of this Agreement and the other Loan Documents to which it is party; and has received the advice of its attorney in entering into this Agreement and the other Loan Documents to which it is a party; and that it recognizes that certain of the terms of this Agreement and other Loan Documents to which it is a party result in one party assuming the liability inherent in some aspects of the transaction and relieving the other party of its responsibility for such liability. Each Grantor agrees and covenants that it will not contest the validity or enforceability of any exculpatory provision of this Agreement or the other Loan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0" w:right="239" w:bottom="1440" w:gutter="0" w:footer="0" w:header="0"/>
        </w:sectPr>
      </w:pPr>
    </w:p>
    <w:bookmarkStart w:id="194" w:name="page195"/>
    <w:bookmarkEnd w:id="194"/>
    <w:p>
      <w:pPr>
        <w:spacing w:after="0" w:line="289" w:lineRule="auto"/>
        <w:rPr>
          <w:sz w:val="20"/>
          <w:szCs w:val="20"/>
          <w:color w:val="auto"/>
        </w:rPr>
      </w:pPr>
      <w:r>
        <w:rPr>
          <w:rFonts w:ascii="Arial" w:cs="Arial" w:eastAsia="Arial" w:hAnsi="Arial"/>
          <w:sz w:val="20"/>
          <w:szCs w:val="20"/>
          <w:color w:val="auto"/>
        </w:rPr>
        <w:t>Documents to which it is a party on the basis that such Grantor had no notice or knowledge of such provision or that the provision is not “conspicuous”.</w:t>
      </w:r>
    </w:p>
    <w:p>
      <w:pPr>
        <w:spacing w:after="0" w:line="189" w:lineRule="exact"/>
        <w:rPr>
          <w:sz w:val="20"/>
          <w:szCs w:val="20"/>
          <w:color w:val="auto"/>
        </w:rPr>
      </w:pPr>
    </w:p>
    <w:p>
      <w:pPr>
        <w:jc w:val="both"/>
        <w:ind w:firstLine="1305"/>
        <w:spacing w:after="0" w:line="271" w:lineRule="auto"/>
        <w:tabs>
          <w:tab w:leader="none" w:pos="2144" w:val="left"/>
        </w:tabs>
        <w:numPr>
          <w:ilvl w:val="0"/>
          <w:numId w:val="196"/>
        </w:numPr>
        <w:rPr>
          <w:rFonts w:ascii="Arial" w:cs="Arial" w:eastAsia="Arial" w:hAnsi="Arial"/>
          <w:sz w:val="18"/>
          <w:szCs w:val="18"/>
          <w:color w:val="auto"/>
        </w:rPr>
      </w:pPr>
      <w:r>
        <w:rPr>
          <w:rFonts w:ascii="Arial" w:cs="Arial" w:eastAsia="Arial" w:hAnsi="Arial"/>
          <w:sz w:val="20"/>
          <w:szCs w:val="20"/>
          <w:color w:val="auto"/>
        </w:rPr>
        <w:t>Each Grantor warrants and agrees that each of the waivers and consents set forth in this Agreement are made voluntarily and unconditionally after consultation with outside legal counsel and with full knowledge of their significance and consequences, with the understanding that events giving rise to any defense or right waived may diminish, destroy or otherwise adversely affect rights which such Grantor otherwise may have against any other Grantor, the Administrative Agent, the other Secured Parties or any other Person or against any Collateral. If, notwithstanding the intent of the parties that the terms of this Agreement shall control in any and all circumstances, any such waivers or consents are determined to be unenforceable under applicable law, such waivers and consents shall be effective to the maximum extent permitted by law.</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10.14 </w:t>
      </w:r>
      <w:r>
        <w:rPr>
          <w:rFonts w:ascii="Arial" w:cs="Arial" w:eastAsia="Arial" w:hAnsi="Arial"/>
          <w:sz w:val="19"/>
          <w:szCs w:val="19"/>
          <w:b w:val="1"/>
          <w:bCs w:val="1"/>
          <w:u w:val="single" w:color="auto"/>
          <w:color w:val="auto"/>
        </w:rPr>
        <w:t>Additional Grantors</w:t>
      </w:r>
      <w:r>
        <w:rPr>
          <w:rFonts w:ascii="Arial" w:cs="Arial" w:eastAsia="Arial" w:hAnsi="Arial"/>
          <w:sz w:val="19"/>
          <w:szCs w:val="19"/>
          <w:color w:val="auto"/>
        </w:rPr>
        <w:t>. Each Person that is required to become a party to this Agreement pursuant to</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of the Credit Agreement and is not a signatory hereto shall become a Grantor for all purposes of this Agreement upon execution and delivery by such Person of an Assumption Agreement in the form of </w:t>
      </w:r>
      <w:r>
        <w:rPr>
          <w:rFonts w:ascii="Arial" w:cs="Arial" w:eastAsia="Arial" w:hAnsi="Arial"/>
          <w:sz w:val="19"/>
          <w:szCs w:val="19"/>
          <w:u w:val="single" w:color="auto"/>
          <w:color w:val="auto"/>
        </w:rPr>
        <w:t>Annex I</w:t>
      </w:r>
      <w:r>
        <w:rPr>
          <w:rFonts w:ascii="Arial" w:cs="Arial" w:eastAsia="Arial" w:hAnsi="Arial"/>
          <w:sz w:val="19"/>
          <w:szCs w:val="19"/>
          <w:color w:val="auto"/>
        </w:rPr>
        <w: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b w:val="1"/>
          <w:bCs w:val="1"/>
          <w:color w:val="auto"/>
        </w:rPr>
        <w:t xml:space="preserve">Section 10.15 </w:t>
      </w:r>
      <w:r>
        <w:rPr>
          <w:rFonts w:ascii="Arial" w:cs="Arial" w:eastAsia="Arial" w:hAnsi="Arial"/>
          <w:sz w:val="19"/>
          <w:szCs w:val="19"/>
          <w:b w:val="1"/>
          <w:bCs w:val="1"/>
          <w:u w:val="single" w:color="auto"/>
          <w:color w:val="auto"/>
        </w:rPr>
        <w:t>Set-Off</w:t>
      </w:r>
      <w:r>
        <w:rPr>
          <w:rFonts w:ascii="Arial" w:cs="Arial" w:eastAsia="Arial" w:hAnsi="Arial"/>
          <w:sz w:val="19"/>
          <w:szCs w:val="19"/>
          <w:color w:val="auto"/>
        </w:rPr>
        <w:t>. Each Grantor agrees that, in addition to (and without limitation of) any right of set-off, bankers’</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lien or counterclaim a Secured Party may otherwise have, each Secured Party shall have the right and be entitled (after consultation with the Administrative Agent), at its option, to offset (i) balances held by it or by any of its Affiliates for account of any Grantor or any of its Subsidiaries at any of its offices, in dollars or in any other currency, and (ii) Obligations then due and payable to such Secured Party (or any Affiliate of such Secured Party), which are not paid when due, in which case it shall promptly notify the Borrower and the Administrative Agent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Secured Party’s failure to give such notice shall not affect the validity thereof.</w:t>
      </w:r>
    </w:p>
    <w:p>
      <w:pPr>
        <w:spacing w:after="0" w:line="185"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18"/>
          <w:szCs w:val="18"/>
          <w:b w:val="1"/>
          <w:bCs w:val="1"/>
          <w:color w:val="auto"/>
        </w:rPr>
        <w:t>Section 10.16</w:t>
      </w:r>
      <w:r>
        <w:rPr>
          <w:sz w:val="20"/>
          <w:szCs w:val="20"/>
          <w:color w:val="auto"/>
        </w:rPr>
        <w:tab/>
      </w:r>
      <w:r>
        <w:rPr>
          <w:rFonts w:ascii="Arial" w:cs="Arial" w:eastAsia="Arial" w:hAnsi="Arial"/>
          <w:sz w:val="16"/>
          <w:szCs w:val="16"/>
          <w:b w:val="1"/>
          <w:bCs w:val="1"/>
          <w:u w:val="single" w:color="auto"/>
          <w:color w:val="auto"/>
        </w:rPr>
        <w:t>Releases</w:t>
      </w:r>
      <w:r>
        <w:rPr>
          <w:rFonts w:ascii="Arial" w:cs="Arial" w:eastAsia="Arial" w:hAnsi="Arial"/>
          <w:sz w:val="16"/>
          <w:szCs w:val="16"/>
          <w:color w:val="auto"/>
        </w:rPr>
        <w:t>.</w:t>
      </w:r>
    </w:p>
    <w:p>
      <w:pPr>
        <w:spacing w:after="0" w:line="285" w:lineRule="exact"/>
        <w:rPr>
          <w:sz w:val="20"/>
          <w:szCs w:val="20"/>
          <w:color w:val="auto"/>
        </w:rPr>
      </w:pPr>
    </w:p>
    <w:p>
      <w:pPr>
        <w:jc w:val="both"/>
        <w:ind w:firstLine="1305"/>
        <w:spacing w:after="0" w:line="270" w:lineRule="auto"/>
        <w:tabs>
          <w:tab w:leader="none" w:pos="2144" w:val="left"/>
        </w:tabs>
        <w:numPr>
          <w:ilvl w:val="0"/>
          <w:numId w:val="197"/>
        </w:numPr>
        <w:rPr>
          <w:rFonts w:ascii="Arial" w:cs="Arial" w:eastAsia="Arial" w:hAnsi="Arial"/>
          <w:sz w:val="18"/>
          <w:szCs w:val="18"/>
          <w:color w:val="auto"/>
        </w:rPr>
      </w:pPr>
      <w:r>
        <w:rPr>
          <w:rFonts w:ascii="Arial" w:cs="Arial" w:eastAsia="Arial" w:hAnsi="Arial"/>
          <w:sz w:val="20"/>
          <w:szCs w:val="20"/>
          <w:u w:val="single" w:color="auto"/>
          <w:color w:val="auto"/>
        </w:rPr>
        <w:t>Release Upon Payment in Full</w:t>
      </w:r>
      <w:r>
        <w:rPr>
          <w:rFonts w:ascii="Arial" w:cs="Arial" w:eastAsia="Arial" w:hAnsi="Arial"/>
          <w:sz w:val="20"/>
          <w:szCs w:val="20"/>
          <w:color w:val="auto"/>
        </w:rPr>
        <w:t>. The grant of the security interest hereunder and all of the rights, powers and remedies in connection herewith shall remain in full force and effect until the payment in full in cash of the Secured Obligations and the termination of the Credit Agreement, the Letters of Credit (or the Cash Collateralization thereof in accordance with the terms of the Credit Agreement) and all Commitments. Upon the payment in full in cash of the Secured Obligations and the termination of the Credit Agreement, the Letters of Credit (or the Cash Collateralization thereof in accordance with the terms of the Credit Agreement) and all Commitments, the Administrative Agent, at the written request and expense of the Borrower, will promptly release, reassign and transfer the Collateral to the Grantors, without recourse, representation, warranty or other assurance of any kind, and declare this Agreement to be of no further force or effect.</w:t>
      </w:r>
    </w:p>
    <w:p>
      <w:pPr>
        <w:spacing w:after="0" w:line="212" w:lineRule="exact"/>
        <w:rPr>
          <w:rFonts w:ascii="Arial" w:cs="Arial" w:eastAsia="Arial" w:hAnsi="Arial"/>
          <w:sz w:val="18"/>
          <w:szCs w:val="18"/>
          <w:color w:val="auto"/>
        </w:rPr>
      </w:pPr>
    </w:p>
    <w:p>
      <w:pPr>
        <w:jc w:val="both"/>
        <w:ind w:firstLine="1305"/>
        <w:spacing w:after="0" w:line="285" w:lineRule="auto"/>
        <w:tabs>
          <w:tab w:leader="none" w:pos="2155" w:val="left"/>
        </w:tabs>
        <w:numPr>
          <w:ilvl w:val="0"/>
          <w:numId w:val="197"/>
        </w:numPr>
        <w:rPr>
          <w:rFonts w:ascii="Arial" w:cs="Arial" w:eastAsia="Arial" w:hAnsi="Arial"/>
          <w:sz w:val="17"/>
          <w:szCs w:val="17"/>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If any of the Collateral shall be sold, transferred or otherwise disposed of by any Grantor in a transaction permitted by the Credit Agreement, then the Administrative Agent, at the request and sole expense of such Grantor, shall promptly execute and deliver to such Grantor all releases or other documents reasonably necessary for the release of the Liens created hereby on such Collateral and the Capital Stock of such Grantor, made without recourse, representation, warranty or other assurance of any kind. At the request and sole expense of the Borrower, a Grantor shall be released from its obligations hereunder in the event that all the Capital Stock of such Grantor shall be sold, transferred or otherwise disposed of in a transaction expressly permitted by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have delivered to the Administrative Agent, at least 10 Business Days (or such shorter period of time as the Administrative Agent may agree in writing in its sole discretion) prior to the date of the proposed release, a written request for release identifying the relevant Grantor and the terms of the sale or other disposition in reasonable detail, including the price thereof and any expenses in connection therewith, together with a certification by the Borrower stating that such transaction is in compliance with the Credit Agreement and the other Loan Documents.</w:t>
      </w:r>
    </w:p>
    <w:p>
      <w:pPr>
        <w:spacing w:after="0" w:line="198" w:lineRule="exact"/>
        <w:rPr>
          <w:rFonts w:ascii="Arial" w:cs="Arial" w:eastAsia="Arial" w:hAnsi="Arial"/>
          <w:sz w:val="17"/>
          <w:szCs w:val="17"/>
          <w:color w:val="auto"/>
        </w:rPr>
      </w:pPr>
    </w:p>
    <w:p>
      <w:pPr>
        <w:jc w:val="both"/>
        <w:ind w:firstLine="1305"/>
        <w:spacing w:after="0" w:line="278" w:lineRule="auto"/>
        <w:tabs>
          <w:tab w:leader="none" w:pos="2144" w:val="left"/>
        </w:tabs>
        <w:numPr>
          <w:ilvl w:val="0"/>
          <w:numId w:val="197"/>
        </w:numPr>
        <w:rPr>
          <w:rFonts w:ascii="Arial" w:cs="Arial" w:eastAsia="Arial" w:hAnsi="Arial"/>
          <w:sz w:val="18"/>
          <w:szCs w:val="18"/>
          <w:color w:val="auto"/>
        </w:rPr>
      </w:pPr>
      <w:r>
        <w:rPr>
          <w:rFonts w:ascii="Arial" w:cs="Arial" w:eastAsia="Arial" w:hAnsi="Arial"/>
          <w:sz w:val="20"/>
          <w:szCs w:val="20"/>
          <w:u w:val="single" w:color="auto"/>
          <w:color w:val="auto"/>
        </w:rPr>
        <w:t>Retention in Satisfaction</w:t>
      </w:r>
      <w:r>
        <w:rPr>
          <w:rFonts w:ascii="Arial" w:cs="Arial" w:eastAsia="Arial" w:hAnsi="Arial"/>
          <w:sz w:val="20"/>
          <w:szCs w:val="20"/>
          <w:color w:val="auto"/>
        </w:rPr>
        <w:t>. Except as may be expressly applicable pursuant to Section 9-620 of the UCC, no action taken or omission to act by the Administrative Agent or the other Secured Parties hereunder, including, without limitation, any exercise of voting or consensual rights or any other action taken or inaction, shall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9" w:right="239" w:bottom="1440" w:gutter="0" w:footer="0" w:header="0"/>
        </w:sectPr>
      </w:pPr>
    </w:p>
    <w:bookmarkStart w:id="195" w:name="page196"/>
    <w:bookmarkEnd w:id="195"/>
    <w:p>
      <w:pPr>
        <w:jc w:val="both"/>
        <w:spacing w:after="0" w:line="293" w:lineRule="auto"/>
        <w:rPr>
          <w:sz w:val="20"/>
          <w:szCs w:val="20"/>
          <w:color w:val="auto"/>
        </w:rPr>
      </w:pPr>
      <w:r>
        <w:rPr>
          <w:rFonts w:ascii="Arial" w:cs="Arial" w:eastAsia="Arial" w:hAnsi="Arial"/>
          <w:sz w:val="19"/>
          <w:szCs w:val="19"/>
          <w:color w:val="auto"/>
        </w:rPr>
        <w:t>be deemed to constitute a retention of the Collateral in satisfaction of the Secured Obligations or otherwise to be in full satisfaction of the Secured Obligations, and the Secured Obligations shall remain in full force and effect, until the Administrative Agent and the other Secured Parties shall have applied payments (including, without limitation, collections from Collateral) towards the Secured Obligations in the full amount then outstanding or until such subsequent time as is provided in subsection (a) of this Section.</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b w:val="1"/>
          <w:bCs w:val="1"/>
          <w:color w:val="auto"/>
        </w:rPr>
        <w:t xml:space="preserve">Section 10.17 </w:t>
      </w:r>
      <w:r>
        <w:rPr>
          <w:rFonts w:ascii="Arial" w:cs="Arial" w:eastAsia="Arial" w:hAnsi="Arial"/>
          <w:sz w:val="19"/>
          <w:szCs w:val="19"/>
          <w:b w:val="1"/>
          <w:bCs w:val="1"/>
          <w:u w:val="single" w:color="auto"/>
          <w:color w:val="auto"/>
        </w:rPr>
        <w:t>Reinstatement</w:t>
      </w:r>
      <w:r>
        <w:rPr>
          <w:rFonts w:ascii="Arial" w:cs="Arial" w:eastAsia="Arial" w:hAnsi="Arial"/>
          <w:sz w:val="19"/>
          <w:szCs w:val="19"/>
          <w:color w:val="auto"/>
        </w:rPr>
        <w:t>. The obligations of each Grantor under this Agreement (including, without limitation, with</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respect to the guarantee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the provision of collateral herein)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Parent, the Borrower or any other Grantor, or upon or as a result of the appointment of a receiver, intervenor or conservator of, or trustee or similar officer for, Parent, the Borrower or any other Grantor or any substantial part of its property, or otherwise, all as though such payments had not been made.</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10.18 </w:t>
      </w:r>
      <w:r>
        <w:rPr>
          <w:rFonts w:ascii="Arial" w:cs="Arial" w:eastAsia="Arial" w:hAnsi="Arial"/>
          <w:sz w:val="19"/>
          <w:szCs w:val="19"/>
          <w:b w:val="1"/>
          <w:bCs w:val="1"/>
          <w:u w:val="single" w:color="auto"/>
          <w:color w:val="auto"/>
        </w:rPr>
        <w:t>Acceptance</w:t>
      </w:r>
      <w:r>
        <w:rPr>
          <w:rFonts w:ascii="Arial" w:cs="Arial" w:eastAsia="Arial" w:hAnsi="Arial"/>
          <w:sz w:val="19"/>
          <w:szCs w:val="19"/>
          <w:color w:val="auto"/>
        </w:rPr>
        <w:t>. Each Grantor hereby expressly waives notice of acceptance of this Agreement, acceptance</w:t>
      </w:r>
      <w:r>
        <w:rPr>
          <w:rFonts w:ascii="Arial" w:cs="Arial" w:eastAsia="Arial" w:hAnsi="Arial"/>
          <w:sz w:val="18"/>
          <w:szCs w:val="18"/>
          <w:b w:val="1"/>
          <w:bCs w:val="1"/>
          <w:color w:val="auto"/>
        </w:rPr>
        <w:t xml:space="preserve"> </w:t>
      </w:r>
      <w:r>
        <w:rPr>
          <w:rFonts w:ascii="Arial" w:cs="Arial" w:eastAsia="Arial" w:hAnsi="Arial"/>
          <w:sz w:val="19"/>
          <w:szCs w:val="19"/>
          <w:color w:val="auto"/>
        </w:rPr>
        <w:t>on the part of the Administrative Agent and the other Secured Parties being conclusively presumed by their request for this Agreement and delivery of the same to the Administrative Agent.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KEEPWELL</w:t>
      </w:r>
    </w:p>
    <w:p>
      <w:pPr>
        <w:spacing w:after="0" w:line="23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 xml:space="preserve">Each Qualified ECP Guarantor hereby jointly and severally absolutely, unconditionally and irrevocably undertakes to provide such funds or other support as may be needed from time to time by each other Loan Party to honor all of its obligations under this Agreement in respect of Swap Obligations (provided, however, that each Qualified ECP Guarantor shall only be liable under this Article XI for the maximum amount of such liability that can be hereby incurred without rendering its obligations under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or otherwise under this Agreement, voidable under applicable law relating to fraudulent conveyance or fraudulent transfer, and not for any greater amount). The obligations of each Qualified ECP Guarantor under this Section shall remain in full force and effect until this Agreement has been terminated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10.16(a)</w:t>
      </w:r>
      <w:r>
        <w:rPr>
          <w:rFonts w:ascii="Arial" w:cs="Arial" w:eastAsia="Arial" w:hAnsi="Arial"/>
          <w:sz w:val="19"/>
          <w:szCs w:val="19"/>
          <w:color w:val="auto"/>
        </w:rPr>
        <w:t xml:space="preserve">. Each Qualified ECP Guarantor intends that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shall be deemed to constitute, a “keepwell, support, or other agreement” for the benefit of each other Loan Party for all purposes of Section 1a(18)(A)(v)(II) of the Commodity Exchange Act.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80" w:right="239" w:bottom="1440" w:gutter="0" w:footer="0" w:header="0"/>
        </w:sectPr>
      </w:pPr>
    </w:p>
    <w:bookmarkStart w:id="196" w:name="page197"/>
    <w:bookmarkEnd w:id="196"/>
    <w:p>
      <w:pPr>
        <w:ind w:firstLine="1297"/>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duly executed by their respective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as of the day and year first above written.</w:t>
      </w:r>
    </w:p>
    <w:p>
      <w:pPr>
        <w:spacing w:after="0" w:line="164" w:lineRule="exact"/>
        <w:rPr>
          <w:sz w:val="20"/>
          <w:szCs w:val="20"/>
          <w:color w:val="auto"/>
        </w:rPr>
      </w:pPr>
    </w:p>
    <w:p>
      <w:pPr>
        <w:ind w:left="422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LENDINGTREE, LLC</w:t>
      </w:r>
    </w:p>
    <w:p>
      <w:pPr>
        <w:spacing w:after="0" w:line="200" w:lineRule="exact"/>
        <w:rPr>
          <w:sz w:val="20"/>
          <w:szCs w:val="20"/>
          <w:color w:val="auto"/>
        </w:rPr>
      </w:pPr>
    </w:p>
    <w:p>
      <w:pPr>
        <w:spacing w:after="0" w:line="238"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_____________________________________________</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w:t>
      </w:r>
    </w:p>
    <w:p>
      <w:pPr>
        <w:ind w:left="4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0"/>
          <w:szCs w:val="20"/>
          <w:b w:val="1"/>
          <w:bCs w:val="1"/>
          <w:u w:val="single" w:color="auto"/>
          <w:color w:val="auto"/>
        </w:rPr>
        <w:t>PARENT AND GUARANTOR</w:t>
      </w:r>
      <w:r>
        <w:rPr>
          <w:rFonts w:ascii="Arial" w:cs="Arial" w:eastAsia="Arial" w:hAnsi="Arial"/>
          <w:sz w:val="20"/>
          <w:szCs w:val="20"/>
          <w:b w:val="1"/>
          <w:bCs w:val="1"/>
          <w:color w:val="auto"/>
        </w:rPr>
        <w:t>:</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LENDINGTREE, INC.</w:t>
      </w:r>
    </w:p>
    <w:p>
      <w:pPr>
        <w:spacing w:after="0" w:line="200" w:lineRule="exact"/>
        <w:rPr>
          <w:sz w:val="20"/>
          <w:szCs w:val="20"/>
          <w:color w:val="auto"/>
        </w:rPr>
      </w:pPr>
    </w:p>
    <w:p>
      <w:pPr>
        <w:spacing w:after="0" w:line="238"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_____________________________________________</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w:t>
      </w:r>
    </w:p>
    <w:p>
      <w:pPr>
        <w:ind w:left="488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ind w:left="4220"/>
        <w:spacing w:after="0"/>
        <w:rPr>
          <w:sz w:val="20"/>
          <w:szCs w:val="20"/>
          <w:color w:val="auto"/>
        </w:rPr>
      </w:pPr>
      <w:r>
        <w:rPr>
          <w:rFonts w:ascii="Arial" w:cs="Arial" w:eastAsia="Arial" w:hAnsi="Arial"/>
          <w:sz w:val="20"/>
          <w:szCs w:val="20"/>
          <w:b w:val="1"/>
          <w:bCs w:val="1"/>
          <w:u w:val="single" w:color="auto"/>
          <w:color w:val="auto"/>
        </w:rPr>
        <w:t>GUARANTORS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340"/>
        <w:spacing w:after="0"/>
        <w:rPr>
          <w:sz w:val="20"/>
          <w:szCs w:val="20"/>
          <w:color w:val="auto"/>
        </w:rPr>
      </w:pPr>
      <w:r>
        <w:rPr>
          <w:rFonts w:ascii="Arial" w:cs="Arial" w:eastAsia="Arial" w:hAnsi="Arial"/>
          <w:sz w:val="20"/>
          <w:szCs w:val="20"/>
          <w:b w:val="1"/>
          <w:bCs w:val="1"/>
          <w:color w:val="auto"/>
        </w:rPr>
        <w:t>HOME LOAN CENTER, INC.</w:t>
      </w:r>
    </w:p>
    <w:p>
      <w:pPr>
        <w:spacing w:after="0" w:line="200" w:lineRule="exact"/>
        <w:rPr>
          <w:sz w:val="20"/>
          <w:szCs w:val="20"/>
          <w:color w:val="auto"/>
        </w:rPr>
      </w:pPr>
    </w:p>
    <w:p>
      <w:pPr>
        <w:spacing w:after="0" w:line="238"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_____________________________________________</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w:t>
      </w:r>
    </w:p>
    <w:p>
      <w:pPr>
        <w:ind w:left="488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TREE.COM BU HOLDING COMPANY, INC.</w:t>
      </w:r>
    </w:p>
    <w:p>
      <w:pPr>
        <w:spacing w:after="0" w:line="200" w:lineRule="exact"/>
        <w:rPr>
          <w:sz w:val="20"/>
          <w:szCs w:val="20"/>
          <w:color w:val="auto"/>
        </w:rPr>
      </w:pPr>
    </w:p>
    <w:p>
      <w:pPr>
        <w:spacing w:after="0" w:line="238"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____________________________________________</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w:t>
      </w:r>
    </w:p>
    <w:p>
      <w:pPr>
        <w:ind w:left="488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TREE HOME SERVICES, INC.</w:t>
      </w:r>
    </w:p>
    <w:p>
      <w:pPr>
        <w:spacing w:after="0" w:line="200" w:lineRule="exact"/>
        <w:rPr>
          <w:sz w:val="20"/>
          <w:szCs w:val="20"/>
          <w:color w:val="auto"/>
        </w:rPr>
      </w:pPr>
    </w:p>
    <w:p>
      <w:pPr>
        <w:spacing w:after="0" w:line="238"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_____________________________________________</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w:t>
      </w:r>
    </w:p>
    <w:p>
      <w:pPr>
        <w:ind w:left="48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00"/>
          </w:cols>
          <w:pgMar w:left="240" w:top="360" w:right="259" w:bottom="1440" w:gutter="0" w:footer="0" w:header="0"/>
        </w:sectPr>
      </w:pPr>
    </w:p>
    <w:bookmarkStart w:id="197" w:name="page198"/>
    <w:bookmarkEnd w:id="197"/>
    <w:p>
      <w:pPr>
        <w:ind w:left="3020"/>
        <w:spacing w:after="0"/>
        <w:rPr>
          <w:sz w:val="20"/>
          <w:szCs w:val="20"/>
          <w:color w:val="auto"/>
        </w:rPr>
      </w:pPr>
      <w:r>
        <w:rPr>
          <w:rFonts w:ascii="Arial" w:cs="Arial" w:eastAsia="Arial" w:hAnsi="Arial"/>
          <w:sz w:val="20"/>
          <w:szCs w:val="20"/>
          <w:b w:val="1"/>
          <w:bCs w:val="1"/>
          <w:color w:val="auto"/>
        </w:rPr>
        <w:t>DEGREETREE, INC.</w:t>
      </w:r>
    </w:p>
    <w:p>
      <w:pPr>
        <w:spacing w:after="0" w:line="200" w:lineRule="exact"/>
        <w:rPr>
          <w:sz w:val="20"/>
          <w:szCs w:val="20"/>
          <w:color w:val="auto"/>
        </w:rPr>
      </w:pPr>
    </w:p>
    <w:p>
      <w:pPr>
        <w:spacing w:after="0" w:line="238" w:lineRule="exact"/>
        <w:rPr>
          <w:sz w:val="20"/>
          <w:szCs w:val="20"/>
          <w:color w:val="auto"/>
        </w:rPr>
      </w:pPr>
    </w:p>
    <w:p>
      <w:pPr>
        <w:ind w:left="3020"/>
        <w:spacing w:after="0"/>
        <w:tabs>
          <w:tab w:leader="none" w:pos="3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_____________________________________________</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w:t>
      </w:r>
    </w:p>
    <w:p>
      <w:pPr>
        <w:ind w:left="36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360" w:right="1440"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color w:val="auto"/>
        </w:rPr>
        <w:t>Acknowledged and Agreed to as of the date hereof:</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SUNTRUST BANK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______________________________________</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sectPr>
      <w:pgSz w:w="11900" w:h="16838" w:orient="portrait"/>
      <w:cols w:equalWidth="0" w:num="1">
        <w:col w:w="10219"/>
      </w:cols>
      <w:pgMar w:left="240" w:top="3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72BD23"/>
    <w:multiLevelType w:val="hybridMultilevel"/>
    <w:lvl w:ilvl="0">
      <w:lvlJc w:val="left"/>
      <w:lvlText w:val="☒"/>
      <w:numFmt w:val="bullet"/>
      <w:start w:val="1"/>
    </w:lvl>
  </w:abstractNum>
  <w:abstractNum w:abstractNumId="1">
    <w:nsid w:val="6FC75AF8"/>
    <w:multiLevelType w:val="hybridMultilevel"/>
    <w:lvl w:ilvl="0">
      <w:lvlJc w:val="left"/>
      <w:lvlText w:val="o"/>
      <w:numFmt w:val="bullet"/>
      <w:start w:val="1"/>
    </w:lvl>
  </w:abstractNum>
  <w:abstractNum w:abstractNumId="2">
    <w:nsid w:val="6A5F7029"/>
    <w:multiLevelType w:val="hybridMultilevel"/>
    <w:lvl w:ilvl="0">
      <w:lvlJc w:val="left"/>
      <w:lvlText w:val="(%1)"/>
      <w:numFmt w:val="lowerLetter"/>
      <w:start w:val="1"/>
    </w:lvl>
  </w:abstractNum>
  <w:abstractNum w:abstractNumId="3">
    <w:nsid w:val="7D5E18F8"/>
    <w:multiLevelType w:val="hybridMultilevel"/>
    <w:lvl w:ilvl="0">
      <w:lvlJc w:val="left"/>
      <w:lvlText w:val="(%1)"/>
      <w:numFmt w:val="lowerLetter"/>
      <w:start w:val="1"/>
    </w:lvl>
  </w:abstractNum>
  <w:abstractNum w:abstractNumId="4">
    <w:nsid w:val="5F3534A4"/>
    <w:multiLevelType w:val="hybridMultilevel"/>
    <w:lvl w:ilvl="0">
      <w:lvlJc w:val="left"/>
      <w:lvlText w:val="(%1)"/>
      <w:numFmt w:val="decimal"/>
      <w:start w:val="1"/>
    </w:lvl>
  </w:abstractNum>
  <w:abstractNum w:abstractNumId="5">
    <w:nsid w:val="73A1821B"/>
    <w:multiLevelType w:val="hybridMultilevel"/>
    <w:lvl w:ilvl="0">
      <w:lvlJc w:val="left"/>
      <w:lvlText w:val="•"/>
      <w:numFmt w:val="bullet"/>
      <w:start w:val="1"/>
    </w:lvl>
  </w:abstractNum>
  <w:abstractNum w:abstractNumId="6">
    <w:nsid w:val="7DE67713"/>
    <w:multiLevelType w:val="hybridMultilevel"/>
    <w:lvl w:ilvl="0">
      <w:lvlJc w:val="left"/>
      <w:lvlText w:val="(%1)"/>
      <w:numFmt w:val="decimal"/>
      <w:start w:val="4"/>
    </w:lvl>
  </w:abstractNum>
  <w:abstractNum w:abstractNumId="7">
    <w:nsid w:val="555C55B5"/>
    <w:multiLevelType w:val="hybridMultilevel"/>
    <w:lvl w:ilvl="0">
      <w:lvlJc w:val="left"/>
      <w:lvlText w:val="(%1)"/>
      <w:numFmt w:val="lowerLetter"/>
      <w:start w:val="1"/>
    </w:lvl>
  </w:abstractNum>
  <w:abstractNum w:abstractNumId="8">
    <w:nsid w:val="3FA62ACA"/>
    <w:multiLevelType w:val="hybridMultilevel"/>
    <w:lvl w:ilvl="0">
      <w:lvlJc w:val="left"/>
      <w:lvlText w:val="•"/>
      <w:numFmt w:val="bullet"/>
      <w:start w:val="1"/>
    </w:lvl>
  </w:abstractNum>
  <w:abstractNum w:abstractNumId="9">
    <w:nsid w:val="14FCE74E"/>
    <w:multiLevelType w:val="hybridMultilevel"/>
    <w:lvl w:ilvl="0">
      <w:lvlJc w:val="left"/>
      <w:lvlText w:val="(%1)"/>
      <w:numFmt w:val="decimal"/>
      <w:start w:val="1"/>
    </w:lvl>
  </w:abstractNum>
  <w:abstractNum w:abstractNumId="10">
    <w:nsid w:val="6A3DD3E8"/>
    <w:multiLevelType w:val="hybridMultilevel"/>
    <w:lvl w:ilvl="0">
      <w:lvlJc w:val="left"/>
      <w:lvlText w:val="††"/>
      <w:numFmt w:val="bullet"/>
      <w:start w:val="1"/>
    </w:lvl>
  </w:abstractNum>
  <w:abstractNum w:abstractNumId="11">
    <w:nsid w:val="71C91298"/>
    <w:multiLevelType w:val="hybridMultilevel"/>
    <w:lvl w:ilvl="0">
      <w:lvlJc w:val="left"/>
      <w:lvlText w:val="†"/>
      <w:numFmt w:val="bullet"/>
      <w:start w:val="1"/>
    </w:lvl>
  </w:abstractNum>
  <w:abstractNum w:abstractNumId="12">
    <w:nsid w:val="9DAF632"/>
    <w:multiLevelType w:val="hybridMultilevel"/>
    <w:lvl w:ilvl="0">
      <w:lvlJc w:val="left"/>
      <w:lvlText w:val="%1."/>
      <w:numFmt w:val="decimal"/>
      <w:start w:val="1"/>
    </w:lvl>
  </w:abstractNum>
  <w:abstractNum w:abstractNumId="13">
    <w:nsid w:val="53299938"/>
    <w:multiLevelType w:val="hybridMultilevel"/>
    <w:lvl w:ilvl="0">
      <w:lvlJc w:val="left"/>
      <w:lvlText w:val="%1."/>
      <w:numFmt w:val="decimal"/>
      <w:start w:val="5"/>
    </w:lvl>
  </w:abstractNum>
  <w:abstractNum w:abstractNumId="14">
    <w:nsid w:val="1FBFE8E0"/>
    <w:multiLevelType w:val="hybridMultilevel"/>
    <w:lvl w:ilvl="0">
      <w:lvlJc w:val="left"/>
      <w:lvlText w:val="%1."/>
      <w:numFmt w:val="decimal"/>
      <w:start w:val="1"/>
    </w:lvl>
    <w:lvl w:ilvl="1">
      <w:lvlJc w:val="left"/>
      <w:lvlText w:val="(%2)"/>
      <w:numFmt w:val="lowerLetter"/>
      <w:start w:val="1"/>
    </w:lvl>
  </w:abstractNum>
  <w:abstractNum w:abstractNumId="15">
    <w:nsid w:val="5092CA79"/>
    <w:multiLevelType w:val="hybridMultilevel"/>
    <w:lvl w:ilvl="0">
      <w:lvlJc w:val="left"/>
      <w:lvlText w:val="(%1)"/>
      <w:numFmt w:val="lowerLetter"/>
      <w:start w:val="4"/>
    </w:lvl>
  </w:abstractNum>
  <w:abstractNum w:abstractNumId="16">
    <w:nsid w:val="1D545C4D"/>
    <w:multiLevelType w:val="hybridMultilevel"/>
    <w:lvl w:ilvl="0">
      <w:lvlJc w:val="left"/>
      <w:lvlText w:val="%1."/>
      <w:numFmt w:val="decimal"/>
      <w:start w:val="4"/>
    </w:lvl>
  </w:abstractNum>
  <w:abstractNum w:abstractNumId="17">
    <w:nsid w:val="59ADEA3D"/>
    <w:multiLevelType w:val="hybridMultilevel"/>
    <w:lvl w:ilvl="0">
      <w:lvlJc w:val="left"/>
      <w:lvlText w:val="%1."/>
      <w:numFmt w:val="decimal"/>
      <w:start w:val="5"/>
    </w:lvl>
    <w:lvl w:ilvl="1">
      <w:lvlJc w:val="left"/>
      <w:lvlText w:val="(%2)"/>
      <w:numFmt w:val="lowerLetter"/>
      <w:start w:val="1"/>
    </w:lvl>
  </w:abstractNum>
  <w:abstractNum w:abstractNumId="18">
    <w:nsid w:val="288F1A34"/>
    <w:multiLevelType w:val="hybridMultilevel"/>
    <w:lvl w:ilvl="0">
      <w:lvlJc w:val="left"/>
      <w:lvlText w:val="%1."/>
      <w:numFmt w:val="decimal"/>
      <w:start w:val="12"/>
    </w:lvl>
    <w:lvl w:ilvl="1">
      <w:lvlJc w:val="left"/>
      <w:lvlText w:val="(%2)"/>
      <w:numFmt w:val="lowerLetter"/>
      <w:start w:val="1"/>
    </w:lvl>
  </w:abstractNum>
  <w:abstractNum w:abstractNumId="19">
    <w:nsid w:val="2A155DBC"/>
    <w:multiLevelType w:val="hybridMultilevel"/>
    <w:lvl w:ilvl="0">
      <w:lvlJc w:val="left"/>
      <w:lvlText w:val="%1."/>
      <w:numFmt w:val="decimal"/>
      <w:start w:val="15"/>
    </w:lvl>
  </w:abstractNum>
  <w:abstractNum w:abstractNumId="20">
    <w:nsid w:val="1D9F6E5F"/>
    <w:multiLevelType w:val="hybridMultilevel"/>
    <w:lvl w:ilvl="0">
      <w:lvlJc w:val="left"/>
      <w:lvlText w:val="%1."/>
      <w:numFmt w:val="decimal"/>
      <w:start w:val="16"/>
    </w:lvl>
  </w:abstractNum>
  <w:abstractNum w:abstractNumId="21">
    <w:nsid w:val="97E1B4E"/>
    <w:multiLevelType w:val="hybridMultilevel"/>
    <w:lvl w:ilvl="0">
      <w:lvlJc w:val="left"/>
      <w:lvlText w:val="%1."/>
      <w:numFmt w:val="decimal"/>
      <w:start w:val="1"/>
    </w:lvl>
    <w:lvl w:ilvl="1">
      <w:lvlJc w:val="left"/>
      <w:lvlText w:val="(%2)"/>
      <w:numFmt w:val="lowerLetter"/>
      <w:start w:val="1"/>
    </w:lvl>
  </w:abstractNum>
  <w:abstractNum w:abstractNumId="22">
    <w:nsid w:val="51088277"/>
    <w:multiLevelType w:val="hybridMultilevel"/>
    <w:lvl w:ilvl="0">
      <w:lvlJc w:val="left"/>
      <w:lvlText w:val="%1."/>
      <w:numFmt w:val="decimal"/>
      <w:start w:val="1"/>
    </w:lvl>
    <w:lvl w:ilvl="1">
      <w:lvlJc w:val="left"/>
      <w:lvlText w:val="(%2)"/>
      <w:numFmt w:val="lowerLetter"/>
      <w:start w:val="1"/>
    </w:lvl>
  </w:abstractNum>
  <w:abstractNum w:abstractNumId="23">
    <w:nsid w:val="1CA0C5FA"/>
    <w:multiLevelType w:val="hybridMultilevel"/>
    <w:lvl w:ilvl="0">
      <w:lvlJc w:val="left"/>
      <w:lvlText w:val="(%1)"/>
      <w:numFmt w:val="decimal"/>
      <w:start w:val="1"/>
    </w:lvl>
  </w:abstractNum>
  <w:abstractNum w:abstractNumId="24">
    <w:nsid w:val="53584BCB"/>
    <w:multiLevelType w:val="hybridMultilevel"/>
    <w:lvl w:ilvl="0">
      <w:lvlJc w:val="left"/>
      <w:lvlText w:val="(%1)"/>
      <w:numFmt w:val="decimal"/>
      <w:start w:val="1"/>
    </w:lvl>
  </w:abstractNum>
  <w:abstractNum w:abstractNumId="25">
    <w:nsid w:val="415E286C"/>
    <w:multiLevelType w:val="hybridMultilevel"/>
    <w:lvl w:ilvl="0">
      <w:lvlJc w:val="left"/>
      <w:lvlText w:val="(%1)"/>
      <w:numFmt w:val="decimal"/>
      <w:start w:val="2"/>
    </w:lvl>
  </w:abstractNum>
  <w:abstractNum w:abstractNumId="26">
    <w:nsid w:val="7C58FD05"/>
    <w:multiLevelType w:val="hybridMultilevel"/>
    <w:lvl w:ilvl="0">
      <w:lvlJc w:val="left"/>
      <w:lvlText w:val="(%1)"/>
      <w:numFmt w:val="lowerRoman"/>
      <w:start w:val="1"/>
    </w:lvl>
  </w:abstractNum>
  <w:abstractNum w:abstractNumId="27">
    <w:nsid w:val="23D86AAC"/>
    <w:multiLevelType w:val="hybridMultilevel"/>
    <w:lvl w:ilvl="0">
      <w:lvlJc w:val="left"/>
      <w:lvlText w:val="(%1)"/>
      <w:numFmt w:val="lowerRoman"/>
      <w:start w:val="1"/>
    </w:lvl>
  </w:abstractNum>
  <w:abstractNum w:abstractNumId="28">
    <w:nsid w:val="45E6D486"/>
    <w:multiLevelType w:val="hybridMultilevel"/>
    <w:lvl w:ilvl="0">
      <w:lvlJc w:val="left"/>
      <w:lvlText w:val="(%1)"/>
      <w:numFmt w:val="lowerRoman"/>
      <w:start w:val="3"/>
    </w:lvl>
  </w:abstractNum>
  <w:abstractNum w:abstractNumId="29">
    <w:nsid w:val="5C10FE21"/>
    <w:multiLevelType w:val="hybridMultilevel"/>
    <w:lvl w:ilvl="0">
      <w:lvlJc w:val="left"/>
      <w:lvlText w:val="(%1)"/>
      <w:numFmt w:val="lowerRoman"/>
      <w:start w:val="4"/>
    </w:lvl>
  </w:abstractNum>
  <w:abstractNum w:abstractNumId="30">
    <w:nsid w:val="E7FFA2B"/>
    <w:multiLevelType w:val="hybridMultilevel"/>
    <w:lvl w:ilvl="0">
      <w:lvlJc w:val="left"/>
      <w:lvlText w:val="(%1)"/>
      <w:numFmt w:val="lowerRoman"/>
      <w:start w:val="4"/>
    </w:lvl>
  </w:abstractNum>
  <w:abstractNum w:abstractNumId="31">
    <w:nsid w:val="3C5991AA"/>
    <w:multiLevelType w:val="hybridMultilevel"/>
    <w:lvl w:ilvl="0">
      <w:lvlJc w:val="left"/>
      <w:lvlText w:val="(%1)"/>
      <w:numFmt w:val="lowerRoman"/>
      <w:start w:val="1"/>
    </w:lvl>
  </w:abstractNum>
  <w:abstractNum w:abstractNumId="32">
    <w:nsid w:val="4BD8591A"/>
    <w:multiLevelType w:val="hybridMultilevel"/>
    <w:lvl w:ilvl="0">
      <w:lvlJc w:val="left"/>
      <w:lvlText w:val="(%1)"/>
      <w:numFmt w:val="lowerRoman"/>
      <w:start w:val="2"/>
    </w:lvl>
  </w:abstractNum>
  <w:abstractNum w:abstractNumId="33">
    <w:nsid w:val="78DF6A55"/>
    <w:multiLevelType w:val="hybridMultilevel"/>
    <w:lvl w:ilvl="0">
      <w:lvlJc w:val="left"/>
      <w:lvlText w:val="(%1)"/>
      <w:numFmt w:val="lowerLetter"/>
      <w:start w:val="3"/>
    </w:lvl>
  </w:abstractNum>
  <w:abstractNum w:abstractNumId="34">
    <w:nsid w:val="39B7AAA2"/>
    <w:multiLevelType w:val="hybridMultilevel"/>
    <w:lvl w:ilvl="0">
      <w:lvlJc w:val="left"/>
      <w:lvlText w:val="(%1)"/>
      <w:numFmt w:val="lowerRoman"/>
      <w:start w:val="1"/>
    </w:lvl>
  </w:abstractNum>
  <w:abstractNum w:abstractNumId="35">
    <w:nsid w:val="2B0D8DBE"/>
    <w:multiLevelType w:val="hybridMultilevel"/>
    <w:lvl w:ilvl="0">
      <w:lvlJc w:val="left"/>
      <w:lvlText w:val="(%1)"/>
      <w:numFmt w:val="lowerRoman"/>
      <w:start w:val="1"/>
    </w:lvl>
  </w:abstractNum>
  <w:abstractNum w:abstractNumId="36">
    <w:nsid w:val="6C80EC70"/>
    <w:multiLevelType w:val="hybridMultilevel"/>
    <w:lvl w:ilvl="0">
      <w:lvlJc w:val="left"/>
      <w:lvlText w:val="(%1)"/>
      <w:numFmt w:val="lowerRoman"/>
      <w:start w:val="2"/>
    </w:lvl>
  </w:abstractNum>
  <w:abstractNum w:abstractNumId="37">
    <w:nsid w:val="379E21B5"/>
    <w:multiLevelType w:val="hybridMultilevel"/>
    <w:lvl w:ilvl="0">
      <w:lvlJc w:val="left"/>
      <w:lvlText w:val="(%1)"/>
      <w:numFmt w:val="lowerRoman"/>
      <w:start w:val="1"/>
    </w:lvl>
  </w:abstractNum>
  <w:abstractNum w:abstractNumId="38">
    <w:nsid w:val="69E373"/>
    <w:multiLevelType w:val="hybridMultilevel"/>
    <w:lvl w:ilvl="0">
      <w:lvlJc w:val="left"/>
      <w:lvlText w:val="(%1)"/>
      <w:numFmt w:val="lowerRoman"/>
      <w:start w:val="2"/>
    </w:lvl>
  </w:abstractNum>
  <w:abstractNum w:abstractNumId="39">
    <w:nsid w:val="2C27173B"/>
    <w:multiLevelType w:val="hybridMultilevel"/>
    <w:lvl w:ilvl="0">
      <w:lvlJc w:val="left"/>
      <w:lvlText w:val="(%1)"/>
      <w:numFmt w:val="lowerRoman"/>
      <w:start w:val="1"/>
    </w:lvl>
  </w:abstractNum>
  <w:abstractNum w:abstractNumId="40">
    <w:nsid w:val="4C9B0904"/>
    <w:multiLevelType w:val="hybridMultilevel"/>
    <w:lvl w:ilvl="0">
      <w:lvlJc w:val="left"/>
      <w:lvlText w:val="(%1)"/>
      <w:numFmt w:val="lowerLetter"/>
      <w:start w:val="1"/>
    </w:lvl>
  </w:abstractNum>
  <w:abstractNum w:abstractNumId="41">
    <w:nsid w:val="6AA7B75C"/>
    <w:multiLevelType w:val="hybridMultilevel"/>
    <w:lvl w:ilvl="0">
      <w:lvlJc w:val="left"/>
      <w:lvlText w:val="(%1)"/>
      <w:numFmt w:val="lowerLetter"/>
      <w:start w:val="1"/>
    </w:lvl>
  </w:abstractNum>
  <w:abstractNum w:abstractNumId="42">
    <w:nsid w:val="1DF029D3"/>
    <w:multiLevelType w:val="hybridMultilevel"/>
    <w:lvl w:ilvl="0">
      <w:lvlJc w:val="left"/>
      <w:lvlText w:val="(%1)"/>
      <w:numFmt w:val="lowerLetter"/>
      <w:start w:val="1"/>
    </w:lvl>
  </w:abstractNum>
  <w:abstractNum w:abstractNumId="43">
    <w:nsid w:val="5675FF36"/>
    <w:multiLevelType w:val="hybridMultilevel"/>
    <w:lvl w:ilvl="0">
      <w:lvlJc w:val="left"/>
      <w:lvlText w:val="(%1)"/>
      <w:numFmt w:val="lowerLetter"/>
      <w:start w:val="1"/>
    </w:lvl>
  </w:abstractNum>
  <w:abstractNum w:abstractNumId="44">
    <w:nsid w:val="3DD15094"/>
    <w:multiLevelType w:val="hybridMultilevel"/>
    <w:lvl w:ilvl="0">
      <w:lvlJc w:val="left"/>
      <w:lvlText w:val="(%1)"/>
      <w:numFmt w:val="lowerLetter"/>
      <w:start w:val="2"/>
    </w:lvl>
  </w:abstractNum>
  <w:abstractNum w:abstractNumId="45">
    <w:nsid w:val="3DB012B3"/>
    <w:multiLevelType w:val="hybridMultilevel"/>
    <w:lvl w:ilvl="0">
      <w:lvlJc w:val="left"/>
      <w:lvlText w:val="(%1)"/>
      <w:numFmt w:val="lowerLetter"/>
      <w:start w:val="1"/>
    </w:lvl>
  </w:abstractNum>
  <w:abstractNum w:abstractNumId="46">
    <w:nsid w:val="2708C9AF"/>
    <w:multiLevelType w:val="hybridMultilevel"/>
    <w:lvl w:ilvl="0">
      <w:lvlJc w:val="left"/>
      <w:lvlText w:val="(%1)"/>
      <w:numFmt w:val="lowerLetter"/>
      <w:start w:val="1"/>
    </w:lvl>
  </w:abstractNum>
  <w:abstractNum w:abstractNumId="47">
    <w:nsid w:val="5B25ACE2"/>
    <w:multiLevelType w:val="hybridMultilevel"/>
    <w:lvl w:ilvl="0">
      <w:lvlJc w:val="left"/>
      <w:lvlText w:val="(%1)"/>
      <w:numFmt w:val="lowerLetter"/>
      <w:start w:val="1"/>
    </w:lvl>
  </w:abstractNum>
  <w:abstractNum w:abstractNumId="48">
    <w:nsid w:val="175DFCF0"/>
    <w:multiLevelType w:val="hybridMultilevel"/>
    <w:lvl w:ilvl="0">
      <w:lvlJc w:val="left"/>
      <w:lvlText w:val="(%1)"/>
      <w:numFmt w:val="lowerLetter"/>
      <w:start w:val="1"/>
    </w:lvl>
  </w:abstractNum>
  <w:abstractNum w:abstractNumId="49">
    <w:nsid w:val="4F97E3E4"/>
    <w:multiLevelType w:val="hybridMultilevel"/>
    <w:lvl w:ilvl="0">
      <w:lvlJc w:val="left"/>
      <w:lvlText w:val="(%1)"/>
      <w:numFmt w:val="lowerRoman"/>
      <w:start w:val="1"/>
    </w:lvl>
  </w:abstractNum>
  <w:abstractNum w:abstractNumId="50">
    <w:nsid w:val="53B0A9E"/>
    <w:multiLevelType w:val="hybridMultilevel"/>
    <w:lvl w:ilvl="0">
      <w:lvlJc w:val="left"/>
      <w:lvlText w:val="(%1)"/>
      <w:numFmt w:val="lowerLetter"/>
      <w:start w:val="1"/>
    </w:lvl>
    <w:lvl w:ilvl="1">
      <w:lvlJc w:val="left"/>
      <w:lvlText w:val="(%2)"/>
      <w:numFmt w:val="lowerLetter"/>
      <w:start w:val="9"/>
    </w:lvl>
  </w:abstractNum>
  <w:abstractNum w:abstractNumId="51">
    <w:nsid w:val="34FD6B4F"/>
    <w:multiLevelType w:val="hybridMultilevel"/>
    <w:lvl w:ilvl="0">
      <w:lvlJc w:val="left"/>
      <w:lvlText w:val="(%1)"/>
      <w:numFmt w:val="lowerRoman"/>
      <w:start w:val="2"/>
    </w:lvl>
  </w:abstractNum>
  <w:abstractNum w:abstractNumId="52">
    <w:nsid w:val="5915FF32"/>
    <w:multiLevelType w:val="hybridMultilevel"/>
    <w:lvl w:ilvl="0">
      <w:lvlJc w:val="left"/>
      <w:lvlText w:val="%1"/>
      <w:numFmt w:val="decimal"/>
      <w:start w:val="1"/>
    </w:lvl>
    <w:lvl w:ilvl="1">
      <w:lvlJc w:val="left"/>
      <w:lvlText w:val="(%2)"/>
      <w:numFmt w:val="lowerLetter"/>
      <w:start w:val="2"/>
    </w:lvl>
  </w:abstractNum>
  <w:abstractNum w:abstractNumId="53">
    <w:nsid w:val="56438D15"/>
    <w:multiLevelType w:val="hybridMultilevel"/>
    <w:lvl w:ilvl="0">
      <w:lvlJc w:val="left"/>
      <w:lvlText w:val="(%1)"/>
      <w:numFmt w:val="decimal"/>
      <w:start w:val="5"/>
    </w:lvl>
    <w:lvl w:ilvl="1">
      <w:lvlJc w:val="left"/>
      <w:lvlText w:val="(%2)"/>
      <w:numFmt w:val="lowerLetter"/>
      <w:start w:val="3"/>
    </w:lvl>
  </w:abstractNum>
  <w:abstractNum w:abstractNumId="54">
    <w:nsid w:val="519E3149"/>
    <w:multiLevelType w:val="hybridMultilevel"/>
    <w:lvl w:ilvl="0">
      <w:lvlJc w:val="left"/>
      <w:lvlText w:val="(%1)"/>
      <w:numFmt w:val="lowerLetter"/>
      <w:start w:val="1"/>
    </w:lvl>
  </w:abstractNum>
  <w:abstractNum w:abstractNumId="55">
    <w:nsid w:val="2C6E4AFD"/>
    <w:multiLevelType w:val="hybridMultilevel"/>
    <w:lvl w:ilvl="0">
      <w:lvlJc w:val="left"/>
      <w:lvlText w:val="(%1)"/>
      <w:numFmt w:val="lowerLetter"/>
      <w:start w:val="5"/>
    </w:lvl>
  </w:abstractNum>
  <w:abstractNum w:abstractNumId="56">
    <w:nsid w:val="17A1B582"/>
    <w:multiLevelType w:val="hybridMultilevel"/>
    <w:lvl w:ilvl="0">
      <w:lvlJc w:val="left"/>
      <w:lvlText w:val="(%1)"/>
      <w:numFmt w:val="lowerRoman"/>
      <w:start w:val="1"/>
    </w:lvl>
  </w:abstractNum>
  <w:abstractNum w:abstractNumId="57">
    <w:nsid w:val="4DF72E4E"/>
    <w:multiLevelType w:val="hybridMultilevel"/>
    <w:lvl w:ilvl="0">
      <w:lvlJc w:val="left"/>
      <w:lvlText w:val="(%1)"/>
      <w:numFmt w:val="upperLetter"/>
      <w:start w:val="1"/>
    </w:lvl>
  </w:abstractNum>
  <w:abstractNum w:abstractNumId="58">
    <w:nsid w:val="5046B5A9"/>
    <w:multiLevelType w:val="hybridMultilevel"/>
    <w:lvl w:ilvl="0">
      <w:lvlJc w:val="left"/>
      <w:lvlText w:val="(%1)"/>
      <w:numFmt w:val="upperLetter"/>
      <w:start w:val="2"/>
    </w:lvl>
  </w:abstractNum>
  <w:abstractNum w:abstractNumId="59">
    <w:nsid w:val="5D888A08"/>
    <w:multiLevelType w:val="hybridMultilevel"/>
    <w:lvl w:ilvl="0">
      <w:lvlJc w:val="left"/>
      <w:lvlText w:val="(%1)"/>
      <w:numFmt w:val="lowerRoman"/>
      <w:start w:val="1"/>
    </w:lvl>
  </w:abstractNum>
  <w:abstractNum w:abstractNumId="60">
    <w:nsid w:val="2A082C70"/>
    <w:multiLevelType w:val="hybridMultilevel"/>
    <w:lvl w:ilvl="0">
      <w:lvlJc w:val="left"/>
      <w:lvlText w:val="(%1)"/>
      <w:numFmt w:val="upperLetter"/>
      <w:start w:val="3"/>
    </w:lvl>
  </w:abstractNum>
  <w:abstractNum w:abstractNumId="61">
    <w:nsid w:val="5EC6AFD4"/>
    <w:multiLevelType w:val="hybridMultilevel"/>
    <w:lvl w:ilvl="0">
      <w:lvlJc w:val="left"/>
      <w:lvlText w:val="%1"/>
      <w:numFmt w:val="lowerLetter"/>
      <w:start w:val="1"/>
    </w:lvl>
    <w:lvl w:ilvl="1">
      <w:lvlJc w:val="left"/>
      <w:lvlText w:val="(%2)"/>
      <w:numFmt w:val="lowerLetter"/>
      <w:start w:val="8"/>
    </w:lvl>
  </w:abstractNum>
  <w:abstractNum w:abstractNumId="62">
    <w:nsid w:val="19E21BB2"/>
    <w:multiLevelType w:val="hybridMultilevel"/>
    <w:lvl w:ilvl="0">
      <w:lvlJc w:val="left"/>
      <w:lvlText w:val="(%1)"/>
      <w:numFmt w:val="lowerLetter"/>
      <w:start w:val="8"/>
    </w:lvl>
    <w:lvl w:ilvl="1">
      <w:lvlJc w:val="left"/>
      <w:lvlText w:val="(%2)"/>
      <w:numFmt w:val="lowerLetter"/>
      <w:start w:val="9"/>
    </w:lvl>
  </w:abstractNum>
  <w:abstractNum w:abstractNumId="63">
    <w:nsid w:val="75E0858A"/>
    <w:multiLevelType w:val="hybridMultilevel"/>
    <w:lvl w:ilvl="0">
      <w:lvlJc w:val="left"/>
      <w:lvlText w:val="(%1)"/>
      <w:numFmt w:val="lowerLetter"/>
      <w:start w:val="1"/>
    </w:lvl>
  </w:abstractNum>
  <w:abstractNum w:abstractNumId="64">
    <w:nsid w:val="57A61A29"/>
    <w:multiLevelType w:val="hybridMultilevel"/>
    <w:lvl w:ilvl="0">
      <w:lvlJc w:val="left"/>
      <w:lvlText w:val="(%1)"/>
      <w:numFmt w:val="lowerLetter"/>
      <w:start w:val="2"/>
    </w:lvl>
  </w:abstractNum>
  <w:abstractNum w:abstractNumId="65">
    <w:nsid w:val="5399C654"/>
    <w:multiLevelType w:val="hybridMultilevel"/>
    <w:lvl w:ilvl="0">
      <w:lvlJc w:val="left"/>
      <w:lvlText w:val="(%1)"/>
      <w:numFmt w:val="lowerLetter"/>
      <w:start w:val="1"/>
    </w:lvl>
  </w:abstractNum>
  <w:abstractNum w:abstractNumId="66">
    <w:nsid w:val="20EE1348"/>
    <w:multiLevelType w:val="hybridMultilevel"/>
    <w:lvl w:ilvl="0">
      <w:lvlJc w:val="left"/>
      <w:lvlText w:val="%1"/>
      <w:numFmt w:val="lowerRoman"/>
      <w:start w:val="1"/>
    </w:lvl>
    <w:lvl w:ilvl="1">
      <w:lvlJc w:val="left"/>
      <w:lvlText w:val="(%2)"/>
      <w:numFmt w:val="lowerLetter"/>
      <w:start w:val="4"/>
    </w:lvl>
  </w:abstractNum>
  <w:abstractNum w:abstractNumId="67">
    <w:nsid w:val="4427069A"/>
    <w:multiLevelType w:val="hybridMultilevel"/>
    <w:lvl w:ilvl="0">
      <w:lvlJc w:val="left"/>
      <w:lvlText w:val="(%1)"/>
      <w:numFmt w:val="lowerRoman"/>
      <w:start w:val="4"/>
    </w:lvl>
    <w:lvl w:ilvl="1">
      <w:lvlJc w:val="left"/>
      <w:lvlText w:val="%2"/>
      <w:numFmt w:val="lowerLetter"/>
      <w:start w:val="1"/>
    </w:lvl>
  </w:abstractNum>
  <w:abstractNum w:abstractNumId="68">
    <w:nsid w:val="B37E80A"/>
    <w:multiLevelType w:val="hybridMultilevel"/>
    <w:lvl w:ilvl="0">
      <w:lvlJc w:val="left"/>
      <w:lvlText w:val="(%1)"/>
      <w:numFmt w:val="lowerLetter"/>
      <w:start w:val="6"/>
    </w:lvl>
    <w:lvl w:ilvl="1">
      <w:lvlJc w:val="left"/>
      <w:lvlText w:val="(%2)"/>
      <w:numFmt w:val="lowerLetter"/>
      <w:start w:val="9"/>
    </w:lvl>
  </w:abstractNum>
  <w:abstractNum w:abstractNumId="69">
    <w:nsid w:val="2157F6BC"/>
    <w:multiLevelType w:val="hybridMultilevel"/>
    <w:lvl w:ilvl="0">
      <w:lvlJc w:val="left"/>
      <w:lvlText w:val="(%1)"/>
      <w:numFmt w:val="lowerRoman"/>
      <w:start w:val="2"/>
    </w:lvl>
  </w:abstractNum>
  <w:abstractNum w:abstractNumId="70">
    <w:nsid w:val="704E1DD5"/>
    <w:multiLevelType w:val="hybridMultilevel"/>
    <w:lvl w:ilvl="0">
      <w:lvlJc w:val="left"/>
      <w:lvlText w:val="(%1)"/>
      <w:numFmt w:val="lowerLetter"/>
      <w:start w:val="10"/>
    </w:lvl>
  </w:abstractNum>
  <w:abstractNum w:abstractNumId="71">
    <w:nsid w:val="57D2F10E"/>
    <w:multiLevelType w:val="hybridMultilevel"/>
    <w:lvl w:ilvl="0">
      <w:lvlJc w:val="left"/>
      <w:lvlText w:val="(%1)"/>
      <w:numFmt w:val="lowerLetter"/>
      <w:start w:val="1"/>
    </w:lvl>
    <w:lvl w:ilvl="1">
      <w:lvlJc w:val="left"/>
      <w:lvlText w:val="(%2)"/>
      <w:numFmt w:val="lowerRoman"/>
      <w:start w:val="1"/>
    </w:lvl>
  </w:abstractNum>
  <w:abstractNum w:abstractNumId="72">
    <w:nsid w:val="BFFAE18"/>
    <w:multiLevelType w:val="hybridMultilevel"/>
    <w:lvl w:ilvl="0">
      <w:lvlJc w:val="left"/>
      <w:lvlText w:val="%1"/>
      <w:numFmt w:val="lowerLetter"/>
      <w:start w:val="1"/>
    </w:lvl>
    <w:lvl w:ilvl="1">
      <w:lvlJc w:val="left"/>
      <w:lvlText w:val="(%2)"/>
      <w:numFmt w:val="lowerRoman"/>
      <w:start w:val="8"/>
    </w:lvl>
  </w:abstractNum>
  <w:abstractNum w:abstractNumId="73">
    <w:nsid w:val="E3E47A8"/>
    <w:multiLevelType w:val="hybridMultilevel"/>
    <w:lvl w:ilvl="0">
      <w:lvlJc w:val="left"/>
      <w:lvlText w:val="(%1)"/>
      <w:numFmt w:val="lowerLetter"/>
      <w:start w:val="2"/>
    </w:lvl>
    <w:lvl w:ilvl="1">
      <w:lvlJc w:val="left"/>
      <w:lvlText w:val="%2"/>
      <w:numFmt w:val="lowerRoman"/>
      <w:start w:val="1"/>
    </w:lvl>
  </w:abstractNum>
  <w:abstractNum w:abstractNumId="74">
    <w:nsid w:val="2E48F044"/>
    <w:multiLevelType w:val="hybridMultilevel"/>
    <w:lvl w:ilvl="0">
      <w:lvlJc w:val="left"/>
      <w:lvlText w:val="(%1)"/>
      <w:numFmt w:val="lowerLetter"/>
      <w:start w:val="3"/>
    </w:lvl>
    <w:lvl w:ilvl="1">
      <w:lvlJc w:val="left"/>
      <w:lvlText w:val="(%2)"/>
      <w:numFmt w:val="lowerRoman"/>
      <w:start w:val="1"/>
    </w:lvl>
  </w:abstractNum>
  <w:abstractNum w:abstractNumId="75">
    <w:nsid w:val="49D0FEAC"/>
    <w:multiLevelType w:val="hybridMultilevel"/>
    <w:lvl w:ilvl="0">
      <w:lvlJc w:val="left"/>
      <w:lvlText w:val="(%1)"/>
      <w:numFmt w:val="lowerLetter"/>
      <w:start w:val="4"/>
    </w:lvl>
  </w:abstractNum>
  <w:abstractNum w:abstractNumId="76">
    <w:nsid w:val="4BEE5A5B"/>
    <w:multiLevelType w:val="hybridMultilevel"/>
    <w:lvl w:ilvl="0">
      <w:lvlJc w:val="left"/>
      <w:lvlText w:val="(%1)"/>
      <w:numFmt w:val="lowerLetter"/>
      <w:start w:val="5"/>
    </w:lvl>
    <w:lvl w:ilvl="1">
      <w:lvlJc w:val="left"/>
      <w:lvlText w:val="(%2)"/>
      <w:numFmt w:val="lowerRoman"/>
      <w:start w:val="1"/>
    </w:lvl>
  </w:abstractNum>
  <w:abstractNum w:abstractNumId="77">
    <w:nsid w:val="5551B9F3"/>
    <w:multiLevelType w:val="hybridMultilevel"/>
    <w:lvl w:ilvl="0">
      <w:lvlJc w:val="left"/>
      <w:lvlText w:val="(%1)"/>
      <w:numFmt w:val="lowerLetter"/>
      <w:start w:val="1"/>
    </w:lvl>
    <w:lvl w:ilvl="1">
      <w:lvlJc w:val="left"/>
      <w:lvlText w:val="(%2)"/>
      <w:numFmt w:val="lowerRoman"/>
      <w:start w:val="1"/>
    </w:lvl>
  </w:abstractNum>
  <w:abstractNum w:abstractNumId="78">
    <w:nsid w:val="24F6AB8E"/>
    <w:multiLevelType w:val="hybridMultilevel"/>
    <w:lvl w:ilvl="0">
      <w:lvlJc w:val="left"/>
      <w:lvlText w:val="(%1)"/>
      <w:numFmt w:val="lowerLetter"/>
      <w:start w:val="2"/>
    </w:lvl>
    <w:lvl w:ilvl="1">
      <w:lvlJc w:val="left"/>
      <w:lvlText w:val="(%2)"/>
      <w:numFmt w:val="lowerRoman"/>
      <w:start w:val="1"/>
    </w:lvl>
  </w:abstractNum>
  <w:abstractNum w:abstractNumId="79">
    <w:nsid w:val="634C574C"/>
    <w:multiLevelType w:val="hybridMultilevel"/>
    <w:lvl w:ilvl="0">
      <w:lvlJc w:val="left"/>
      <w:lvlText w:val="(%1)"/>
      <w:numFmt w:val="lowerRoman"/>
      <w:start w:val="3"/>
    </w:lvl>
  </w:abstractNum>
  <w:abstractNum w:abstractNumId="80">
    <w:nsid w:val="24E99DD7"/>
    <w:multiLevelType w:val="hybridMultilevel"/>
    <w:lvl w:ilvl="0">
      <w:lvlJc w:val="left"/>
      <w:lvlText w:val="(%1)"/>
      <w:numFmt w:val="upperLetter"/>
      <w:start w:val="2"/>
    </w:lvl>
  </w:abstractNum>
  <w:abstractNum w:abstractNumId="81">
    <w:nsid w:val="2A31B62D"/>
    <w:multiLevelType w:val="hybridMultilevel"/>
    <w:lvl w:ilvl="0">
      <w:lvlJc w:val="left"/>
      <w:lvlText w:val="(%1)"/>
      <w:numFmt w:val="lowerRoman"/>
      <w:start w:val="4"/>
    </w:lvl>
  </w:abstractNum>
  <w:abstractNum w:abstractNumId="82">
    <w:nsid w:val="1849C29B"/>
    <w:multiLevelType w:val="hybridMultilevel"/>
    <w:lvl w:ilvl="0">
      <w:lvlJc w:val="left"/>
      <w:lvlText w:val="(%1)"/>
      <w:numFmt w:val="lowerLetter"/>
      <w:start w:val="3"/>
    </w:lvl>
  </w:abstractNum>
  <w:abstractNum w:abstractNumId="83">
    <w:nsid w:val="7DFF9D09"/>
    <w:multiLevelType w:val="hybridMultilevel"/>
    <w:lvl w:ilvl="0">
      <w:lvlJc w:val="left"/>
      <w:lvlText w:val="(%1)"/>
      <w:numFmt w:val="lowerLetter"/>
      <w:start w:val="1"/>
    </w:lvl>
    <w:lvl w:ilvl="1">
      <w:lvlJc w:val="left"/>
      <w:lvlText w:val="(%2)"/>
      <w:numFmt w:val="lowerRoman"/>
      <w:start w:val="1"/>
    </w:lvl>
  </w:abstractNum>
  <w:abstractNum w:abstractNumId="84">
    <w:nsid w:val="754342"/>
    <w:multiLevelType w:val="hybridMultilevel"/>
    <w:lvl w:ilvl="0">
      <w:lvlJc w:val="left"/>
      <w:lvlText w:val="%1"/>
      <w:numFmt w:val="upperLetter"/>
      <w:start w:val="1"/>
    </w:lvl>
    <w:lvl w:ilvl="1">
      <w:lvlJc w:val="left"/>
      <w:lvlText w:val="(%2)"/>
      <w:numFmt w:val="lowerRoman"/>
      <w:start w:val="3"/>
    </w:lvl>
  </w:abstractNum>
  <w:abstractNum w:abstractNumId="85">
    <w:nsid w:val="69E7F3E5"/>
    <w:multiLevelType w:val="hybridMultilevel"/>
    <w:lvl w:ilvl="0">
      <w:lvlJc w:val="left"/>
      <w:lvlText w:val="(%1)"/>
      <w:numFmt w:val="upperLetter"/>
      <w:start w:val="2"/>
    </w:lvl>
    <w:lvl w:ilvl="1">
      <w:lvlJc w:val="left"/>
      <w:lvlText w:val="(%2)"/>
      <w:numFmt w:val="lowerRoman"/>
      <w:start w:val="6"/>
    </w:lvl>
  </w:abstractNum>
  <w:abstractNum w:abstractNumId="86">
    <w:nsid w:val="2A6DE806"/>
    <w:multiLevelType w:val="hybridMultilevel"/>
    <w:lvl w:ilvl="0">
      <w:lvlJc w:val="left"/>
      <w:lvlText w:val="(%1)"/>
      <w:numFmt w:val="upperLetter"/>
      <w:start w:val="1"/>
    </w:lvl>
    <w:lvl w:ilvl="1">
      <w:lvlJc w:val="left"/>
      <w:lvlText w:val="%2"/>
      <w:numFmt w:val="lowerRoman"/>
      <w:start w:val="1"/>
    </w:lvl>
  </w:abstractNum>
  <w:abstractNum w:abstractNumId="87">
    <w:nsid w:val="1816F8C4"/>
    <w:multiLevelType w:val="hybridMultilevel"/>
    <w:lvl w:ilvl="0">
      <w:lvlJc w:val="left"/>
      <w:lvlText w:val="(%1)"/>
      <w:numFmt w:val="lowerRoman"/>
      <w:start w:val="11"/>
    </w:lvl>
  </w:abstractNum>
  <w:abstractNum w:abstractNumId="88">
    <w:nsid w:val="37DF2233"/>
    <w:multiLevelType w:val="hybridMultilevel"/>
    <w:lvl w:ilvl="0">
      <w:lvlJc w:val="left"/>
      <w:lvlText w:val="(%1)"/>
      <w:numFmt w:val="lowerLetter"/>
      <w:start w:val="3"/>
    </w:lvl>
  </w:abstractNum>
  <w:abstractNum w:abstractNumId="89">
    <w:nsid w:val="7AB49DAF"/>
    <w:multiLevelType w:val="hybridMultilevel"/>
    <w:lvl w:ilvl="0">
      <w:lvlJc w:val="left"/>
      <w:lvlText w:val="(%1)"/>
      <w:numFmt w:val="lowerLetter"/>
      <w:start w:val="1"/>
    </w:lvl>
  </w:abstractNum>
  <w:abstractNum w:abstractNumId="90">
    <w:nsid w:val="759F82CD"/>
    <w:multiLevelType w:val="hybridMultilevel"/>
    <w:lvl w:ilvl="0">
      <w:lvlJc w:val="left"/>
      <w:lvlText w:val="(%1)"/>
      <w:numFmt w:val="lowerLetter"/>
      <w:start w:val="1"/>
    </w:lvl>
  </w:abstractNum>
  <w:abstractNum w:abstractNumId="91">
    <w:nsid w:val="61E74EA3"/>
    <w:multiLevelType w:val="hybridMultilevel"/>
    <w:lvl w:ilvl="0">
      <w:lvlJc w:val="left"/>
      <w:lvlText w:val="(%1)"/>
      <w:numFmt w:val="lowerLetter"/>
      <w:start w:val="1"/>
    </w:lvl>
  </w:abstractNum>
  <w:abstractNum w:abstractNumId="92">
    <w:nsid w:val="597B4D84"/>
    <w:multiLevelType w:val="hybridMultilevel"/>
    <w:lvl w:ilvl="0">
      <w:lvlJc w:val="left"/>
      <w:lvlText w:val="(%1)"/>
      <w:numFmt w:val="lowerLetter"/>
      <w:start w:val="1"/>
    </w:lvl>
  </w:abstractNum>
  <w:abstractNum w:abstractNumId="93">
    <w:nsid w:val="F819E7F"/>
    <w:multiLevelType w:val="hybridMultilevel"/>
    <w:lvl w:ilvl="0">
      <w:lvlJc w:val="left"/>
      <w:lvlText w:val="(%1)"/>
      <w:numFmt w:val="lowerLetter"/>
      <w:start w:val="1"/>
    </w:lvl>
  </w:abstractNum>
  <w:abstractNum w:abstractNumId="94">
    <w:nsid w:val="57C7D42D"/>
    <w:multiLevelType w:val="hybridMultilevel"/>
    <w:lvl w:ilvl="0">
      <w:lvlJc w:val="left"/>
      <w:lvlText w:val="(%1)"/>
      <w:numFmt w:val="lowerLetter"/>
      <w:start w:val="1"/>
    </w:lvl>
  </w:abstractNum>
  <w:abstractNum w:abstractNumId="95">
    <w:nsid w:val="312167AD"/>
    <w:multiLevelType w:val="hybridMultilevel"/>
    <w:lvl w:ilvl="0">
      <w:lvlJc w:val="left"/>
      <w:lvlText w:val="(%1)"/>
      <w:numFmt w:val="lowerLetter"/>
      <w:start w:val="3"/>
    </w:lvl>
  </w:abstractNum>
  <w:abstractNum w:abstractNumId="96">
    <w:nsid w:val="631B64D4"/>
    <w:multiLevelType w:val="hybridMultilevel"/>
    <w:lvl w:ilvl="0">
      <w:lvlJc w:val="left"/>
      <w:lvlText w:val="(%1)"/>
      <w:numFmt w:val="lowerLetter"/>
      <w:start w:val="1"/>
    </w:lvl>
  </w:abstractNum>
  <w:abstractNum w:abstractNumId="97">
    <w:nsid w:val="78B5E776"/>
    <w:multiLevelType w:val="hybridMultilevel"/>
    <w:lvl w:ilvl="0">
      <w:lvlJc w:val="left"/>
      <w:lvlText w:val="(%1)"/>
      <w:numFmt w:val="lowerLetter"/>
      <w:start w:val="5"/>
    </w:lvl>
  </w:abstractNum>
  <w:abstractNum w:abstractNumId="98">
    <w:nsid w:val="75486E47"/>
    <w:multiLevelType w:val="hybridMultilevel"/>
    <w:lvl w:ilvl="0">
      <w:lvlJc w:val="left"/>
      <w:lvlText w:val="(%1)"/>
      <w:numFmt w:val="lowerLetter"/>
      <w:start w:val="24"/>
    </w:lvl>
  </w:abstractNum>
  <w:abstractNum w:abstractNumId="99">
    <w:nsid w:val="6E534CDE"/>
    <w:multiLevelType w:val="hybridMultilevel"/>
    <w:lvl w:ilvl="0">
      <w:lvlJc w:val="left"/>
      <w:lvlText w:val="(%1)"/>
      <w:numFmt w:val="lowerLetter"/>
      <w:start w:val="1"/>
    </w:lvl>
  </w:abstractNum>
  <w:abstractNum w:abstractNumId="100">
    <w:nsid w:val="1A0DDE32"/>
    <w:multiLevelType w:val="hybridMultilevel"/>
    <w:lvl w:ilvl="0">
      <w:lvlJc w:val="left"/>
      <w:lvlText w:val="(%1)"/>
      <w:numFmt w:val="lowerLetter"/>
      <w:start w:val="1"/>
    </w:lvl>
  </w:abstractNum>
  <w:abstractNum w:abstractNumId="101">
    <w:nsid w:val="65968C1C"/>
    <w:multiLevelType w:val="hybridMultilevel"/>
    <w:lvl w:ilvl="0">
      <w:lvlJc w:val="left"/>
      <w:lvlText w:val="(%1)"/>
      <w:numFmt w:val="lowerLetter"/>
      <w:start w:val="1"/>
    </w:lvl>
  </w:abstractNum>
  <w:abstractNum w:abstractNumId="102">
    <w:nsid w:val="46263DEC"/>
    <w:multiLevelType w:val="hybridMultilevel"/>
    <w:lvl w:ilvl="0">
      <w:lvlJc w:val="left"/>
      <w:lvlText w:val="(%1)"/>
      <w:numFmt w:val="lowerLetter"/>
      <w:start w:val="2"/>
    </w:lvl>
  </w:abstractNum>
  <w:abstractNum w:abstractNumId="103">
    <w:nsid w:val="260D8C4A"/>
    <w:multiLevelType w:val="hybridMultilevel"/>
    <w:lvl w:ilvl="0">
      <w:lvlJc w:val="left"/>
      <w:lvlText w:val="(%1)"/>
      <w:numFmt w:val="lowerRoman"/>
      <w:start w:val="2"/>
    </w:lvl>
  </w:abstractNum>
  <w:abstractNum w:abstractNumId="104">
    <w:nsid w:val="73D4D3C4"/>
    <w:multiLevelType w:val="hybridMultilevel"/>
    <w:lvl w:ilvl="0">
      <w:lvlJc w:val="left"/>
      <w:lvlText w:val="(%1)"/>
      <w:numFmt w:val="lowerLetter"/>
      <w:start w:val="1"/>
    </w:lvl>
  </w:abstractNum>
  <w:abstractNum w:abstractNumId="105">
    <w:nsid w:val="746F2E30"/>
    <w:multiLevelType w:val="hybridMultilevel"/>
    <w:lvl w:ilvl="0">
      <w:lvlJc w:val="left"/>
      <w:lvlText w:val="(%1)"/>
      <w:numFmt w:val="lowerLetter"/>
      <w:start w:val="4"/>
    </w:lvl>
  </w:abstractNum>
  <w:abstractNum w:abstractNumId="106">
    <w:nsid w:val="6FDE8AF6"/>
    <w:multiLevelType w:val="hybridMultilevel"/>
    <w:lvl w:ilvl="0">
      <w:lvlJc w:val="left"/>
      <w:lvlText w:val="(%1)"/>
      <w:numFmt w:val="lowerLetter"/>
      <w:start w:val="12"/>
    </w:lvl>
  </w:abstractNum>
  <w:abstractNum w:abstractNumId="107">
    <w:nsid w:val="3FC32E20"/>
    <w:multiLevelType w:val="hybridMultilevel"/>
    <w:lvl w:ilvl="0">
      <w:lvlJc w:val="left"/>
      <w:lvlText w:val="%1"/>
      <w:numFmt w:val="lowerLetter"/>
      <w:start w:val="1"/>
    </w:lvl>
    <w:lvl w:ilvl="1">
      <w:lvlJc w:val="left"/>
      <w:lvlText w:val="(%2)"/>
      <w:numFmt w:val="lowerLetter"/>
      <w:start w:val="1"/>
    </w:lvl>
  </w:abstractNum>
  <w:abstractNum w:abstractNumId="108">
    <w:nsid w:val="49C0E823"/>
    <w:multiLevelType w:val="hybridMultilevel"/>
    <w:lvl w:ilvl="0">
      <w:lvlJc w:val="left"/>
      <w:lvlText w:val="(%1)"/>
      <w:numFmt w:val="lowerLetter"/>
      <w:start w:val="9"/>
    </w:lvl>
    <w:lvl w:ilvl="1">
      <w:lvlJc w:val="left"/>
      <w:lvlText w:val="(%2)"/>
      <w:numFmt w:val="lowerLetter"/>
      <w:start w:val="6"/>
    </w:lvl>
  </w:abstractNum>
  <w:abstractNum w:abstractNumId="109">
    <w:nsid w:val="14D53685"/>
    <w:multiLevelType w:val="hybridMultilevel"/>
    <w:lvl w:ilvl="0">
      <w:lvlJc w:val="left"/>
      <w:lvlText w:val="(%1)"/>
      <w:numFmt w:val="lowerLetter"/>
      <w:start w:val="9"/>
    </w:lvl>
  </w:abstractNum>
  <w:abstractNum w:abstractNumId="110">
    <w:nsid w:val="230F856C"/>
    <w:multiLevelType w:val="hybridMultilevel"/>
    <w:lvl w:ilvl="0">
      <w:lvlJc w:val="left"/>
      <w:lvlText w:val="%1"/>
      <w:numFmt w:val="lowerLetter"/>
      <w:start w:val="1"/>
    </w:lvl>
    <w:lvl w:ilvl="1">
      <w:lvlJc w:val="left"/>
      <w:lvlText w:val="(%2)"/>
      <w:numFmt w:val="lowerLetter"/>
      <w:start w:val="1"/>
    </w:lvl>
  </w:abstractNum>
  <w:abstractNum w:abstractNumId="111">
    <w:nsid w:val="6EAA85FB"/>
    <w:multiLevelType w:val="hybridMultilevel"/>
    <w:lvl w:ilvl="0">
      <w:lvlJc w:val="left"/>
      <w:lvlText w:val="(%1)"/>
      <w:numFmt w:val="lowerLetter"/>
      <w:start w:val="9"/>
    </w:lvl>
    <w:lvl w:ilvl="1">
      <w:lvlJc w:val="left"/>
      <w:lvlText w:val="(%2)"/>
      <w:numFmt w:val="lowerLetter"/>
      <w:start w:val="2"/>
    </w:lvl>
  </w:abstractNum>
  <w:abstractNum w:abstractNumId="112">
    <w:nsid w:val="3F06ECB2"/>
    <w:multiLevelType w:val="hybridMultilevel"/>
    <w:lvl w:ilvl="0">
      <w:lvlJc w:val="left"/>
      <w:lvlText w:val="(%1)"/>
      <w:numFmt w:val="lowerLetter"/>
      <w:start w:val="1"/>
    </w:lvl>
  </w:abstractNum>
  <w:abstractNum w:abstractNumId="113">
    <w:nsid w:val="3B594807"/>
    <w:multiLevelType w:val="hybridMultilevel"/>
    <w:lvl w:ilvl="0">
      <w:lvlJc w:val="left"/>
      <w:lvlText w:val="(%1)"/>
      <w:numFmt w:val="lowerLetter"/>
      <w:start w:val="11"/>
    </w:lvl>
  </w:abstractNum>
  <w:abstractNum w:abstractNumId="114">
    <w:nsid w:val="6CAA2304"/>
    <w:multiLevelType w:val="hybridMultilevel"/>
    <w:lvl w:ilvl="0">
      <w:lvlJc w:val="left"/>
      <w:lvlText w:val="(%1)"/>
      <w:numFmt w:val="lowerLetter"/>
      <w:start w:val="1"/>
    </w:lvl>
  </w:abstractNum>
  <w:abstractNum w:abstractNumId="115">
    <w:nsid w:val="3F7C2FF4"/>
    <w:multiLevelType w:val="hybridMultilevel"/>
    <w:lvl w:ilvl="0">
      <w:lvlJc w:val="left"/>
      <w:lvlText w:val="(%1)"/>
      <w:numFmt w:val="lowerLetter"/>
      <w:start w:val="3"/>
    </w:lvl>
  </w:abstractNum>
  <w:abstractNum w:abstractNumId="116">
    <w:nsid w:val="25413BEC"/>
    <w:multiLevelType w:val="hybridMultilevel"/>
    <w:lvl w:ilvl="0">
      <w:lvlJc w:val="left"/>
      <w:lvlText w:val="(%1)"/>
      <w:numFmt w:val="lowerLetter"/>
      <w:start w:val="1"/>
    </w:lvl>
  </w:abstractNum>
  <w:abstractNum w:abstractNumId="117">
    <w:nsid w:val="17180B0B"/>
    <w:multiLevelType w:val="hybridMultilevel"/>
    <w:lvl w:ilvl="0">
      <w:lvlJc w:val="left"/>
      <w:lvlText w:val="(%1)"/>
      <w:numFmt w:val="lowerLetter"/>
      <w:start w:val="8"/>
    </w:lvl>
  </w:abstractNum>
  <w:abstractNum w:abstractNumId="118">
    <w:nsid w:val="579328B9"/>
    <w:multiLevelType w:val="hybridMultilevel"/>
    <w:lvl w:ilvl="0">
      <w:lvlJc w:val="left"/>
      <w:lvlText w:val="(%1)"/>
      <w:numFmt w:val="lowerLetter"/>
      <w:start w:val="1"/>
    </w:lvl>
  </w:abstractNum>
  <w:abstractNum w:abstractNumId="119">
    <w:nsid w:val="5D205E20"/>
    <w:multiLevelType w:val="hybridMultilevel"/>
    <w:lvl w:ilvl="0">
      <w:lvlJc w:val="left"/>
      <w:lvlText w:val="(%1)"/>
      <w:numFmt w:val="lowerLetter"/>
      <w:start w:val="1"/>
    </w:lvl>
  </w:abstractNum>
  <w:abstractNum w:abstractNumId="120">
    <w:nsid w:val="11CCA8BA"/>
    <w:multiLevelType w:val="hybridMultilevel"/>
    <w:lvl w:ilvl="0">
      <w:lvlJc w:val="left"/>
      <w:lvlText w:val="(%1)"/>
      <w:numFmt w:val="lowerLetter"/>
      <w:start w:val="8"/>
    </w:lvl>
  </w:abstractNum>
  <w:abstractNum w:abstractNumId="121">
    <w:nsid w:val="4D32AB86"/>
    <w:multiLevelType w:val="hybridMultilevel"/>
    <w:lvl w:ilvl="0">
      <w:lvlJc w:val="left"/>
      <w:lvlText w:val="(%1)"/>
      <w:numFmt w:val="lowerLetter"/>
      <w:start w:val="13"/>
    </w:lvl>
  </w:abstractNum>
  <w:abstractNum w:abstractNumId="122">
    <w:nsid w:val="3F07ACC3"/>
    <w:multiLevelType w:val="hybridMultilevel"/>
    <w:lvl w:ilvl="0">
      <w:lvlJc w:val="left"/>
      <w:lvlText w:val="(%1)"/>
      <w:numFmt w:val="lowerLetter"/>
      <w:start w:val="1"/>
    </w:lvl>
  </w:abstractNum>
  <w:abstractNum w:abstractNumId="123">
    <w:nsid w:val="6B47F63E"/>
    <w:multiLevelType w:val="hybridMultilevel"/>
    <w:lvl w:ilvl="0">
      <w:lvlJc w:val="left"/>
      <w:lvlText w:val="(%1)"/>
      <w:numFmt w:val="lowerLetter"/>
      <w:start w:val="3"/>
    </w:lvl>
  </w:abstractNum>
  <w:abstractNum w:abstractNumId="124">
    <w:nsid w:val="5CB44A05"/>
    <w:multiLevelType w:val="hybridMultilevel"/>
    <w:lvl w:ilvl="0">
      <w:lvlJc w:val="left"/>
      <w:lvlText w:val="(%1)"/>
      <w:numFmt w:val="lowerLetter"/>
      <w:start w:val="1"/>
    </w:lvl>
  </w:abstractNum>
  <w:abstractNum w:abstractNumId="125">
    <w:nsid w:val="16CF80F1"/>
    <w:multiLevelType w:val="hybridMultilevel"/>
    <w:lvl w:ilvl="0">
      <w:lvlJc w:val="left"/>
      <w:lvlText w:val="(%1)"/>
      <w:numFmt w:val="lowerLetter"/>
      <w:start w:val="1"/>
    </w:lvl>
  </w:abstractNum>
  <w:abstractNum w:abstractNumId="126">
    <w:nsid w:val="1C695DEC"/>
    <w:multiLevelType w:val="hybridMultilevel"/>
    <w:lvl w:ilvl="0">
      <w:lvlJc w:val="left"/>
      <w:lvlText w:val="(%1)"/>
      <w:numFmt w:val="lowerLetter"/>
      <w:start w:val="1"/>
    </w:lvl>
    <w:lvl w:ilvl="1">
      <w:lvlJc w:val="left"/>
      <w:lvlText w:val="(%2)"/>
      <w:numFmt w:val="lowerRoman"/>
      <w:start w:val="1"/>
    </w:lvl>
  </w:abstractNum>
  <w:abstractNum w:abstractNumId="127">
    <w:nsid w:val="3FCFAED9"/>
    <w:multiLevelType w:val="hybridMultilevel"/>
    <w:lvl w:ilvl="0">
      <w:lvlJc w:val="left"/>
      <w:lvlText w:val="(%1)"/>
      <w:numFmt w:val="lowerLetter"/>
      <w:start w:val="1"/>
    </w:lvl>
  </w:abstractNum>
  <w:abstractNum w:abstractNumId="128">
    <w:nsid w:val="F856867"/>
    <w:multiLevelType w:val="hybridMultilevel"/>
    <w:lvl w:ilvl="0">
      <w:lvlJc w:val="left"/>
      <w:lvlText w:val="(%1)"/>
      <w:numFmt w:val="lowerLetter"/>
      <w:start w:val="2"/>
    </w:lvl>
  </w:abstractNum>
  <w:abstractNum w:abstractNumId="129">
    <w:nsid w:val="11B1CC33"/>
    <w:multiLevelType w:val="hybridMultilevel"/>
    <w:lvl w:ilvl="0">
      <w:lvlJc w:val="left"/>
      <w:lvlText w:val="(%1)"/>
      <w:numFmt w:val="lowerLetter"/>
      <w:start w:val="1"/>
    </w:lvl>
  </w:abstractNum>
  <w:abstractNum w:abstractNumId="130">
    <w:nsid w:val="2E22FBB7"/>
    <w:multiLevelType w:val="hybridMultilevel"/>
    <w:lvl w:ilvl="0">
      <w:lvlJc w:val="left"/>
      <w:lvlText w:val="(%1)"/>
      <w:numFmt w:val="lowerRoman"/>
      <w:start w:val="1"/>
    </w:lvl>
  </w:abstractNum>
  <w:abstractNum w:abstractNumId="131">
    <w:nsid w:val="29934699"/>
    <w:multiLevelType w:val="hybridMultilevel"/>
    <w:lvl w:ilvl="0">
      <w:lvlJc w:val="left"/>
      <w:lvlText w:val="%1"/>
      <w:numFmt w:val="lowerLetter"/>
      <w:start w:val="1"/>
    </w:lvl>
    <w:lvl w:ilvl="1">
      <w:lvlJc w:val="left"/>
      <w:lvlText w:val="(%2)"/>
      <w:numFmt w:val="lowerLetter"/>
      <w:start w:val="35"/>
    </w:lvl>
  </w:abstractNum>
  <w:abstractNum w:abstractNumId="132">
    <w:nsid w:val="77485850"/>
    <w:multiLevelType w:val="hybridMultilevel"/>
    <w:lvl w:ilvl="0">
      <w:lvlJc w:val="left"/>
      <w:lvlText w:val="(%1)"/>
      <w:numFmt w:val="lowerLetter"/>
      <w:start w:val="2"/>
    </w:lvl>
    <w:lvl w:ilvl="1">
      <w:lvlJc w:val="left"/>
      <w:lvlText w:val="(%2)"/>
      <w:numFmt w:val="lowerLetter"/>
      <w:start w:val="9"/>
    </w:lvl>
  </w:abstractNum>
  <w:abstractNum w:abstractNumId="133">
    <w:nsid w:val="744939A3"/>
    <w:multiLevelType w:val="hybridMultilevel"/>
    <w:lvl w:ilvl="0">
      <w:lvlJc w:val="left"/>
      <w:lvlText w:val="(%1)"/>
      <w:numFmt w:val="lowerRoman"/>
      <w:start w:val="2"/>
    </w:lvl>
  </w:abstractNum>
  <w:abstractNum w:abstractNumId="134">
    <w:nsid w:val="4FA0D2E3"/>
    <w:multiLevelType w:val="hybridMultilevel"/>
    <w:lvl w:ilvl="0">
      <w:lvlJc w:val="left"/>
      <w:lvlText w:val="(%1)"/>
      <w:numFmt w:val="lowerLetter"/>
      <w:start w:val="1"/>
    </w:lvl>
    <w:lvl w:ilvl="1">
      <w:lvlJc w:val="left"/>
      <w:lvlText w:val="(%2)"/>
      <w:numFmt w:val="lowerRoman"/>
      <w:start w:val="1"/>
    </w:lvl>
  </w:abstractNum>
  <w:abstractNum w:abstractNumId="135">
    <w:nsid w:val="6B1D2C14"/>
    <w:multiLevelType w:val="hybridMultilevel"/>
    <w:lvl w:ilvl="0">
      <w:lvlJc w:val="left"/>
      <w:lvlText w:val="(%1)"/>
      <w:numFmt w:val="lowerRoman"/>
      <w:start w:val="3"/>
    </w:lvl>
  </w:abstractNum>
  <w:abstractNum w:abstractNumId="136">
    <w:nsid w:val="68B867D3"/>
    <w:multiLevelType w:val="hybridMultilevel"/>
    <w:lvl w:ilvl="0">
      <w:lvlJc w:val="left"/>
      <w:lvlText w:val="(%1)"/>
      <w:numFmt w:val="upperLetter"/>
      <w:start w:val="5"/>
    </w:lvl>
  </w:abstractNum>
  <w:abstractNum w:abstractNumId="137">
    <w:nsid w:val="3F7F5DD9"/>
    <w:multiLevelType w:val="hybridMultilevel"/>
    <w:lvl w:ilvl="0">
      <w:lvlJc w:val="left"/>
      <w:lvlText w:val="%1"/>
      <w:numFmt w:val="lowerLetter"/>
      <w:start w:val="1"/>
    </w:lvl>
    <w:lvl w:ilvl="1">
      <w:lvlJc w:val="left"/>
      <w:lvlText w:val="(%2)"/>
      <w:numFmt w:val="lowerLetter"/>
      <w:start w:val="1"/>
    </w:lvl>
  </w:abstractNum>
  <w:abstractNum w:abstractNumId="138">
    <w:nsid w:val="2AE05A34"/>
    <w:multiLevelType w:val="hybridMultilevel"/>
    <w:lvl w:ilvl="0">
      <w:lvlJc w:val="left"/>
      <w:lvlText w:val="(%1)"/>
      <w:numFmt w:val="lowerLetter"/>
      <w:start w:val="9"/>
    </w:lvl>
    <w:lvl w:ilvl="1">
      <w:lvlJc w:val="left"/>
      <w:lvlText w:val="%2"/>
      <w:numFmt w:val="lowerLetter"/>
      <w:start w:val="1"/>
    </w:lvl>
  </w:abstractNum>
  <w:abstractNum w:abstractNumId="139">
    <w:nsid w:val="32794FF7"/>
    <w:multiLevelType w:val="hybridMultilevel"/>
    <w:lvl w:ilvl="0">
      <w:lvlJc w:val="left"/>
      <w:lvlText w:val="(%1)"/>
      <w:numFmt w:val="lowerLetter"/>
      <w:start w:val="3"/>
    </w:lvl>
  </w:abstractNum>
  <w:abstractNum w:abstractNumId="140">
    <w:nsid w:val="5454945E"/>
    <w:multiLevelType w:val="hybridMultilevel"/>
    <w:lvl w:ilvl="0">
      <w:lvlJc w:val="left"/>
      <w:lvlText w:val="(%1)"/>
      <w:numFmt w:val="lowerLetter"/>
      <w:start w:val="1"/>
    </w:lvl>
  </w:abstractNum>
  <w:abstractNum w:abstractNumId="141">
    <w:nsid w:val="4DEFDFA0"/>
    <w:multiLevelType w:val="hybridMultilevel"/>
    <w:lvl w:ilvl="0">
      <w:lvlJc w:val="left"/>
      <w:lvlText w:val="(%1)"/>
      <w:numFmt w:val="lowerLetter"/>
      <w:start w:val="2"/>
    </w:lvl>
    <w:lvl w:ilvl="1">
      <w:lvlJc w:val="left"/>
      <w:lvlText w:val="(%2)"/>
      <w:numFmt w:val="lowerLetter"/>
      <w:start w:val="9"/>
    </w:lvl>
  </w:abstractNum>
  <w:abstractNum w:abstractNumId="142">
    <w:nsid w:val="2123D5F2"/>
    <w:multiLevelType w:val="hybridMultilevel"/>
    <w:lvl w:ilvl="0">
      <w:lvlJc w:val="left"/>
      <w:lvlText w:val="(%1)"/>
      <w:numFmt w:val="upperLetter"/>
      <w:start w:val="1"/>
    </w:lvl>
  </w:abstractNum>
  <w:abstractNum w:abstractNumId="143">
    <w:nsid w:val="135B8110"/>
    <w:multiLevelType w:val="hybridMultilevel"/>
    <w:lvl w:ilvl="0">
      <w:lvlJc w:val="left"/>
      <w:lvlText w:val="(%1)"/>
      <w:numFmt w:val="lowerRoman"/>
      <w:start w:val="2"/>
    </w:lvl>
  </w:abstractNum>
  <w:abstractNum w:abstractNumId="144">
    <w:nsid w:val="94927A8"/>
    <w:multiLevelType w:val="hybridMultilevel"/>
    <w:lvl w:ilvl="0">
      <w:lvlJc w:val="left"/>
      <w:lvlText w:val="(%1)"/>
      <w:numFmt w:val="upperLetter"/>
      <w:start w:val="1"/>
    </w:lvl>
  </w:abstractNum>
  <w:abstractNum w:abstractNumId="145">
    <w:nsid w:val="DCDF8F6"/>
    <w:multiLevelType w:val="hybridMultilevel"/>
    <w:lvl w:ilvl="0">
      <w:lvlJc w:val="left"/>
      <w:lvlText w:val="(%1)"/>
      <w:numFmt w:val="upperLetter"/>
      <w:start w:val="2"/>
    </w:lvl>
  </w:abstractNum>
  <w:abstractNum w:abstractNumId="146">
    <w:nsid w:val="52D7B105"/>
    <w:multiLevelType w:val="hybridMultilevel"/>
    <w:lvl w:ilvl="0">
      <w:lvlJc w:val="left"/>
      <w:lvlText w:val="%1"/>
      <w:numFmt w:val="upperLetter"/>
      <w:start w:val="1"/>
    </w:lvl>
    <w:lvl w:ilvl="1">
      <w:lvlJc w:val="left"/>
      <w:lvlText w:val="(%2)"/>
      <w:numFmt w:val="lowerRoman"/>
      <w:start w:val="4"/>
    </w:lvl>
  </w:abstractNum>
  <w:abstractNum w:abstractNumId="147">
    <w:nsid w:val="2E8A6394"/>
    <w:multiLevelType w:val="hybridMultilevel"/>
    <w:lvl w:ilvl="0">
      <w:lvlJc w:val="left"/>
      <w:lvlText w:val="(%1)"/>
      <w:numFmt w:val="upperLetter"/>
      <w:start w:val="3"/>
    </w:lvl>
    <w:lvl w:ilvl="1">
      <w:lvlJc w:val="left"/>
      <w:lvlText w:val="(%2)"/>
      <w:numFmt w:val="lowerRoman"/>
      <w:start w:val="6"/>
    </w:lvl>
  </w:abstractNum>
  <w:abstractNum w:abstractNumId="148">
    <w:nsid w:val="24E60401"/>
    <w:multiLevelType w:val="hybridMultilevel"/>
    <w:lvl w:ilvl="0">
      <w:lvlJc w:val="left"/>
      <w:lvlText w:val="(%1)"/>
      <w:numFmt w:val="lowerLetter"/>
      <w:start w:val="3"/>
    </w:lvl>
  </w:abstractNum>
  <w:abstractNum w:abstractNumId="149">
    <w:nsid w:val="2A6AD9BE"/>
    <w:multiLevelType w:val="hybridMultilevel"/>
    <w:lvl w:ilvl="0">
      <w:lvlJc w:val="left"/>
      <w:lvlText w:val="(%1)"/>
      <w:numFmt w:val="lowerRoman"/>
      <w:start w:val="3"/>
    </w:lvl>
  </w:abstractNum>
  <w:abstractNum w:abstractNumId="150">
    <w:nsid w:val="BAAC1B4"/>
    <w:multiLevelType w:val="hybridMultilevel"/>
    <w:lvl w:ilvl="0">
      <w:lvlJc w:val="left"/>
      <w:lvlText w:val="(%1)"/>
      <w:numFmt w:val="lowerRoman"/>
      <w:start w:val="7"/>
    </w:lvl>
  </w:abstractNum>
  <w:abstractNum w:abstractNumId="151">
    <w:nsid w:val="36B2ACBC"/>
    <w:multiLevelType w:val="hybridMultilevel"/>
    <w:lvl w:ilvl="0">
      <w:lvlJc w:val="left"/>
      <w:lvlText w:val="(%1)"/>
      <w:numFmt w:val="lowerLetter"/>
      <w:start w:val="4"/>
    </w:lvl>
  </w:abstractNum>
  <w:abstractNum w:abstractNumId="152">
    <w:nsid w:val="779D8544"/>
    <w:multiLevelType w:val="hybridMultilevel"/>
    <w:lvl w:ilvl="0">
      <w:lvlJc w:val="left"/>
      <w:lvlText w:val="(%1)"/>
      <w:numFmt w:val="lowerLetter"/>
      <w:start w:val="1"/>
    </w:lvl>
  </w:abstractNum>
  <w:abstractNum w:abstractNumId="153">
    <w:nsid w:val="4AB26E78"/>
    <w:multiLevelType w:val="hybridMultilevel"/>
    <w:lvl w:ilvl="0">
      <w:lvlJc w:val="left"/>
      <w:lvlText w:val="(%1)"/>
      <w:numFmt w:val="lowerLetter"/>
      <w:start w:val="2"/>
    </w:lvl>
  </w:abstractNum>
  <w:abstractNum w:abstractNumId="154">
    <w:nsid w:val="21FAA2FA"/>
    <w:multiLevelType w:val="hybridMultilevel"/>
    <w:lvl w:ilvl="0">
      <w:lvlJc w:val="left"/>
      <w:lvlText w:val="1"/>
      <w:numFmt w:val="bullet"/>
      <w:start w:val="1"/>
    </w:lvl>
  </w:abstractNum>
  <w:abstractNum w:abstractNumId="155">
    <w:nsid w:val="5451CF49"/>
    <w:multiLevelType w:val="hybridMultilevel"/>
    <w:lvl w:ilvl="0">
      <w:lvlJc w:val="left"/>
      <w:lvlText w:val="2"/>
      <w:numFmt w:val="bullet"/>
      <w:start w:val="1"/>
    </w:lvl>
  </w:abstractNum>
  <w:abstractNum w:abstractNumId="156">
    <w:nsid w:val="6181EF69"/>
    <w:multiLevelType w:val="hybridMultilevel"/>
    <w:lvl w:ilvl="0">
      <w:lvlJc w:val="left"/>
      <w:lvlText w:val="3"/>
      <w:numFmt w:val="bullet"/>
      <w:start w:val="1"/>
    </w:lvl>
  </w:abstractNum>
  <w:abstractNum w:abstractNumId="157">
    <w:nsid w:val="3E6400E6"/>
    <w:multiLevelType w:val="hybridMultilevel"/>
    <w:lvl w:ilvl="0">
      <w:lvlJc w:val="left"/>
      <w:lvlText w:val="4"/>
      <w:numFmt w:val="bullet"/>
      <w:start w:val="1"/>
    </w:lvl>
  </w:abstractNum>
  <w:abstractNum w:abstractNumId="158">
    <w:nsid w:val="14217E23"/>
    <w:multiLevelType w:val="hybridMultilevel"/>
    <w:lvl w:ilvl="0">
      <w:lvlJc w:val="left"/>
      <w:lvlText w:val="5"/>
      <w:numFmt w:val="bullet"/>
      <w:start w:val="1"/>
    </w:lvl>
  </w:abstractNum>
  <w:abstractNum w:abstractNumId="159">
    <w:nsid w:val="710757D0"/>
    <w:multiLevelType w:val="hybridMultilevel"/>
    <w:lvl w:ilvl="0">
      <w:lvlJc w:val="left"/>
      <w:lvlText w:val="6"/>
      <w:numFmt w:val="bullet"/>
      <w:start w:val="1"/>
    </w:lvl>
  </w:abstractNum>
  <w:abstractNum w:abstractNumId="160">
    <w:nsid w:val="5015CD1A"/>
    <w:multiLevelType w:val="hybridMultilevel"/>
    <w:lvl w:ilvl="0">
      <w:lvlJc w:val="left"/>
      <w:lvlText w:val="7"/>
      <w:numFmt w:val="bullet"/>
      <w:start w:val="1"/>
    </w:lvl>
  </w:abstractNum>
  <w:abstractNum w:abstractNumId="161">
    <w:nsid w:val="424479DA"/>
    <w:multiLevelType w:val="hybridMultilevel"/>
    <w:lvl w:ilvl="0">
      <w:lvlJc w:val="left"/>
      <w:lvlText w:val="8"/>
      <w:numFmt w:val="bullet"/>
      <w:start w:val="1"/>
    </w:lvl>
  </w:abstractNum>
  <w:abstractNum w:abstractNumId="162">
    <w:nsid w:val="1A9A9E69"/>
    <w:multiLevelType w:val="hybridMultilevel"/>
    <w:lvl w:ilvl="0">
      <w:lvlJc w:val="left"/>
      <w:lvlText w:val="9"/>
      <w:numFmt w:val="bullet"/>
      <w:start w:val="1"/>
    </w:lvl>
  </w:abstractNum>
  <w:abstractNum w:abstractNumId="163">
    <w:nsid w:val="475E256A"/>
    <w:multiLevelType w:val="hybridMultilevel"/>
    <w:lvl w:ilvl="0">
      <w:lvlJc w:val="left"/>
      <w:lvlText w:val="%1"/>
      <w:numFmt w:val="decimal"/>
      <w:start w:val="10"/>
    </w:lvl>
  </w:abstractNum>
  <w:abstractNum w:abstractNumId="164">
    <w:nsid w:val="368DB37E"/>
    <w:multiLevelType w:val="hybridMultilevel"/>
    <w:lvl w:ilvl="0">
      <w:lvlJc w:val="left"/>
      <w:lvlText w:val="%1"/>
      <w:numFmt w:val="decimal"/>
      <w:start w:val="11"/>
    </w:lvl>
  </w:abstractNum>
  <w:abstractNum w:abstractNumId="165">
    <w:nsid w:val="6A3B714C"/>
    <w:multiLevelType w:val="hybridMultilevel"/>
    <w:lvl w:ilvl="0">
      <w:lvlJc w:val="left"/>
      <w:lvlText w:val="%1"/>
      <w:numFmt w:val="decimal"/>
      <w:start w:val="12"/>
    </w:lvl>
  </w:abstractNum>
  <w:abstractNum w:abstractNumId="166">
    <w:nsid w:val="327B517E"/>
    <w:multiLevelType w:val="hybridMultilevel"/>
    <w:lvl w:ilvl="0">
      <w:lvlJc w:val="left"/>
      <w:lvlText w:val="%1."/>
      <w:numFmt w:val="decimal"/>
      <w:start w:val="1"/>
    </w:lvl>
  </w:abstractNum>
  <w:abstractNum w:abstractNumId="167">
    <w:nsid w:val="1F461B51"/>
    <w:multiLevelType w:val="hybridMultilevel"/>
    <w:lvl w:ilvl="0">
      <w:lvlJc w:val="left"/>
      <w:lvlText w:val="%1."/>
      <w:numFmt w:val="decimal"/>
      <w:start w:val="2"/>
    </w:lvl>
  </w:abstractNum>
  <w:abstractNum w:abstractNumId="168">
    <w:nsid w:val="29BACF25"/>
    <w:multiLevelType w:val="hybridMultilevel"/>
    <w:lvl w:ilvl="0">
      <w:lvlJc w:val="left"/>
      <w:lvlText w:val="%1."/>
      <w:numFmt w:val="decimal"/>
      <w:start w:val="3"/>
    </w:lvl>
  </w:abstractNum>
  <w:abstractNum w:abstractNumId="169">
    <w:nsid w:val="5D5BABB3"/>
    <w:multiLevelType w:val="hybridMultilevel"/>
    <w:lvl w:ilvl="0">
      <w:lvlJc w:val="left"/>
      <w:lvlText w:val="(%1)"/>
      <w:numFmt w:val="lowerLetter"/>
      <w:start w:val="1"/>
    </w:lvl>
  </w:abstractNum>
  <w:abstractNum w:abstractNumId="170">
    <w:nsid w:val="51BF6B48"/>
    <w:multiLevelType w:val="hybridMultilevel"/>
    <w:lvl w:ilvl="0">
      <w:lvlJc w:val="left"/>
      <w:lvlText w:val="(%1)"/>
      <w:numFmt w:val="lowerLetter"/>
      <w:start w:val="1"/>
    </w:lvl>
  </w:abstractNum>
  <w:abstractNum w:abstractNumId="171">
    <w:nsid w:val="7E0F6384"/>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72">
    <w:nsid w:val="2B4B8B53"/>
    <w:multiLevelType w:val="hybridMultilevel"/>
    <w:lvl w:ilvl="0">
      <w:lvlJc w:val="left"/>
      <w:lvlText w:val="(%1)"/>
      <w:numFmt w:val="lowerLetter"/>
      <w:start w:val="5"/>
    </w:lvl>
  </w:abstractNum>
  <w:abstractNum w:abstractNumId="173">
    <w:nsid w:val="72E3413A"/>
    <w:multiLevelType w:val="hybridMultilevel"/>
    <w:lvl w:ilvl="0">
      <w:lvlJc w:val="left"/>
      <w:lvlText w:val="(%1)"/>
      <w:numFmt w:val="lowerLetter"/>
      <w:start w:val="1"/>
    </w:lvl>
  </w:abstractNum>
  <w:abstractNum w:abstractNumId="174">
    <w:nsid w:val="116AE494"/>
    <w:multiLevelType w:val="hybridMultilevel"/>
    <w:lvl w:ilvl="0">
      <w:lvlJc w:val="left"/>
      <w:lvlText w:val="(%1)"/>
      <w:numFmt w:val="lowerLetter"/>
      <w:start w:val="10"/>
    </w:lvl>
  </w:abstractNum>
  <w:abstractNum w:abstractNumId="175">
    <w:nsid w:val="3494B2FB"/>
    <w:multiLevelType w:val="hybridMultilevel"/>
    <w:lvl w:ilvl="0">
      <w:lvlJc w:val="left"/>
      <w:lvlText w:val="(%1)"/>
      <w:numFmt w:val="lowerLetter"/>
      <w:start w:val="1"/>
    </w:lvl>
    <w:lvl w:ilvl="1">
      <w:lvlJc w:val="left"/>
      <w:lvlText w:val="(%2)"/>
      <w:numFmt w:val="lowerRoman"/>
      <w:start w:val="1"/>
    </w:lvl>
  </w:abstractNum>
  <w:abstractNum w:abstractNumId="176">
    <w:nsid w:val="B13A31"/>
    <w:multiLevelType w:val="hybridMultilevel"/>
    <w:lvl w:ilvl="0">
      <w:lvlJc w:val="left"/>
      <w:lvlText w:val="(%1)"/>
      <w:numFmt w:val="upperLetter"/>
      <w:start w:val="8"/>
    </w:lvl>
    <w:lvl w:ilvl="1">
      <w:lvlJc w:val="left"/>
      <w:lvlText w:val="(%2)"/>
      <w:numFmt w:val="lowerLetter"/>
      <w:start w:val="2"/>
    </w:lvl>
  </w:abstractNum>
  <w:abstractNum w:abstractNumId="177">
    <w:nsid w:val="64429599"/>
    <w:multiLevelType w:val="hybridMultilevel"/>
    <w:lvl w:ilvl="0">
      <w:lvlJc w:val="left"/>
      <w:lvlText w:val="(%1)"/>
      <w:numFmt w:val="lowerLetter"/>
      <w:start w:val="1"/>
    </w:lvl>
  </w:abstractNum>
  <w:abstractNum w:abstractNumId="178">
    <w:nsid w:val="631F1690"/>
    <w:multiLevelType w:val="hybridMultilevel"/>
    <w:lvl w:ilvl="0">
      <w:lvlJc w:val="left"/>
      <w:lvlText w:val="(%1)"/>
      <w:numFmt w:val="lowerLetter"/>
      <w:start w:val="4"/>
    </w:lvl>
  </w:abstractNum>
  <w:abstractNum w:abstractNumId="179">
    <w:nsid w:val="25973E32"/>
    <w:multiLevelType w:val="hybridMultilevel"/>
    <w:lvl w:ilvl="0">
      <w:lvlJc w:val="left"/>
      <w:lvlText w:val="(%1)"/>
      <w:numFmt w:val="lowerRoman"/>
      <w:start w:val="2"/>
    </w:lvl>
  </w:abstractNum>
  <w:abstractNum w:abstractNumId="180">
    <w:nsid w:val="EAD6F57"/>
    <w:multiLevelType w:val="hybridMultilevel"/>
    <w:lvl w:ilvl="0">
      <w:lvlJc w:val="left"/>
      <w:lvlText w:val="(%1)"/>
      <w:numFmt w:val="lowerLetter"/>
      <w:start w:val="1"/>
    </w:lvl>
  </w:abstractNum>
  <w:abstractNum w:abstractNumId="181">
    <w:nsid w:val="6EC9D844"/>
    <w:multiLevelType w:val="hybridMultilevel"/>
    <w:lvl w:ilvl="0">
      <w:lvlJc w:val="left"/>
      <w:lvlText w:val="(%1)"/>
      <w:numFmt w:val="lowerLetter"/>
      <w:start w:val="2"/>
    </w:lvl>
  </w:abstractNum>
  <w:abstractNum w:abstractNumId="182">
    <w:nsid w:val="5C49EAEE"/>
    <w:multiLevelType w:val="hybridMultilevel"/>
    <w:lvl w:ilvl="0">
      <w:lvlJc w:val="left"/>
      <w:lvlText w:val="(%1)"/>
      <w:numFmt w:val="lowerLetter"/>
      <w:start w:val="1"/>
    </w:lvl>
  </w:abstractNum>
  <w:abstractNum w:abstractNumId="183">
    <w:nsid w:val="64AF49B"/>
    <w:multiLevelType w:val="hybridMultilevel"/>
    <w:lvl w:ilvl="0">
      <w:lvlJc w:val="left"/>
      <w:lvlText w:val="(%1)"/>
      <w:numFmt w:val="lowerLetter"/>
      <w:start w:val="6"/>
    </w:lvl>
  </w:abstractNum>
  <w:abstractNum w:abstractNumId="184">
    <w:nsid w:val="397C46BC"/>
    <w:multiLevelType w:val="hybridMultilevel"/>
    <w:lvl w:ilvl="0">
      <w:lvlJc w:val="left"/>
      <w:lvlText w:val="(%1)"/>
      <w:numFmt w:val="lowerLetter"/>
      <w:start w:val="1"/>
    </w:lvl>
  </w:abstractNum>
  <w:abstractNum w:abstractNumId="185">
    <w:nsid w:val="7E448DE9"/>
    <w:multiLevelType w:val="hybridMultilevel"/>
    <w:lvl w:ilvl="0">
      <w:lvlJc w:val="left"/>
      <w:lvlText w:val="(%1)"/>
      <w:numFmt w:val="lowerLetter"/>
      <w:start w:val="2"/>
    </w:lvl>
  </w:abstractNum>
  <w:abstractNum w:abstractNumId="186">
    <w:nsid w:val="5A9CC3E5"/>
    <w:multiLevelType w:val="hybridMultilevel"/>
    <w:lvl w:ilvl="0">
      <w:lvlJc w:val="left"/>
      <w:lvlText w:val="(%1)"/>
      <w:numFmt w:val="lowerLetter"/>
      <w:start w:val="1"/>
    </w:lvl>
  </w:abstractNum>
  <w:abstractNum w:abstractNumId="187">
    <w:nsid w:val="1AFE3625"/>
    <w:multiLevelType w:val="hybridMultilevel"/>
    <w:lvl w:ilvl="0">
      <w:lvlJc w:val="left"/>
      <w:lvlText w:val="(%1)"/>
      <w:numFmt w:val="lowerLetter"/>
      <w:start w:val="2"/>
    </w:lvl>
  </w:abstractNum>
  <w:abstractNum w:abstractNumId="188">
    <w:nsid w:val="3CA88ECF"/>
    <w:multiLevelType w:val="hybridMultilevel"/>
    <w:lvl w:ilvl="0">
      <w:lvlJc w:val="left"/>
      <w:lvlText w:val="(%1)"/>
      <w:numFmt w:val="lowerLetter"/>
      <w:start w:val="1"/>
    </w:lvl>
  </w:abstractNum>
  <w:abstractNum w:abstractNumId="189">
    <w:nsid w:val="6EBE4208"/>
    <w:multiLevelType w:val="hybridMultilevel"/>
    <w:lvl w:ilvl="0">
      <w:lvlJc w:val="left"/>
      <w:lvlText w:val="(%1)"/>
      <w:numFmt w:val="lowerRoman"/>
      <w:start w:val="1"/>
    </w:lvl>
  </w:abstractNum>
  <w:abstractNum w:abstractNumId="190">
    <w:nsid w:val="C058DF5"/>
    <w:multiLevelType w:val="hybridMultilevel"/>
    <w:lvl w:ilvl="0">
      <w:lvlJc w:val="left"/>
      <w:lvlText w:val="(%1)"/>
      <w:numFmt w:val="lowerLetter"/>
      <w:start w:val="2"/>
    </w:lvl>
  </w:abstractNum>
  <w:abstractNum w:abstractNumId="191">
    <w:nsid w:val="CBE5BE9"/>
    <w:multiLevelType w:val="hybridMultilevel"/>
    <w:lvl w:ilvl="0">
      <w:lvlJc w:val="left"/>
      <w:lvlText w:val="(%1)"/>
      <w:numFmt w:val="lowerLetter"/>
      <w:start w:val="1"/>
    </w:lvl>
  </w:abstractNum>
  <w:abstractNum w:abstractNumId="192">
    <w:nsid w:val="3102BBE2"/>
    <w:multiLevelType w:val="hybridMultilevel"/>
    <w:lvl w:ilvl="0">
      <w:lvlJc w:val="left"/>
      <w:lvlText w:val="(%1)"/>
      <w:numFmt w:val="lowerLetter"/>
      <w:start w:val="1"/>
    </w:lvl>
  </w:abstractNum>
  <w:abstractNum w:abstractNumId="193">
    <w:nsid w:val="26A02C5E"/>
    <w:multiLevelType w:val="hybridMultilevel"/>
    <w:lvl w:ilvl="0">
      <w:lvlJc w:val="left"/>
      <w:lvlText w:val="(%1)"/>
      <w:numFmt w:val="lowerLetter"/>
      <w:start w:val="3"/>
    </w:lvl>
  </w:abstractNum>
  <w:abstractNum w:abstractNumId="194">
    <w:nsid w:val="541C8153"/>
    <w:multiLevelType w:val="hybridMultilevel"/>
    <w:lvl w:ilvl="0">
      <w:lvlJc w:val="left"/>
      <w:lvlText w:val="(%1)"/>
      <w:numFmt w:val="lowerLetter"/>
      <w:start w:val="1"/>
    </w:lvl>
    <w:lvl w:ilvl="1">
      <w:lvlJc w:val="left"/>
      <w:lvlText w:val="(%2)"/>
      <w:numFmt w:val="lowerRoman"/>
      <w:start w:val="1"/>
    </w:lvl>
  </w:abstractNum>
  <w:abstractNum w:abstractNumId="195">
    <w:nsid w:val="67906F60"/>
    <w:multiLevelType w:val="hybridMultilevel"/>
    <w:lvl w:ilvl="0">
      <w:lvlJc w:val="left"/>
      <w:lvlText w:val="(%1)"/>
      <w:numFmt w:val="lowerLetter"/>
      <w:start w:val="3"/>
    </w:lvl>
  </w:abstractNum>
  <w:abstractNum w:abstractNumId="196">
    <w:nsid w:val="10DB9DA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2019-12-29T15:47:04Z</dcterms:created>
  <dcterms:modified xsi:type="dcterms:W3CDTF">2019-12-29T15:47:04Z</dcterms:modified>
</cp:coreProperties>
</file>