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006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6590"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006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59"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-207645</wp:posOffset>
            </wp:positionV>
            <wp:extent cx="32327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186055</wp:posOffset>
            </wp:positionV>
            <wp:extent cx="32327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920" w:hanging="554"/>
        <w:spacing w:after="0"/>
        <w:tabs>
          <w:tab w:leader="none" w:pos="9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73" w:lineRule="exact"/>
        <w:rPr>
          <w:rFonts w:ascii="MS PGothic" w:cs="MS PGothic" w:eastAsia="MS PGothic" w:hAnsi="MS PGothic"/>
          <w:sz w:val="19"/>
          <w:szCs w:val="19"/>
          <w:color w:val="auto"/>
        </w:rPr>
      </w:pPr>
    </w:p>
    <w:p>
      <w:pPr>
        <w:ind w:left="3920"/>
        <w:spacing w:after="0"/>
        <w:rPr>
          <w:rFonts w:ascii="MS PGothic" w:cs="MS PGothic" w:eastAsia="MS PGothic" w:hAnsi="MS PGothic"/>
          <w:sz w:val="19"/>
          <w:szCs w:val="19"/>
          <w:color w:val="auto"/>
        </w:rPr>
      </w:pPr>
      <w:r>
        <w:rPr>
          <w:rFonts w:ascii="Arial" w:cs="Arial" w:eastAsia="Arial" w:hAnsi="Arial"/>
          <w:sz w:val="18"/>
          <w:szCs w:val="18"/>
          <w:b w:val="1"/>
          <w:bCs w:val="1"/>
          <w:color w:val="auto"/>
        </w:rPr>
        <w:t>For the Quarterly Period Ended June 30, 2015</w:t>
      </w:r>
    </w:p>
    <w:p>
      <w:pPr>
        <w:spacing w:after="0" w:line="15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920" w:right="1180" w:hanging="520"/>
        <w:spacing w:after="0" w:line="243" w:lineRule="auto"/>
        <w:tabs>
          <w:tab w:leader="none" w:pos="920" w:val="left"/>
        </w:tabs>
        <w:numPr>
          <w:ilvl w:val="0"/>
          <w:numId w:val="2"/>
        </w:numPr>
        <w:rPr>
          <w:rFonts w:ascii="Arial" w:cs="Arial" w:eastAsia="Arial" w:hAnsi="Arial"/>
          <w:sz w:val="22"/>
          <w:szCs w:val="22"/>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 w:lineRule="exact"/>
        <w:rPr>
          <w:sz w:val="24"/>
          <w:szCs w:val="24"/>
          <w:color w:val="auto"/>
        </w:rPr>
      </w:pPr>
    </w:p>
    <w:p>
      <w:pPr>
        <w:ind w:left="360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102870</wp:posOffset>
            </wp:positionV>
            <wp:extent cx="32327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334645</wp:posOffset>
            </wp:positionV>
            <wp:extent cx="126936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936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LendingTree,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151"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5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26-2414818</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380"/>
        <w:spacing w:after="0"/>
        <w:rPr>
          <w:sz w:val="20"/>
          <w:szCs w:val="20"/>
          <w:color w:val="auto"/>
        </w:rPr>
      </w:pPr>
      <w:r>
        <w:rPr>
          <w:rFonts w:ascii="Arial" w:cs="Arial" w:eastAsia="Arial" w:hAnsi="Arial"/>
          <w:sz w:val="17"/>
          <w:szCs w:val="17"/>
          <w:color w:val="auto"/>
        </w:rPr>
        <w:t>Identification No.)</w:t>
      </w:r>
    </w:p>
    <w:p>
      <w:pPr>
        <w:spacing w:after="0" w:line="137" w:lineRule="exact"/>
        <w:rPr>
          <w:sz w:val="24"/>
          <w:szCs w:val="24"/>
          <w:color w:val="auto"/>
        </w:rPr>
      </w:pPr>
    </w:p>
    <w:p>
      <w:pPr>
        <w:sectPr>
          <w:pgSz w:w="11900" w:h="16838" w:orient="portrait"/>
          <w:cols w:equalWidth="0" w:num="2">
            <w:col w:w="6980" w:space="720"/>
            <w:col w:w="3720"/>
          </w:cols>
          <w:pgMar w:left="240" w:top="233" w:right="23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(704) 541-5351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91440</wp:posOffset>
            </wp:positionV>
            <wp:extent cx="32327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58" w:lineRule="exact"/>
        <w:rPr>
          <w:sz w:val="24"/>
          <w:szCs w:val="24"/>
          <w:color w:val="auto"/>
        </w:rPr>
      </w:pPr>
    </w:p>
    <w:p>
      <w:pPr>
        <w:jc w:val="both"/>
        <w:ind w:firstLine="21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16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116"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0" w:lineRule="exact"/>
        <w:rPr>
          <w:sz w:val="24"/>
          <w:szCs w:val="24"/>
          <w:color w:val="auto"/>
        </w:rPr>
      </w:pPr>
    </w:p>
    <w:p>
      <w:pPr>
        <w:sectPr>
          <w:pgSz w:w="11900" w:h="16838" w:orient="portrait"/>
          <w:cols w:equalWidth="0" w:num="2">
            <w:col w:w="6980" w:space="720"/>
            <w:col w:w="3720"/>
          </w:cols>
          <w:pgMar w:left="240" w:top="233" w:right="239" w:bottom="1440" w:gutter="0" w:footer="0" w:header="0"/>
          <w:type w:val="continuous"/>
        </w:sectPr>
      </w:pPr>
    </w:p>
    <w:p>
      <w:pPr>
        <w:spacing w:after="0" w:line="50"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2" w:lineRule="exact"/>
        <w:rPr>
          <w:sz w:val="24"/>
          <w:szCs w:val="24"/>
          <w:color w:val="auto"/>
        </w:rPr>
      </w:pPr>
    </w:p>
    <w:p>
      <w:pPr>
        <w:sectPr>
          <w:pgSz w:w="11900" w:h="16838" w:orient="portrait"/>
          <w:cols w:equalWidth="0" w:num="2">
            <w:col w:w="6600" w:space="720"/>
            <w:col w:w="4100"/>
          </w:cols>
          <w:pgMar w:left="240" w:top="233" w:right="239" w:bottom="1440" w:gutter="0" w:footer="0" w:header="0"/>
          <w:type w:val="continuous"/>
        </w:sectPr>
      </w:pPr>
    </w:p>
    <w:p>
      <w:pPr>
        <w:ind w:left="1320"/>
        <w:spacing w:after="0"/>
        <w:rPr>
          <w:sz w:val="20"/>
          <w:szCs w:val="20"/>
          <w:color w:val="auto"/>
        </w:rPr>
      </w:pPr>
      <w:r>
        <w:rPr>
          <w:rFonts w:ascii="Arial" w:cs="Arial" w:eastAsia="Arial" w:hAnsi="Arial"/>
          <w:sz w:val="14"/>
          <w:szCs w:val="14"/>
          <w:color w:val="auto"/>
        </w:rPr>
        <w:t>(Do not check if a smaller reporting company)</w:t>
      </w:r>
    </w:p>
    <w:p>
      <w:pPr>
        <w:spacing w:after="0" w:line="256"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July 30, 2015, there were 11,528,295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006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65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006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9"/>
        </w:trPr>
        <w:tc>
          <w:tcPr>
            <w:tcW w:w="540" w:type="dxa"/>
            <w:vAlign w:val="bottom"/>
            <w:vMerge w:val="restart"/>
          </w:tcPr>
          <w:p>
            <w:pPr>
              <w:spacing w:after="0"/>
              <w:rPr>
                <w:rFonts w:ascii="Arial" w:cs="Arial" w:eastAsia="Arial" w:hAnsi="Arial"/>
                <w:sz w:val="18"/>
                <w:szCs w:val="18"/>
                <w:b w:val="1"/>
                <w:bCs w:val="1"/>
                <w:color w:val="0000FF"/>
                <w:w w:val="91"/>
              </w:rPr>
            </w:pPr>
            <w:hyperlink w:anchor="page3">
              <w:r>
                <w:rPr>
                  <w:rFonts w:ascii="Arial" w:cs="Arial" w:eastAsia="Arial" w:hAnsi="Arial"/>
                  <w:sz w:val="18"/>
                  <w:szCs w:val="18"/>
                  <w:b w:val="1"/>
                  <w:bCs w:val="1"/>
                  <w:color w:val="0000FF"/>
                  <w:w w:val="91"/>
                </w:rPr>
                <w:t>Item 1.</w:t>
              </w:r>
            </w:hyperlink>
          </w:p>
        </w:tc>
        <w:tc>
          <w:tcPr>
            <w:tcW w:w="1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60" w:type="dxa"/>
            <w:vAlign w:val="bottom"/>
            <w:tcBorders>
              <w:bottom w:val="single" w:sz="8" w:color="0000FF"/>
            </w:tcBorders>
            <w:gridSpan w:val="5"/>
          </w:tcPr>
          <w:p>
            <w:pPr>
              <w:jc w:val="cente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I—FINANCIAL INFORMATION</w:t>
              </w:r>
            </w:hyperlink>
          </w:p>
        </w:tc>
        <w:tc>
          <w:tcPr>
            <w:tcW w:w="310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
              <w:r>
                <w:rPr>
                  <w:rFonts w:ascii="Arial" w:cs="Arial" w:eastAsia="Arial" w:hAnsi="Arial"/>
                  <w:sz w:val="18"/>
                  <w:szCs w:val="18"/>
                  <w:b w:val="1"/>
                  <w:bCs w:val="1"/>
                  <w:i w:val="1"/>
                  <w:iCs w:val="1"/>
                  <w:color w:val="0000FF"/>
                </w:rPr>
                <w:t>Financial Statements</w:t>
              </w:r>
            </w:hyperlink>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19">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sz w:val="20"/>
                <w:szCs w:val="20"/>
                <w:color w:val="auto"/>
              </w:rPr>
            </w:pPr>
            <w:r>
              <w:rPr>
                <w:rFonts w:ascii="Arial" w:cs="Arial" w:eastAsia="Arial" w:hAnsi="Arial"/>
                <w:sz w:val="18"/>
                <w:szCs w:val="18"/>
                <w:b w:val="1"/>
                <w:bCs w:val="1"/>
                <w:i w:val="1"/>
                <w:iCs w:val="1"/>
                <w:color w:val="0000FF"/>
              </w:rPr>
              <w:t>Management's Discussion and Analysis of Financial Condition and Results of Operations</w:t>
            </w:r>
          </w:p>
        </w:tc>
        <w:tc>
          <w:tcPr>
            <w:tcW w:w="102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20</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bottom w:val="single" w:sz="8" w:color="0000FF"/>
            </w:tcBorders>
          </w:tcPr>
          <w:p>
            <w:pPr>
              <w:spacing w:after="0"/>
              <w:rPr>
                <w:rFonts w:ascii="Arial" w:cs="Arial" w:eastAsia="Arial" w:hAnsi="Arial"/>
                <w:sz w:val="18"/>
                <w:szCs w:val="18"/>
                <w:b w:val="1"/>
                <w:bCs w:val="1"/>
                <w:color w:val="0000FF"/>
                <w:w w:val="91"/>
              </w:rPr>
            </w:pPr>
            <w:hyperlink w:anchor="page28">
              <w:r>
                <w:rPr>
                  <w:rFonts w:ascii="Arial" w:cs="Arial" w:eastAsia="Arial" w:hAnsi="Arial"/>
                  <w:sz w:val="18"/>
                  <w:szCs w:val="18"/>
                  <w:b w:val="1"/>
                  <w:bCs w:val="1"/>
                  <w:color w:val="0000FF"/>
                  <w:w w:val="91"/>
                </w:rPr>
                <w:t>Item 3.</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80" w:type="dxa"/>
            <w:vAlign w:val="bottom"/>
            <w:tcBorders>
              <w:top w:val="single" w:sz="8" w:color="0000FF"/>
              <w:bottom w:val="single" w:sz="8" w:color="0000FF"/>
            </w:tcBorders>
            <w:gridSpan w:val="9"/>
          </w:tcPr>
          <w:p>
            <w:pPr>
              <w:spacing w:after="0"/>
              <w:rPr>
                <w:rFonts w:ascii="Arial" w:cs="Arial" w:eastAsia="Arial" w:hAnsi="Arial"/>
                <w:sz w:val="18"/>
                <w:szCs w:val="18"/>
                <w:b w:val="1"/>
                <w:bCs w:val="1"/>
                <w:i w:val="1"/>
                <w:iCs w:val="1"/>
                <w:color w:val="0000FF"/>
                <w:w w:val="87"/>
              </w:rPr>
            </w:pPr>
            <w:hyperlink w:anchor="page28">
              <w:r>
                <w:rPr>
                  <w:rFonts w:ascii="Arial" w:cs="Arial" w:eastAsia="Arial" w:hAnsi="Arial"/>
                  <w:sz w:val="18"/>
                  <w:szCs w:val="18"/>
                  <w:b w:val="1"/>
                  <w:bCs w:val="1"/>
                  <w:i w:val="1"/>
                  <w:iCs w:val="1"/>
                  <w:color w:val="0000FF"/>
                  <w:w w:val="87"/>
                </w:rPr>
                <w:t>Quantitative and Qualitative Disclosures About Market Risk</w:t>
              </w:r>
            </w:hyperlink>
          </w:p>
        </w:tc>
        <w:tc>
          <w:tcPr>
            <w:tcW w:w="2200" w:type="dxa"/>
            <w:vAlign w:val="bottom"/>
            <w:tcBorders>
              <w:top w:val="single" w:sz="8" w:color="0000FF"/>
            </w:tcBorders>
            <w:gridSpan w:val="3"/>
          </w:tcPr>
          <w:p>
            <w:pPr>
              <w:spacing w:after="0"/>
              <w:rPr>
                <w:sz w:val="21"/>
                <w:szCs w:val="21"/>
                <w:color w:val="auto"/>
              </w:rPr>
            </w:pPr>
          </w:p>
        </w:tc>
        <w:tc>
          <w:tcPr>
            <w:tcW w:w="2180" w:type="dxa"/>
            <w:vAlign w:val="bottom"/>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Item 4.</w:t>
              </w:r>
            </w:hyperlink>
          </w:p>
        </w:tc>
        <w:tc>
          <w:tcPr>
            <w:tcW w:w="9680" w:type="dxa"/>
            <w:vAlign w:val="bottom"/>
            <w:gridSpan w:val="14"/>
          </w:tcPr>
          <w:p>
            <w:pPr>
              <w:ind w:left="820"/>
              <w:spacing w:after="0"/>
              <w:rPr>
                <w:rFonts w:ascii="Arial" w:cs="Arial" w:eastAsia="Arial" w:hAnsi="Arial"/>
                <w:sz w:val="18"/>
                <w:szCs w:val="18"/>
                <w:b w:val="1"/>
                <w:bCs w:val="1"/>
                <w:i w:val="1"/>
                <w:iCs w:val="1"/>
                <w:color w:val="0000FF"/>
              </w:rPr>
            </w:pPr>
            <w:hyperlink w:anchor="page28">
              <w:r>
                <w:rPr>
                  <w:rFonts w:ascii="Arial" w:cs="Arial" w:eastAsia="Arial" w:hAnsi="Arial"/>
                  <w:sz w:val="18"/>
                  <w:szCs w:val="18"/>
                  <w:b w:val="1"/>
                  <w:bCs w:val="1"/>
                  <w:i w:val="1"/>
                  <w:iCs w:val="1"/>
                  <w:color w:val="0000FF"/>
                </w:rPr>
                <w:t>Controls and Procedures</w:t>
              </w:r>
            </w:hyperlink>
          </w:p>
        </w:tc>
        <w:tc>
          <w:tcPr>
            <w:tcW w:w="10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520"/>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gridSpan w:val="6"/>
          </w:tcPr>
          <w:p>
            <w:pPr>
              <w:jc w:val="center"/>
              <w:ind w:right="3260"/>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PART II—OTHER INFORMATION</w:t>
              </w:r>
            </w:hyperlink>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40" w:type="dxa"/>
            <w:vAlign w:val="bottom"/>
            <w:tcBorders>
              <w:bottom w:val="single" w:sz="8" w:color="0000FF"/>
            </w:tcBorders>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1.</w:t>
              </w:r>
            </w:hyperlink>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Borders>
              <w:bottom w:val="single" w:sz="8" w:color="0000FF"/>
            </w:tcBorders>
            <w:gridSpan w:val="3"/>
          </w:tcPr>
          <w:p>
            <w:pPr>
              <w:spacing w:after="0"/>
              <w:rPr>
                <w:rFonts w:ascii="Arial" w:cs="Arial" w:eastAsia="Arial" w:hAnsi="Arial"/>
                <w:sz w:val="18"/>
                <w:szCs w:val="18"/>
                <w:b w:val="1"/>
                <w:bCs w:val="1"/>
                <w:i w:val="1"/>
                <w:iCs w:val="1"/>
                <w:color w:val="0000FF"/>
                <w:w w:val="84"/>
              </w:rPr>
            </w:pPr>
            <w:hyperlink w:anchor="page30">
              <w:r>
                <w:rPr>
                  <w:rFonts w:ascii="Arial" w:cs="Arial" w:eastAsia="Arial" w:hAnsi="Arial"/>
                  <w:sz w:val="18"/>
                  <w:szCs w:val="18"/>
                  <w:b w:val="1"/>
                  <w:bCs w:val="1"/>
                  <w:i w:val="1"/>
                  <w:iCs w:val="1"/>
                  <w:color w:val="0000FF"/>
                  <w:w w:val="84"/>
                </w:rPr>
                <w:t>Legal Proceedings</w:t>
              </w:r>
            </w:hyperlink>
          </w:p>
        </w:tc>
        <w:tc>
          <w:tcPr>
            <w:tcW w:w="1380" w:type="dxa"/>
            <w:vAlign w:val="bottom"/>
            <w:gridSpan w:val="4"/>
          </w:tcPr>
          <w:p>
            <w:pPr>
              <w:spacing w:after="0"/>
              <w:rPr>
                <w:sz w:val="24"/>
                <w:szCs w:val="24"/>
                <w:color w:val="auto"/>
              </w:rPr>
            </w:pPr>
          </w:p>
        </w:tc>
        <w:tc>
          <w:tcPr>
            <w:tcW w:w="2840" w:type="dxa"/>
            <w:vAlign w:val="bottom"/>
            <w:tcBorders>
              <w:top w:val="single" w:sz="8" w:color="0000FF"/>
            </w:tcBorders>
            <w:gridSpan w:val="3"/>
          </w:tcPr>
          <w:p>
            <w:pPr>
              <w:spacing w:after="0"/>
              <w:rPr>
                <w:sz w:val="24"/>
                <w:szCs w:val="24"/>
                <w:color w:val="auto"/>
              </w:rPr>
            </w:pPr>
          </w:p>
        </w:tc>
        <w:tc>
          <w:tcPr>
            <w:tcW w:w="32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1A.</w:t>
              </w:r>
            </w:hyperlink>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0">
              <w:r>
                <w:rPr>
                  <w:rFonts w:ascii="Arial" w:cs="Arial" w:eastAsia="Arial" w:hAnsi="Arial"/>
                  <w:sz w:val="18"/>
                  <w:szCs w:val="18"/>
                  <w:b w:val="1"/>
                  <w:bCs w:val="1"/>
                  <w:i w:val="1"/>
                  <w:iCs w:val="1"/>
                  <w:color w:val="0000FF"/>
                </w:rPr>
                <w:t>Risk Factors</w:t>
              </w:r>
            </w:hyperlink>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0">
              <w:r>
                <w:rPr>
                  <w:rFonts w:ascii="Arial" w:cs="Arial" w:eastAsia="Arial" w:hAnsi="Arial"/>
                  <w:sz w:val="18"/>
                  <w:szCs w:val="18"/>
                  <w:b w:val="1"/>
                  <w:bCs w:val="1"/>
                  <w:i w:val="1"/>
                  <w:iCs w:val="1"/>
                  <w:color w:val="0000FF"/>
                </w:rPr>
                <w:t>Unregistered Sales of Equity Securities and Use of Proceeds</w:t>
              </w:r>
            </w:hyperlink>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tcBorders>
          </w:tcPr>
          <w:p>
            <w:pPr>
              <w:spacing w:after="0"/>
              <w:rPr>
                <w:rFonts w:ascii="Arial" w:cs="Arial" w:eastAsia="Arial" w:hAnsi="Arial"/>
                <w:sz w:val="18"/>
                <w:szCs w:val="18"/>
                <w:b w:val="1"/>
                <w:bCs w:val="1"/>
                <w:color w:val="0000EE"/>
                <w:w w:val="91"/>
              </w:rPr>
            </w:pPr>
            <w:hyperlink w:anchor="page31">
              <w:r>
                <w:rPr>
                  <w:rFonts w:ascii="Arial" w:cs="Arial" w:eastAsia="Arial" w:hAnsi="Arial"/>
                  <w:sz w:val="18"/>
                  <w:szCs w:val="18"/>
                  <w:b w:val="1"/>
                  <w:bCs w:val="1"/>
                  <w:color w:val="0000EE"/>
                  <w:w w:val="91"/>
                </w:rPr>
                <w:t>Item 5.</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tcBorders>
              <w:top w:val="single" w:sz="8" w:color="0000FF"/>
            </w:tcBorders>
            <w:gridSpan w:val="8"/>
          </w:tcPr>
          <w:p>
            <w:pPr>
              <w:spacing w:after="0"/>
              <w:rPr>
                <w:rFonts w:ascii="Arial" w:cs="Arial" w:eastAsia="Arial" w:hAnsi="Arial"/>
                <w:sz w:val="18"/>
                <w:szCs w:val="18"/>
                <w:b w:val="1"/>
                <w:bCs w:val="1"/>
                <w:i w:val="1"/>
                <w:iCs w:val="1"/>
                <w:color w:val="0000EE"/>
              </w:rPr>
            </w:pPr>
            <w:hyperlink w:anchor="page31">
              <w:r>
                <w:rPr>
                  <w:rFonts w:ascii="Arial" w:cs="Arial" w:eastAsia="Arial" w:hAnsi="Arial"/>
                  <w:sz w:val="18"/>
                  <w:szCs w:val="18"/>
                  <w:b w:val="1"/>
                  <w:bCs w:val="1"/>
                  <w:i w:val="1"/>
                  <w:iCs w:val="1"/>
                  <w:color w:val="0000EE"/>
                </w:rPr>
                <w:t>Other Information</w:t>
              </w:r>
            </w:hyperlink>
          </w:p>
        </w:tc>
        <w:tc>
          <w:tcPr>
            <w:tcW w:w="4400" w:type="dxa"/>
            <w:vAlign w:val="bottom"/>
            <w:gridSpan w:val="5"/>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EE"/>
            </w:tcBorders>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Item 6.</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80" w:type="dxa"/>
            <w:vAlign w:val="bottom"/>
            <w:tcBorders>
              <w:top w:val="single" w:sz="8" w:color="0000EE"/>
            </w:tcBorders>
            <w:gridSpan w:val="3"/>
          </w:tcPr>
          <w:p>
            <w:pPr>
              <w:spacing w:after="0"/>
              <w:rPr>
                <w:rFonts w:ascii="Arial" w:cs="Arial" w:eastAsia="Arial" w:hAnsi="Arial"/>
                <w:sz w:val="18"/>
                <w:szCs w:val="18"/>
                <w:b w:val="1"/>
                <w:bCs w:val="1"/>
                <w:i w:val="1"/>
                <w:iCs w:val="1"/>
                <w:color w:val="0000FF"/>
              </w:rPr>
            </w:pPr>
            <w:hyperlink w:anchor="page31">
              <w:r>
                <w:rPr>
                  <w:rFonts w:ascii="Arial" w:cs="Arial" w:eastAsia="Arial" w:hAnsi="Arial"/>
                  <w:sz w:val="18"/>
                  <w:szCs w:val="18"/>
                  <w:b w:val="1"/>
                  <w:bCs w:val="1"/>
                  <w:i w:val="1"/>
                  <w:iCs w:val="1"/>
                  <w:color w:val="0000FF"/>
                </w:rPr>
                <w:t>Exhibits</w:t>
              </w:r>
            </w:hyperlink>
          </w:p>
        </w:tc>
        <w:tc>
          <w:tcPr>
            <w:tcW w:w="7480" w:type="dxa"/>
            <w:vAlign w:val="bottom"/>
            <w:gridSpan w:val="10"/>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507"/>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840" w:type="dxa"/>
            <w:vAlign w:val="bottom"/>
            <w:gridSpan w:val="7"/>
          </w:tcPr>
          <w:p>
            <w:pPr>
              <w:jc w:val="center"/>
              <w:ind w:left="321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553"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3"/>
          </w:tcPr>
          <w:p>
            <w:pPr>
              <w:jc w:val="right"/>
              <w:ind w:right="5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r>
      <w:tr>
        <w:trPr>
          <w:trHeight w:val="181"/>
        </w:trPr>
        <w:tc>
          <w:tcPr>
            <w:tcW w:w="6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500" w:type="dxa"/>
            <w:vAlign w:val="bottom"/>
            <w:gridSpan w:val="5"/>
          </w:tcPr>
          <w:p>
            <w:pPr>
              <w:jc w:val="right"/>
              <w:ind w:right="72"/>
              <w:spacing w:after="0"/>
              <w:rPr>
                <w:sz w:val="20"/>
                <w:szCs w:val="20"/>
                <w:color w:val="auto"/>
              </w:rPr>
            </w:pPr>
            <w:r>
              <w:rPr>
                <w:rFonts w:ascii="Arial" w:cs="Arial" w:eastAsia="Arial" w:hAnsi="Arial"/>
                <w:sz w:val="13"/>
                <w:szCs w:val="13"/>
                <w:b w:val="1"/>
                <w:bCs w:val="1"/>
                <w:i w:val="1"/>
                <w:iCs w:val="1"/>
                <w:color w:val="auto"/>
                <w:w w:val="89"/>
              </w:rPr>
              <w:t>(in thousands, except per share amounts)</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58"/>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55,136</w:t>
            </w:r>
          </w:p>
        </w:tc>
        <w:tc>
          <w:tcPr>
            <w:tcW w:w="4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42,144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106,071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82,180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1,991</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3,966</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36,877</w:t>
            </w:r>
          </w:p>
        </w:tc>
        <w:tc>
          <w:tcPr>
            <w:tcW w:w="4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28,964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69,714</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56,413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7,039</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14,267</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11,611</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2,390</w:t>
            </w:r>
          </w:p>
        </w:tc>
        <w:tc>
          <w:tcPr>
            <w:tcW w:w="4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4,563</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3,758</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717</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1,371</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1,701</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99</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55</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388</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394</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(1,078)</w:t>
            </w:r>
          </w:p>
        </w:tc>
        <w:tc>
          <w:tcPr>
            <w:tcW w:w="4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(796)</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8,092</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48,361</w:t>
            </w: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39,544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93,578</w:t>
            </w: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85,415</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6,775</w:t>
            </w: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2,600</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12,493</w:t>
            </w: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(3,235)</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6,711</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12,431</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w:t>
            </w:r>
          </w:p>
        </w:tc>
        <w:tc>
          <w:tcPr>
            <w:tcW w:w="4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84</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6,439</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11,852</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(1,717)</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(1,943)</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(3,505)</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and comprehensive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4,722</w:t>
            </w:r>
          </w:p>
        </w:tc>
        <w:tc>
          <w:tcPr>
            <w:tcW w:w="4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9,909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(6,656)</w:t>
            </w:r>
          </w:p>
        </w:tc>
      </w:tr>
      <w:tr>
        <w:trPr>
          <w:trHeight w:val="324"/>
        </w:trPr>
        <w:tc>
          <w:tcPr>
            <w:tcW w:w="65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11,382</w:t>
            </w:r>
          </w:p>
        </w:tc>
        <w:tc>
          <w:tcPr>
            <w:tcW w:w="4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11,214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11,343</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11,178</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12,334</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12,257</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Income (loss) per share from continuing operations: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0.57</w:t>
            </w:r>
          </w:p>
        </w:tc>
        <w:tc>
          <w:tcPr>
            <w:tcW w:w="4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0.52</w:t>
            </w:r>
          </w:p>
        </w:tc>
        <w:tc>
          <w:tcPr>
            <w:tcW w:w="4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0.97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share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(0.15)</w:t>
            </w:r>
          </w:p>
        </w:tc>
        <w:tc>
          <w:tcPr>
            <w:tcW w:w="4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(0.17)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Net income (loss) per share: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0.41</w:t>
            </w:r>
          </w:p>
        </w:tc>
        <w:tc>
          <w:tcPr>
            <w:tcW w:w="4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0.38</w:t>
            </w:r>
          </w:p>
        </w:tc>
        <w:tc>
          <w:tcPr>
            <w:tcW w:w="4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0.81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353"/>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147"/>
        </w:trPr>
        <w:tc>
          <w:tcPr>
            <w:tcW w:w="8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gridSpan w:val="3"/>
          </w:tcPr>
          <w:p>
            <w:pPr>
              <w:jc w:val="right"/>
              <w:ind w:right="131"/>
              <w:spacing w:after="0" w:line="148" w:lineRule="exact"/>
              <w:rPr>
                <w:sz w:val="20"/>
                <w:szCs w:val="20"/>
                <w:color w:val="auto"/>
              </w:rPr>
            </w:pPr>
            <w:r>
              <w:rPr>
                <w:rFonts w:ascii="Arial" w:cs="Arial" w:eastAsia="Arial" w:hAnsi="Arial"/>
                <w:sz w:val="13"/>
                <w:szCs w:val="13"/>
                <w:b w:val="1"/>
                <w:bCs w:val="1"/>
                <w:i w:val="1"/>
                <w:iCs w:val="1"/>
                <w:color w:val="auto"/>
                <w:w w:val="84"/>
              </w:rPr>
              <w:t>(in thousands, except par value and share</w:t>
            </w:r>
          </w:p>
        </w:tc>
      </w:tr>
      <w:tr>
        <w:trPr>
          <w:trHeight w:val="168"/>
        </w:trPr>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3"/>
          </w:tcPr>
          <w:p>
            <w:pPr>
              <w:jc w:val="right"/>
              <w:ind w:right="971"/>
              <w:spacing w:after="0"/>
              <w:rPr>
                <w:sz w:val="20"/>
                <w:szCs w:val="20"/>
                <w:color w:val="auto"/>
              </w:rPr>
            </w:pPr>
            <w:r>
              <w:rPr>
                <w:rFonts w:ascii="Arial" w:cs="Arial" w:eastAsia="Arial" w:hAnsi="Arial"/>
                <w:sz w:val="13"/>
                <w:szCs w:val="13"/>
                <w:b w:val="1"/>
                <w:bCs w:val="1"/>
                <w:i w:val="1"/>
                <w:iCs w:val="1"/>
                <w:color w:val="auto"/>
              </w:rPr>
              <w:t>amounts)</w:t>
            </w:r>
          </w:p>
        </w:tc>
      </w:tr>
      <w:tr>
        <w:trPr>
          <w:trHeight w:val="258"/>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92,967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86,212</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18,622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18,716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$504 and $349, respectively)</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20,516</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13,611</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1,097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189</w:t>
            </w:r>
          </w:p>
        </w:tc>
      </w:tr>
      <w:tr>
        <w:trPr>
          <w:trHeight w:val="27"/>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133,461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119,659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$14,408 and $14,810, respectively)</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6,683</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5,257</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3,632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11,042</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11,141</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154,919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139,891</w:t>
            </w:r>
          </w:p>
        </w:tc>
      </w:tr>
      <w:tr>
        <w:trPr>
          <w:trHeight w:val="297"/>
        </w:trPr>
        <w:tc>
          <w:tcPr>
            <w:tcW w:w="88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Accounts payable, trade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2,648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1,060</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28,394</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25,521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 (Note 13)</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13,670</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12,055</w:t>
            </w:r>
          </w:p>
        </w:tc>
      </w:tr>
      <w:tr>
        <w:trPr>
          <w:trHeight w:val="27"/>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44,712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38,636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4,738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151</w:t>
            </w:r>
          </w:p>
        </w:tc>
      </w:tr>
      <w:tr>
        <w:trPr>
          <w:trHeight w:val="27"/>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49,600</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43,525</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Commitments and contingencies (Notes 9 and 10)</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stock $.01 par value; 50,000,000 shares authorized; 12,990,402 and 12,854,517 shares issued, respectively,</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11,516,875 and 11,386,240 shares outstanding,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130</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909,012</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909,751</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(788,262)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(798,171)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Treasury stock 1,473,527 and 1,468,277 shares, respectively</w:t>
            </w:r>
          </w:p>
        </w:tc>
        <w:tc>
          <w:tcPr>
            <w:tcW w:w="1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(15,561)</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(15,343)</w:t>
            </w:r>
          </w:p>
        </w:tc>
      </w:tr>
      <w:tr>
        <w:trPr>
          <w:trHeight w:val="27"/>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105,319</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96,366</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154,919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139,891</w:t>
            </w:r>
          </w:p>
        </w:tc>
      </w:tr>
      <w:tr>
        <w:trPr>
          <w:trHeight w:val="34"/>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6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6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156"/>
              <w:spacing w:after="0" w:line="139"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2"/>
                <w:szCs w:val="12"/>
                <w:color w:val="auto"/>
              </w:rPr>
            </w:pPr>
          </w:p>
        </w:tc>
        <w:tc>
          <w:tcPr>
            <w:tcW w:w="11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3"/>
              </w:rPr>
              <w:t>Accumulated</w:t>
            </w:r>
          </w:p>
        </w:tc>
        <w:tc>
          <w:tcPr>
            <w:tcW w:w="11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960" w:type="dxa"/>
            <w:vAlign w:val="bottom"/>
          </w:tcPr>
          <w:p>
            <w:pPr>
              <w:jc w:val="right"/>
              <w:ind w:right="256"/>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Deficit</w:t>
            </w:r>
          </w:p>
        </w:tc>
        <w:tc>
          <w:tcPr>
            <w:tcW w:w="11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16"/>
              <w:spacing w:after="0"/>
              <w:rPr>
                <w:sz w:val="20"/>
                <w:szCs w:val="20"/>
                <w:color w:val="auto"/>
              </w:rPr>
            </w:pPr>
            <w:r>
              <w:rPr>
                <w:rFonts w:ascii="Arial" w:cs="Arial" w:eastAsia="Arial" w:hAnsi="Arial"/>
                <w:sz w:val="14"/>
                <w:szCs w:val="14"/>
                <w:b w:val="1"/>
                <w:bCs w:val="1"/>
                <w:i w:val="1"/>
                <w:iCs w:val="1"/>
                <w:color w:val="auto"/>
                <w:w w:val="87"/>
              </w:rPr>
              <w:t>(in thousands)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96,366</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12,855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909,751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(798,171)</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1,468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(15,343)</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w w:val="94"/>
              </w:rPr>
              <w:t>Net income and comprehensive income</w:t>
            </w:r>
          </w:p>
        </w:tc>
        <w:tc>
          <w:tcPr>
            <w:tcW w:w="24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9,909</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9,909</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4,393</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4,393</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24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(218)</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Issuance of common stock for stock</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options, restricted stock awards and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w w:val="95"/>
              </w:rPr>
              <w:t>restricted stock units, net of withholding</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taxes</w:t>
            </w:r>
          </w:p>
        </w:tc>
        <w:tc>
          <w:tcPr>
            <w:tcW w:w="240" w:type="dxa"/>
            <w:vAlign w:val="bottom"/>
          </w:tcPr>
          <w:p>
            <w:pPr>
              <w:spacing w:after="0"/>
              <w:rPr>
                <w:sz w:val="20"/>
                <w:szCs w:val="20"/>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(5,328)</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(5,329)</w:t>
            </w:r>
          </w:p>
        </w:tc>
        <w:tc>
          <w:tcPr>
            <w:tcW w:w="200" w:type="dxa"/>
            <w:vAlign w:val="bottom"/>
          </w:tcPr>
          <w:p>
            <w:pPr>
              <w:spacing w:after="0"/>
              <w:rPr>
                <w:sz w:val="20"/>
                <w:szCs w:val="20"/>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 from stock-based award</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activity</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208</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208</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as of June 30, 2015</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105,319</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12,990</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130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909,012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(788,262)</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1,473</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(15,561)</w:t>
            </w:r>
          </w:p>
        </w:tc>
        <w:tc>
          <w:tcPr>
            <w:tcW w:w="0" w:type="dxa"/>
            <w:vAlign w:val="bottom"/>
          </w:tcPr>
          <w:p>
            <w:pPr>
              <w:spacing w:after="0"/>
              <w:rPr>
                <w:sz w:val="1"/>
                <w:szCs w:val="1"/>
                <w:color w:val="auto"/>
              </w:rPr>
            </w:pPr>
          </w:p>
        </w:tc>
      </w:tr>
      <w:tr>
        <w:trPr>
          <w:trHeight w:val="34"/>
        </w:trPr>
        <w:tc>
          <w:tcPr>
            <w:tcW w:w="3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196"/>
        </w:trPr>
        <w:tc>
          <w:tcPr>
            <w:tcW w:w="8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2"/>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 attributable to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b w:val="1"/>
                <w:bCs w:val="1"/>
                <w:color w:val="auto"/>
              </w:rPr>
              <w:t>Net income (loss) and comprehensive income (loss)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auto"/>
              </w:rPr>
              <w:t>9,909</w:t>
            </w:r>
          </w:p>
        </w:tc>
        <w:tc>
          <w:tcPr>
            <w:tcW w:w="54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(6,656)</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Loss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1,943</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3,505</w:t>
            </w:r>
          </w:p>
        </w:tc>
      </w:tr>
      <w:tr>
        <w:trPr>
          <w:trHeight w:val="237"/>
        </w:trPr>
        <w:tc>
          <w:tcPr>
            <w:tcW w:w="8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11,852</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income (loss) from continuing operations to net cash provided by operating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activities attributable to continuing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Loss on disposal of fixed assets</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38</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52</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99</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1,371</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1,701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4,393</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3,073</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Excess tax benefit from stock-based award activity</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Bad debt expense</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176</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(7,081)</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4,450</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1,107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202</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75</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 attributable to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15,202</w:t>
            </w: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2,182</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flows from investing activities attributable to continuing operations: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(2,707)</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Acquisition of a business</w:t>
            </w:r>
          </w:p>
        </w:tc>
        <w:tc>
          <w:tcPr>
            <w:tcW w:w="3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restricted cash</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3,973</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(used in) provided by investing activities attributable to continuing operations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(2,650)</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1,404</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 attributable to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29"/>
        </w:trPr>
        <w:tc>
          <w:tcPr>
            <w:tcW w:w="8320" w:type="dxa"/>
            <w:vAlign w:val="bottom"/>
          </w:tcPr>
          <w:p>
            <w:pPr>
              <w:ind w:left="180"/>
              <w:spacing w:after="0"/>
              <w:rPr>
                <w:sz w:val="20"/>
                <w:szCs w:val="20"/>
                <w:color w:val="auto"/>
              </w:rPr>
            </w:pPr>
            <w:r>
              <w:rPr>
                <w:rFonts w:ascii="Arial" w:cs="Arial" w:eastAsia="Arial" w:hAnsi="Arial"/>
                <w:sz w:val="18"/>
                <w:szCs w:val="18"/>
                <w:color w:val="auto"/>
                <w:w w:val="92"/>
              </w:rPr>
              <w:t>Payments related to net-share settlement of stock-based compensation, net of proceeds from exercise of stock</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options</w:t>
            </w:r>
          </w:p>
        </w:tc>
        <w:tc>
          <w:tcPr>
            <w:tcW w:w="36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(5,294)</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from stock-based award activity</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208</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3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used in financing activities attributable to continuing operations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(5,380)</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(4,847)</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cash provided by (used in)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7,172</w:t>
            </w: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(1,261)</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used in operating activities attributable to discontinued operations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(417)</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(2,788)</w:t>
            </w:r>
          </w:p>
        </w:tc>
      </w:tr>
      <w:tr>
        <w:trPr>
          <w:trHeight w:val="27"/>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cash used in discontinued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(417)</w:t>
            </w: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(2,788)</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6,755</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(4,049)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86,212</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91,667</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92,967</w:t>
            </w:r>
          </w:p>
        </w:tc>
        <w:tc>
          <w:tcPr>
            <w:tcW w:w="5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87,618</w:t>
            </w:r>
          </w:p>
        </w:tc>
      </w:tr>
      <w:tr>
        <w:trPr>
          <w:trHeight w:val="34"/>
        </w:trPr>
        <w:tc>
          <w:tcPr>
            <w:tcW w:w="8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("LendingTree" or the "Company"), formerly known as Tree.com, Inc., is the parent of LendingTree, LLC and several companies owned by LendingTree, LLC.</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LendingTree operates what it believes to be the leading online loan marketplace for consumers seeking a broad array of loan types and other credit-based offerings. The Company offers consumers tools and resources, including free credit scores, that help them to comparison-shop for mortgage loans, home equity loans and lines of credit, reverse mortgages, personal loans, auto loans, student loans, credit cards, small business loans and other related offerings. The Company seeks to primarily match in-market consumers with multiple lenders on its marketplace who can provide them with competing quotes for the loans or credit-based offerings they are seeking. The Company also serves as a valued partner to lenders seeking an efficient, scalable and flexible source of customer acquisition with directly measurable benefits, by matching the consumer inquiries it generates with these lenders.</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Intercompany transactions and accounts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13 </w:t>
      </w:r>
      <w:r>
        <w:rPr>
          <w:rFonts w:ascii="Arial" w:cs="Arial" w:eastAsia="Arial" w:hAnsi="Arial"/>
          <w:sz w:val="18"/>
          <w:szCs w:val="18"/>
          <w:b w:val="1"/>
          <w:bCs w:val="1"/>
          <w:color w:val="auto"/>
        </w:rPr>
        <w:t>—</w:t>
      </w:r>
      <w:r>
        <w:rPr>
          <w:rFonts w:ascii="Arial" w:cs="Arial" w:eastAsia="Arial" w:hAnsi="Arial"/>
          <w:sz w:val="18"/>
          <w:szCs w:val="18"/>
          <w:color w:val="auto"/>
        </w:rPr>
        <w:t xml:space="preserve"> Discontinued Operations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accompanying unaudited interim consolidated financial statements as of June 30, 2015 and for the three and six months ended June 30, 2015 and 2014,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presentation of the Company's financial position for the periods presented. The results for the three and six months ended June 30, 2015 are not necessarily indicative of the results to be expected for the year ending December 31, 2015, or any other period. The accompanying consolidated balance sheet as of December 31, 2014 was derived from audited financial statements included in the Company's annual report on Form 10-K for the year ended December 31, 2014 (the "2014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2014 Annual Report.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contingent consideration related to business combinations; litigation accruals; various other allowances, reserves and accruals; and assumptions related to the determination of stock-based compensation.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Financial instruments, which potentially subject the Company to concentration of credit risk at June 30, 2015,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marketplace lenders to maintain security deposits with the Company, which in the event of non-payment, would be applied against any accounts receivable outstanding.</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increases may negatively impact future revenue from the Company's lender marketplace.</w:t>
      </w:r>
    </w:p>
    <w:p>
      <w:pPr>
        <w:spacing w:after="0" w:line="14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Lenders participating on the Company's marketplace can offer their products directly to consumers through brokers, mass marketing campaigns or through other traditional methods of credit distribution. These lenders can also offer their products online, either directly to prospective borrowers, through one or more online competitors, or both. If a significant number of potential consumers are able to obtain loans from participating lenders without utilizing the Company's services, the Company's ability to generate revenue may be limited. Because the Company does not have exclusive relationships with the lenders whose loan offerings are offered on its online marketplace, consumers may obtain offers and loans from these lenders without using its service.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maintains operations solely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 claims the Company pursues against others.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2015, the Financial Accounting Standards Board ("FASB") issued Accounting Standards Update ("ASU") 2015-05 related to cloud computing arrangements. This ASU sets forth guidance on accounting for fees paid in a cloud computing arrangement and specifically outlines how to determine whether a cloud computing arrangement contains a software license or is solely a service contract. This ASU will be effective for annual and interim reporting periods beginning after December 15, 2015. Early adoption is permitted. The Company does not expect this ASU to have an impact on its consolidated financial statements.</w:t>
      </w:r>
    </w:p>
    <w:p>
      <w:pPr>
        <w:spacing w:after="0" w:line="13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May 2014, the FASB issued ASU 2014-09 related to revenue recognition. This ASU was initiated as a joint project between the FASB and the International Accounting Standards Board ("IASB") to clarify the principles for recognizing revenue and to develop a common revenue standard for GAAP and international financial reporting standards ("IFRS"). This guidance will supersede the existing revenue recognition requirements in Accounting Standards Codification ("ASC") Topic 605, Revenue Recognition and was set to be effective for annual reporting periods beginning after December 15, 2016. However, in July 2015, the FASB deferred the effective date by one year, such that the standard will be effective for annual reporting periods beginning after December 15, 2017. Early adoption is permitted as of the original effective date of December 15, 2016. The ASU can be applied (i) retrospectively to each prior period presented or (ii) retrospectively with the cumulative effect of initially adopting the ASU recognized at the date of initial application. The Company is evaluating the impact this ASU will have on its consolidated financial statements and whether to adopt early.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Restricted cash and cash equivalents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455"/>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in escrow for surety bonds </w:t>
            </w:r>
            <w:r>
              <w:rPr>
                <w:rFonts w:ascii="Arial" w:cs="Arial" w:eastAsia="Arial" w:hAnsi="Arial"/>
                <w:sz w:val="25"/>
                <w:szCs w:val="25"/>
                <w:color w:val="auto"/>
                <w:vertAlign w:val="superscript"/>
              </w:rPr>
              <w:t>(a)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2,453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2,453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in escrow for corporate purchasing card program</w:t>
            </w:r>
          </w:p>
        </w:tc>
        <w:tc>
          <w:tcPr>
            <w:tcW w:w="3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100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in escrow from sale of LendingTree Loans </w:t>
            </w:r>
            <w:r>
              <w:rPr>
                <w:rFonts w:ascii="Arial" w:cs="Arial" w:eastAsia="Arial" w:hAnsi="Arial"/>
                <w:sz w:val="25"/>
                <w:szCs w:val="25"/>
                <w:color w:val="auto"/>
                <w:vertAlign w:val="superscript"/>
              </w:rPr>
              <w:t>(b)</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16,107</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16,106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57</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restricted 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18,622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18,716</w:t>
            </w:r>
          </w:p>
        </w:tc>
      </w:tr>
      <w:tr>
        <w:trPr>
          <w:trHeight w:val="27"/>
        </w:trPr>
        <w:tc>
          <w:tcPr>
            <w:tcW w:w="8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left="66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 laws and regulations generally require businesses which engage in mortgage brokering activity to maintain a mortgage broker or similar license. Mortgage brokering activity is generally defined to include, among other things, receiving valuable consideration for offering assistance to a buyer in obtaining a residential mortgage or soliciting financial and mortgage information from the public and providing that information to an originator of residential mortgage loans. All states require that the Company maintain surety bonds for potential claims.</w:t>
      </w:r>
    </w:p>
    <w:p>
      <w:pPr>
        <w:spacing w:after="0" w:line="117"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Home Loan Center, Inc. ("HLC"), a subsidiary of the Company, continues to be liable for certain indemnification obligations, repurchase obligations and premium repayment obligations following the sale of substantially all of the operating assets of its LendingTree Loans business in the second quarter of 2012.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and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right"/>
              <w:ind w:right="474"/>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486,720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486,720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(483,088)</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(483,088)</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goodwill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3,632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3,632</w:t>
            </w:r>
          </w:p>
        </w:tc>
      </w:tr>
      <w:tr>
        <w:trPr>
          <w:trHeight w:val="324"/>
        </w:trPr>
        <w:tc>
          <w:tcPr>
            <w:tcW w:w="83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10,142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30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900</w:t>
            </w:r>
          </w:p>
        </w:tc>
        <w:tc>
          <w:tcPr>
            <w:tcW w:w="2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999</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11,042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11,141</w:t>
            </w:r>
          </w:p>
        </w:tc>
      </w:tr>
      <w:tr>
        <w:trPr>
          <w:trHeight w:val="27"/>
        </w:trPr>
        <w:tc>
          <w:tcPr>
            <w:tcW w:w="8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goodwill is associated with its one reportable segment, lending. Intangible assets with indefinite lives relate to the Company's trademarks.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37"/>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0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CCEEFF"/>
            </w:tcBorders>
          </w:tcPr>
          <w:p>
            <w:pPr>
              <w:spacing w:after="0"/>
              <w:rPr>
                <w:sz w:val="16"/>
                <w:szCs w:val="16"/>
                <w:color w:val="auto"/>
              </w:rPr>
            </w:pPr>
          </w:p>
        </w:tc>
        <w:tc>
          <w:tcPr>
            <w:tcW w:w="3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4140" w:type="dxa"/>
            <w:vAlign w:val="bottom"/>
            <w:tcBorders>
              <w:bottom w:val="single" w:sz="8" w:color="CCEEFF"/>
            </w:tcBorders>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1,049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Other</w:t>
            </w:r>
          </w:p>
        </w:tc>
        <w:tc>
          <w:tcPr>
            <w:tcW w:w="3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1,087</w:t>
            </w:r>
          </w:p>
        </w:tc>
        <w:tc>
          <w:tcPr>
            <w:tcW w:w="30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(1,087)</w:t>
            </w:r>
          </w:p>
        </w:tc>
        <w:tc>
          <w:tcPr>
            <w:tcW w:w="4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2015</w:t>
            </w:r>
          </w:p>
        </w:tc>
        <w:tc>
          <w:tcPr>
            <w:tcW w:w="4140" w:type="dxa"/>
            <w:vAlign w:val="bottom"/>
            <w:tcBorders>
              <w:bottom w:val="single" w:sz="8" w:color="CCEEFF"/>
            </w:tcBorders>
            <w:gridSpan w:val="2"/>
            <w:shd w:val="clear" w:color="auto" w:fill="CCEEFF"/>
          </w:tcPr>
          <w:p>
            <w:pPr>
              <w:jc w:val="right"/>
              <w:ind w:right="668"/>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2,136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(1,236)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900</w:t>
            </w:r>
          </w:p>
        </w:tc>
        <w:tc>
          <w:tcPr>
            <w:tcW w:w="0" w:type="dxa"/>
            <w:vAlign w:val="bottom"/>
          </w:tcPr>
          <w:p>
            <w:pPr>
              <w:spacing w:after="0"/>
              <w:rPr>
                <w:sz w:val="1"/>
                <w:szCs w:val="1"/>
                <w:color w:val="auto"/>
              </w:rPr>
            </w:pPr>
          </w:p>
        </w:tc>
      </w:tr>
      <w:tr>
        <w:trPr>
          <w:trHeight w:val="459"/>
        </w:trPr>
        <w:tc>
          <w:tcPr>
            <w:tcW w:w="3800" w:type="dxa"/>
            <w:vAlign w:val="bottom"/>
            <w:tcBorders>
              <w:top w:val="single" w:sz="8" w:color="auto"/>
            </w:tcBorders>
          </w:tcPr>
          <w:p>
            <w:pPr>
              <w:spacing w:after="0"/>
              <w:rPr>
                <w:sz w:val="24"/>
                <w:szCs w:val="24"/>
                <w:color w:val="auto"/>
              </w:rPr>
            </w:pPr>
          </w:p>
        </w:tc>
        <w:tc>
          <w:tcPr>
            <w:tcW w:w="3280" w:type="dxa"/>
            <w:vAlign w:val="bottom"/>
            <w:tcBorders>
              <w:top w:val="single" w:sz="8" w:color="auto"/>
            </w:tcBorders>
          </w:tcPr>
          <w:p>
            <w:pPr>
              <w:jc w:val="right"/>
              <w:ind w:right="1230"/>
              <w:spacing w:after="0"/>
              <w:rPr>
                <w:sz w:val="20"/>
                <w:szCs w:val="20"/>
                <w:color w:val="auto"/>
              </w:rPr>
            </w:pPr>
            <w:r>
              <w:rPr>
                <w:rFonts w:ascii="Arial" w:cs="Arial" w:eastAsia="Arial" w:hAnsi="Arial"/>
                <w:sz w:val="18"/>
                <w:szCs w:val="18"/>
                <w:color w:val="auto"/>
              </w:rPr>
              <w:t>9</w:t>
            </w:r>
          </w:p>
        </w:tc>
        <w:tc>
          <w:tcPr>
            <w:tcW w:w="8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37"/>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0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1,049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1,087</w:t>
            </w:r>
          </w:p>
        </w:tc>
        <w:tc>
          <w:tcPr>
            <w:tcW w:w="30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(1,087)</w:t>
            </w:r>
          </w:p>
        </w:tc>
        <w:tc>
          <w:tcPr>
            <w:tcW w:w="4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2,136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(1,137)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999</w:t>
            </w:r>
          </w:p>
        </w:tc>
        <w:tc>
          <w:tcPr>
            <w:tcW w:w="0" w:type="dxa"/>
            <w:vAlign w:val="bottom"/>
          </w:tcPr>
          <w:p>
            <w:pPr>
              <w:spacing w:after="0"/>
              <w:rPr>
                <w:sz w:val="1"/>
                <w:szCs w:val="1"/>
                <w:color w:val="auto"/>
              </w:rPr>
            </w:pPr>
          </w:p>
        </w:tc>
      </w:tr>
      <w:tr>
        <w:trPr>
          <w:trHeight w:val="27"/>
        </w:trPr>
        <w:tc>
          <w:tcPr>
            <w:tcW w:w="70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June 30, 2015,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 Expense</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 ending December 31, 2016</w:t>
            </w: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9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2017</w:t>
            </w: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 ending December 31, 2018</w:t>
            </w: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9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2019</w:t>
            </w: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7"/>
        </w:trPr>
        <w:tc>
          <w:tcPr>
            <w:tcW w:w="9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900</w:t>
            </w:r>
          </w:p>
        </w:tc>
      </w:tr>
      <w:tr>
        <w:trPr>
          <w:trHeight w:val="27"/>
        </w:trPr>
        <w:tc>
          <w:tcPr>
            <w:tcW w:w="99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30, 2014, the Company acquired certain intangible assets to be used in its home services business for $0.6 million paid on the acquisition date, plus contingent consideration of $0 to $0.8 million. During the fourth quarter of 2014, the Company finalized the purchase price of $1.0 million, which included an estimated contingent consideration of $0.4 million. The entire purchase price was allocated to the customer lists acquired, which is being amortized on a straight-line basis over a useful life of 10 years. During the first quarter of 2015, the Company reduced its estimated contingent consideration by $0.1 million, which is included in general and administrative expense in the accompanying consolidated statements of operations and comprehensive income.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453"/>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4780" w:type="dxa"/>
            <w:vAlign w:val="bottom"/>
            <w:tcBorders>
              <w:bottom w:val="single" w:sz="8" w:color="CCEEFF"/>
            </w:tcBorders>
          </w:tcPr>
          <w:p>
            <w:pPr>
              <w:spacing w:after="0"/>
              <w:rPr>
                <w:sz w:val="16"/>
                <w:szCs w:val="16"/>
                <w:color w:val="auto"/>
              </w:rPr>
            </w:pPr>
          </w:p>
        </w:tc>
        <w:tc>
          <w:tcPr>
            <w:tcW w:w="35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litigation liabilities</w:t>
            </w:r>
          </w:p>
        </w:tc>
        <w:tc>
          <w:tcPr>
            <w:tcW w:w="3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2,786</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Accrued advertising expense</w:t>
            </w:r>
          </w:p>
        </w:tc>
        <w:tc>
          <w:tcPr>
            <w:tcW w:w="3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15,451</w:t>
            </w: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11,170</w:t>
            </w:r>
          </w:p>
        </w:tc>
      </w:tr>
      <w:tr>
        <w:trPr>
          <w:trHeight w:val="27"/>
        </w:trPr>
        <w:tc>
          <w:tcPr>
            <w:tcW w:w="47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3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3,503</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2,666</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3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661</w:t>
            </w: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337</w:t>
            </w:r>
          </w:p>
        </w:tc>
      </w:tr>
      <w:tr>
        <w:trPr>
          <w:trHeight w:val="27"/>
        </w:trPr>
        <w:tc>
          <w:tcPr>
            <w:tcW w:w="47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restructuring costs</w:t>
            </w:r>
          </w:p>
        </w:tc>
        <w:tc>
          <w:tcPr>
            <w:tcW w:w="3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Customer deposits and escrows</w:t>
            </w:r>
          </w:p>
        </w:tc>
        <w:tc>
          <w:tcPr>
            <w:tcW w:w="3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4,634</w:t>
            </w: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4,560</w:t>
            </w:r>
          </w:p>
        </w:tc>
      </w:tr>
      <w:tr>
        <w:trPr>
          <w:trHeight w:val="27"/>
        </w:trPr>
        <w:tc>
          <w:tcPr>
            <w:tcW w:w="47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3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Other</w:t>
            </w:r>
          </w:p>
        </w:tc>
        <w:tc>
          <w:tcPr>
            <w:tcW w:w="3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3,490</w:t>
            </w: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3,662</w:t>
            </w:r>
          </w:p>
        </w:tc>
      </w:tr>
      <w:tr>
        <w:trPr>
          <w:trHeight w:val="27"/>
        </w:trPr>
        <w:tc>
          <w:tcPr>
            <w:tcW w:w="47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3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28,394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25,521</w:t>
            </w:r>
          </w:p>
        </w:tc>
      </w:tr>
      <w:tr>
        <w:trPr>
          <w:trHeight w:val="459"/>
        </w:trPr>
        <w:tc>
          <w:tcPr>
            <w:tcW w:w="4780" w:type="dxa"/>
            <w:vAlign w:val="bottom"/>
            <w:tcBorders>
              <w:top w:val="single" w:sz="8" w:color="auto"/>
            </w:tcBorders>
          </w:tcPr>
          <w:p>
            <w:pPr>
              <w:spacing w:after="0"/>
              <w:rPr>
                <w:sz w:val="24"/>
                <w:szCs w:val="24"/>
                <w:color w:val="auto"/>
              </w:rPr>
            </w:pPr>
          </w:p>
        </w:tc>
        <w:tc>
          <w:tcPr>
            <w:tcW w:w="3560" w:type="dxa"/>
            <w:vAlign w:val="bottom"/>
            <w:tcBorders>
              <w:top w:val="single" w:sz="8" w:color="auto"/>
            </w:tcBorders>
          </w:tcPr>
          <w:p>
            <w:pPr>
              <w:jc w:val="right"/>
              <w:ind w:right="2450"/>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Basic and diluted income (loss) per share was determined based on the following share data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ectPr>
          <w:pgSz w:w="11900" w:h="16838" w:orient="portrait"/>
          <w:cols w:equalWidth="0" w:num="1">
            <w:col w:w="11420"/>
          </w:cols>
          <w:pgMar w:left="240" w:top="125" w:right="239" w:bottom="1440" w:gutter="0" w:footer="0" w:header="0"/>
        </w:sectPr>
      </w:pPr>
    </w:p>
    <w:p>
      <w:pPr>
        <w:spacing w:after="0" w:line="242" w:lineRule="exact"/>
        <w:rPr>
          <w:sz w:val="20"/>
          <w:szCs w:val="20"/>
          <w:color w:val="auto"/>
        </w:rPr>
      </w:pPr>
    </w:p>
    <w:p>
      <w:pPr>
        <w:ind w:left="58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31115</wp:posOffset>
            </wp:positionV>
            <wp:extent cx="1972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14" w:lineRule="exact"/>
        <w:rPr>
          <w:sz w:val="20"/>
          <w:szCs w:val="20"/>
          <w:color w:val="auto"/>
        </w:rPr>
      </w:pPr>
    </w:p>
    <w:p>
      <w:pPr>
        <w:ind w:left="5760"/>
        <w:spacing w:after="0"/>
        <w:tabs>
          <w:tab w:leader="none" w:pos="736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2014</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31115</wp:posOffset>
            </wp:positionV>
            <wp:extent cx="19380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2014</w:t>
      </w:r>
    </w:p>
    <w:p>
      <w:pPr>
        <w:spacing w:after="0" w:line="48" w:lineRule="exact"/>
        <w:rPr>
          <w:sz w:val="20"/>
          <w:szCs w:val="20"/>
          <w:color w:val="auto"/>
        </w:rPr>
      </w:pPr>
    </w:p>
    <w:p>
      <w:pPr>
        <w:sectPr>
          <w:pgSz w:w="11900" w:h="16838" w:orient="portrait"/>
          <w:cols w:equalWidth="0" w:num="2">
            <w:col w:w="8240" w:space="720"/>
            <w:col w:w="24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194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11,382</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9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11,343</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stock options</w:t>
            </w:r>
          </w:p>
        </w:tc>
        <w:tc>
          <w:tcPr>
            <w:tcW w:w="1940" w:type="dxa"/>
            <w:vAlign w:val="bottom"/>
          </w:tcPr>
          <w:p>
            <w:pPr>
              <w:jc w:val="right"/>
              <w:ind w:right="470"/>
              <w:spacing w:after="0"/>
              <w:rPr>
                <w:sz w:val="20"/>
                <w:szCs w:val="20"/>
                <w:color w:val="auto"/>
              </w:rPr>
            </w:pPr>
            <w:r>
              <w:rPr>
                <w:rFonts w:ascii="Arial" w:cs="Arial" w:eastAsia="Arial" w:hAnsi="Arial"/>
                <w:sz w:val="18"/>
                <w:szCs w:val="18"/>
                <w:color w:val="auto"/>
              </w:rPr>
              <w:t>806</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1920" w:type="dxa"/>
            <w:vAlign w:val="bottom"/>
          </w:tcPr>
          <w:p>
            <w:pPr>
              <w:jc w:val="right"/>
              <w:ind w:right="450"/>
              <w:spacing w:after="0"/>
              <w:rPr>
                <w:sz w:val="20"/>
                <w:szCs w:val="20"/>
                <w:color w:val="auto"/>
              </w:rPr>
            </w:pPr>
            <w:r>
              <w:rPr>
                <w:rFonts w:ascii="Arial" w:cs="Arial" w:eastAsia="Arial" w:hAnsi="Arial"/>
                <w:sz w:val="18"/>
                <w:szCs w:val="18"/>
                <w:color w:val="auto"/>
              </w:rPr>
              <w:t>758</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19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146</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156</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Weighted average diluted common shares</w:t>
            </w:r>
          </w:p>
        </w:tc>
        <w:tc>
          <w:tcPr>
            <w:tcW w:w="19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12,334</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11,849</w:t>
            </w:r>
          </w:p>
        </w:tc>
        <w:tc>
          <w:tcPr>
            <w:tcW w:w="1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12,257</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11,178</w:t>
            </w:r>
          </w:p>
        </w:tc>
      </w:tr>
      <w:tr>
        <w:trPr>
          <w:trHeight w:val="34"/>
        </w:trPr>
        <w:tc>
          <w:tcPr>
            <w:tcW w:w="5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the six months ended June 30, 2014, the Company had losses from continuing operations and, as a result, no potentially dilutive securities were included in the denominator for computing diluted loss per share, because the impact would have been anti-dilutive. Accordingly, the weighted average basic shares outstanding were used to compute loss per share amounts for the period. For the six months ended June 30, 2014, approximately 0.7 million shares related to potentially dilutive securities were excluded from the calculation of diluted loss per share, because their inclusion would have been anti-dilutive. For the three months ended June 30, 2014, less than 0.1 million shares related to potentially dilutive securities were excluded from the calculation of diluted earnings per share, because their inclusion would have been anti-dilutive. No potentially dilutive securities were excluded from the calculation of diluted earnings per share for the three and six months ended June 30,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January 2010, the board of directors authorized and the Company announced the repurchase of up to $10.0 million of LendingTree's common stock. In May 2014, the board of directors authorized and the Company announced the repurchase of up to an additional $10.0 million of LendingTree's common stock. During the three and six months ended June 30, 2015, the Company purchased 0 and 5,250 shares, respectively, of its common stock pursuant to this stock repurchase program. At June 30, 2015, approximately $7.3 million remains authorized for share repurchase.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7—STOCK-BASED COMPENSATION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w:t>
            </w:r>
          </w:p>
        </w:tc>
        <w:tc>
          <w:tcPr>
            <w:tcW w:w="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w:t>
            </w:r>
          </w:p>
        </w:tc>
        <w:tc>
          <w:tcPr>
            <w:tcW w:w="6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385</w:t>
            </w:r>
          </w:p>
        </w:tc>
        <w:tc>
          <w:tcPr>
            <w:tcW w:w="6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655</w:t>
            </w:r>
          </w:p>
        </w:tc>
        <w:tc>
          <w:tcPr>
            <w:tcW w:w="6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459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1,125</w:t>
            </w:r>
          </w:p>
        </w:tc>
        <w:tc>
          <w:tcPr>
            <w:tcW w:w="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2,731</w:t>
            </w: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385</w:t>
            </w:r>
          </w:p>
        </w:tc>
        <w:tc>
          <w:tcPr>
            <w:tcW w:w="6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825</w:t>
            </w:r>
          </w:p>
        </w:tc>
        <w:tc>
          <w:tcPr>
            <w:tcW w:w="6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576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138</w:t>
            </w:r>
          </w:p>
        </w:tc>
        <w:tc>
          <w:tcPr>
            <w:tcW w:w="6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w:t>
            </w:r>
          </w:p>
        </w:tc>
        <w:tc>
          <w:tcPr>
            <w:tcW w:w="6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non-cash compensation</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2,057</w:t>
            </w:r>
          </w:p>
        </w:tc>
        <w:tc>
          <w:tcPr>
            <w:tcW w:w="6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1,421</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4,393</w:t>
            </w:r>
          </w:p>
        </w:tc>
        <w:tc>
          <w:tcPr>
            <w:tcW w:w="6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3,073</w:t>
            </w:r>
          </w:p>
        </w:tc>
      </w:tr>
      <w:tr>
        <w:trPr>
          <w:trHeight w:val="34"/>
        </w:trPr>
        <w:tc>
          <w:tcPr>
            <w:tcW w:w="5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459"/>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795"/>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vMerge w:val="restart"/>
          </w:tcPr>
          <w:p>
            <w:pPr>
              <w:jc w:val="center"/>
              <w:ind w:right="357"/>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tcPr>
          <w:p>
            <w:pPr>
              <w:jc w:val="center"/>
              <w:ind w:right="357"/>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Number of Options</w:t>
            </w:r>
          </w:p>
        </w:tc>
        <w:tc>
          <w:tcPr>
            <w:tcW w:w="320" w:type="dxa"/>
            <w:vAlign w:val="bottom"/>
          </w:tcPr>
          <w:p>
            <w:pPr>
              <w:spacing w:after="0"/>
              <w:rPr>
                <w:sz w:val="12"/>
                <w:szCs w:val="12"/>
                <w:color w:val="auto"/>
              </w:rPr>
            </w:pPr>
          </w:p>
        </w:tc>
        <w:tc>
          <w:tcPr>
            <w:tcW w:w="142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0"/>
              </w:rPr>
              <w:t>Exercise</w:t>
            </w: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3"/>
              </w:rPr>
              <w:t>Price</w:t>
            </w:r>
          </w:p>
        </w:tc>
        <w:tc>
          <w:tcPr>
            <w:tcW w:w="14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jc w:val="center"/>
              <w:ind w:right="357"/>
              <w:spacing w:after="0"/>
              <w:rPr>
                <w:sz w:val="20"/>
                <w:szCs w:val="20"/>
                <w:color w:val="auto"/>
              </w:rPr>
            </w:pPr>
            <w:r>
              <w:rPr>
                <w:rFonts w:ascii="Arial" w:cs="Arial" w:eastAsia="Arial" w:hAnsi="Arial"/>
                <w:sz w:val="14"/>
                <w:szCs w:val="14"/>
                <w:b w:val="1"/>
                <w:bCs w:val="1"/>
                <w:i w:val="1"/>
                <w:iCs w:val="1"/>
                <w:color w:val="auto"/>
                <w:w w:val="89"/>
              </w:rPr>
              <w:t>(per option)</w:t>
            </w:r>
          </w:p>
        </w:tc>
        <w:tc>
          <w:tcPr>
            <w:tcW w:w="1460" w:type="dxa"/>
            <w:vAlign w:val="bottom"/>
          </w:tcPr>
          <w:p>
            <w:pPr>
              <w:jc w:val="center"/>
              <w:ind w:right="64"/>
              <w:spacing w:after="0"/>
              <w:rPr>
                <w:sz w:val="20"/>
                <w:szCs w:val="20"/>
                <w:color w:val="auto"/>
              </w:rPr>
            </w:pPr>
            <w:r>
              <w:rPr>
                <w:rFonts w:ascii="Arial" w:cs="Arial" w:eastAsia="Arial" w:hAnsi="Arial"/>
                <w:sz w:val="14"/>
                <w:szCs w:val="14"/>
                <w:b w:val="1"/>
                <w:bCs w:val="1"/>
                <w:i w:val="1"/>
                <w:iCs w:val="1"/>
                <w:color w:val="auto"/>
                <w:w w:val="89"/>
              </w:rPr>
              <w:t>(in years)</w:t>
            </w:r>
          </w:p>
        </w:tc>
        <w:tc>
          <w:tcPr>
            <w:tcW w:w="260" w:type="dxa"/>
            <w:vAlign w:val="bottom"/>
          </w:tcPr>
          <w:p>
            <w:pPr>
              <w:spacing w:after="0"/>
              <w:rPr>
                <w:sz w:val="16"/>
                <w:szCs w:val="16"/>
                <w:color w:val="auto"/>
              </w:rPr>
            </w:pPr>
          </w:p>
        </w:tc>
        <w:tc>
          <w:tcPr>
            <w:tcW w:w="1260" w:type="dxa"/>
            <w:vAlign w:val="bottom"/>
          </w:tcPr>
          <w:p>
            <w:pPr>
              <w:jc w:val="center"/>
              <w:ind w:right="12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2015</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2,136,679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18.16</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38,131</w:t>
            </w:r>
          </w:p>
        </w:tc>
        <w:tc>
          <w:tcPr>
            <w:tcW w:w="320" w:type="dxa"/>
            <w:vAlign w:val="bottom"/>
          </w:tcPr>
          <w:p>
            <w:pPr>
              <w:spacing w:after="0"/>
              <w:rPr>
                <w:sz w:val="23"/>
                <w:szCs w:val="23"/>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58.49</w:t>
            </w: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(128,666)</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16.79</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(775)</w:t>
            </w:r>
          </w:p>
        </w:tc>
        <w:tc>
          <w:tcPr>
            <w:tcW w:w="320" w:type="dxa"/>
            <w:vAlign w:val="bottom"/>
          </w:tcPr>
          <w:p>
            <w:pPr>
              <w:spacing w:after="0"/>
              <w:rPr>
                <w:sz w:val="21"/>
                <w:szCs w:val="21"/>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53.04</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(1,339)</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7.88</w:t>
            </w:r>
          </w:p>
        </w:tc>
        <w:tc>
          <w:tcPr>
            <w:tcW w:w="1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June 30, 2015</w:t>
            </w:r>
          </w:p>
        </w:tc>
        <w:tc>
          <w:tcPr>
            <w:tcW w:w="15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2,044,030</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18.99</w:t>
            </w:r>
          </w:p>
        </w:tc>
        <w:tc>
          <w:tcPr>
            <w:tcW w:w="14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6.52</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121,867</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June 30, 2015</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937,796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8.63</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3.97</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65,628</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$78.61 on the last trading day of the quarter ended June 30, 2015 and the exercise price, multiplied by the number of shares covered by in-the-money options) that would have been received by the option holders had all option holders exercised their options on June 30, 2015. The intrinsic value changes based on the market value of the Company's common stock.</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six months ended June 30, 2015, the Company granted stock options to certain employees and the board of directors with a weighted average grant date fair value per share of $22.98, which vesting periods include (a) three years from the grant date, (b) 25% and 75% over a period of 1.67 years and 2.67 years, respectively, and (c) 2 years from the grant date.</w:t>
      </w:r>
    </w:p>
    <w:p>
      <w:pPr>
        <w:spacing w:after="0" w:line="12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5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6.23 - 5.75 years</w:t>
            </w:r>
          </w:p>
        </w:tc>
      </w:tr>
      <w:tr>
        <w:trPr>
          <w:trHeight w:val="270"/>
        </w:trPr>
        <w:tc>
          <w:tcPr>
            <w:tcW w:w="55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5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5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70"/>
        </w:trPr>
        <w:tc>
          <w:tcPr>
            <w:tcW w:w="554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506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1.66% - 2.01%</w:t>
            </w:r>
          </w:p>
        </w:tc>
      </w:tr>
    </w:tbl>
    <w:p>
      <w:pPr>
        <w:spacing w:after="0" w:line="148" w:lineRule="exact"/>
        <w:rPr>
          <w:sz w:val="20"/>
          <w:szCs w:val="20"/>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all stock options granted in 2015,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Restricted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nonvested restricted stock units ("RSUs") and restricted stock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4"/>
                <w:szCs w:val="14"/>
                <w:b w:val="1"/>
                <w:bCs w:val="1"/>
                <w:color w:val="auto"/>
              </w:rPr>
              <w:t>RSUs</w:t>
            </w:r>
          </w:p>
        </w:tc>
        <w:tc>
          <w:tcPr>
            <w:tcW w:w="8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gridSpan w:val="3"/>
            <w:vMerge w:val="restart"/>
          </w:tcPr>
          <w:p>
            <w:pPr>
              <w:jc w:val="center"/>
              <w:ind w:right="274"/>
              <w:spacing w:after="0"/>
              <w:rPr>
                <w:sz w:val="20"/>
                <w:szCs w:val="20"/>
                <w:color w:val="auto"/>
              </w:rPr>
            </w:pPr>
            <w:r>
              <w:rPr>
                <w:rFonts w:ascii="Arial" w:cs="Arial" w:eastAsia="Arial" w:hAnsi="Arial"/>
                <w:sz w:val="14"/>
                <w:szCs w:val="14"/>
                <w:b w:val="1"/>
                <w:bCs w:val="1"/>
                <w:color w:val="auto"/>
                <w:w w:val="95"/>
              </w:rPr>
              <w:t>Number of Units</w:t>
            </w:r>
          </w:p>
        </w:tc>
        <w:tc>
          <w:tcPr>
            <w:tcW w:w="1960" w:type="dxa"/>
            <w:vAlign w:val="bottom"/>
            <w:gridSpan w:val="3"/>
          </w:tcPr>
          <w:p>
            <w:pPr>
              <w:jc w:val="center"/>
              <w:ind w:left="39"/>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1960" w:type="dxa"/>
            <w:vAlign w:val="bottom"/>
            <w:tcBorders>
              <w:bottom w:val="single" w:sz="8" w:color="auto"/>
            </w:tcBorders>
            <w:gridSpan w:val="3"/>
          </w:tcPr>
          <w:p>
            <w:pPr>
              <w:jc w:val="center"/>
              <w:ind w:left="59"/>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5"/>
              </w:rPr>
              <w:t>(per unit)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2015</w:t>
            </w:r>
          </w:p>
        </w:tc>
        <w:tc>
          <w:tcPr>
            <w:tcW w:w="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351,801</w:t>
            </w:r>
          </w:p>
        </w:tc>
        <w:tc>
          <w:tcPr>
            <w:tcW w:w="6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22.83</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Granted</w:t>
            </w: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78,362</w:t>
            </w: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54.93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(147,880)</w:t>
            </w: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21.02</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(20,458)</w:t>
            </w: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31.67</w:t>
            </w:r>
          </w:p>
        </w:tc>
        <w:tc>
          <w:tcPr>
            <w:tcW w:w="0" w:type="dxa"/>
            <w:vAlign w:val="bottom"/>
          </w:tcPr>
          <w:p>
            <w:pPr>
              <w:spacing w:after="0"/>
              <w:rPr>
                <w:sz w:val="1"/>
                <w:szCs w:val="1"/>
                <w:color w:val="auto"/>
              </w:rPr>
            </w:pPr>
          </w:p>
        </w:tc>
      </w:tr>
      <w:tr>
        <w:trPr>
          <w:trHeight w:val="27"/>
        </w:trPr>
        <w:tc>
          <w:tcPr>
            <w:tcW w:w="5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June 30, 2015</w:t>
            </w:r>
          </w:p>
        </w:tc>
        <w:tc>
          <w:tcPr>
            <w:tcW w:w="8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261,825</w:t>
            </w:r>
          </w:p>
        </w:tc>
        <w:tc>
          <w:tcPr>
            <w:tcW w:w="6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32.77</w:t>
            </w:r>
          </w:p>
        </w:tc>
        <w:tc>
          <w:tcPr>
            <w:tcW w:w="0" w:type="dxa"/>
            <w:vAlign w:val="bottom"/>
          </w:tcPr>
          <w:p>
            <w:pPr>
              <w:spacing w:after="0"/>
              <w:rPr>
                <w:sz w:val="1"/>
                <w:szCs w:val="1"/>
                <w:color w:val="auto"/>
              </w:rPr>
            </w:pPr>
          </w:p>
        </w:tc>
      </w:tr>
      <w:tr>
        <w:trPr>
          <w:trHeight w:val="548"/>
        </w:trPr>
        <w:tc>
          <w:tcPr>
            <w:tcW w:w="58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Restricted Stock</w:t>
            </w:r>
          </w:p>
        </w:tc>
        <w:tc>
          <w:tcPr>
            <w:tcW w:w="80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gridSpan w:val="3"/>
          </w:tcPr>
          <w:p>
            <w:pPr>
              <w:jc w:val="center"/>
              <w:ind w:right="294"/>
              <w:spacing w:after="0" w:line="153" w:lineRule="exact"/>
              <w:rPr>
                <w:sz w:val="20"/>
                <w:szCs w:val="20"/>
                <w:color w:val="auto"/>
              </w:rPr>
            </w:pPr>
            <w:r>
              <w:rPr>
                <w:rFonts w:ascii="Arial" w:cs="Arial" w:eastAsia="Arial" w:hAnsi="Arial"/>
                <w:sz w:val="14"/>
                <w:szCs w:val="14"/>
                <w:b w:val="1"/>
                <w:bCs w:val="1"/>
                <w:color w:val="auto"/>
                <w:w w:val="94"/>
              </w:rPr>
              <w:t>Number of</w:t>
            </w:r>
          </w:p>
        </w:tc>
        <w:tc>
          <w:tcPr>
            <w:tcW w:w="1960" w:type="dxa"/>
            <w:vAlign w:val="bottom"/>
            <w:gridSpan w:val="3"/>
          </w:tcPr>
          <w:p>
            <w:pPr>
              <w:jc w:val="center"/>
              <w:ind w:left="39"/>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274"/>
              <w:spacing w:after="0"/>
              <w:rPr>
                <w:sz w:val="20"/>
                <w:szCs w:val="20"/>
                <w:color w:val="auto"/>
              </w:rPr>
            </w:pPr>
            <w:r>
              <w:rPr>
                <w:rFonts w:ascii="Arial" w:cs="Arial" w:eastAsia="Arial" w:hAnsi="Arial"/>
                <w:sz w:val="14"/>
                <w:szCs w:val="14"/>
                <w:b w:val="1"/>
                <w:bCs w:val="1"/>
                <w:color w:val="auto"/>
                <w:w w:val="85"/>
              </w:rPr>
              <w:t>Shares</w:t>
            </w:r>
          </w:p>
        </w:tc>
        <w:tc>
          <w:tcPr>
            <w:tcW w:w="1960" w:type="dxa"/>
            <w:vAlign w:val="bottom"/>
            <w:tcBorders>
              <w:bottom w:val="single" w:sz="8" w:color="auto"/>
            </w:tcBorders>
            <w:gridSpan w:val="3"/>
          </w:tcPr>
          <w:p>
            <w:pPr>
              <w:jc w:val="center"/>
              <w:ind w:left="59"/>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1"/>
              </w:rPr>
              <w:t>(per share)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2015</w:t>
            </w:r>
          </w:p>
        </w:tc>
        <w:tc>
          <w:tcPr>
            <w:tcW w:w="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123,057</w:t>
            </w:r>
          </w:p>
        </w:tc>
        <w:tc>
          <w:tcPr>
            <w:tcW w:w="6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23.41</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Granted</w:t>
            </w: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(35,295)</w:t>
            </w: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20.62</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June 30, 2015</w:t>
            </w:r>
          </w:p>
        </w:tc>
        <w:tc>
          <w:tcPr>
            <w:tcW w:w="8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87,762</w:t>
            </w:r>
          </w:p>
        </w:tc>
        <w:tc>
          <w:tcPr>
            <w:tcW w:w="6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24.54</w:t>
            </w:r>
          </w:p>
        </w:tc>
        <w:tc>
          <w:tcPr>
            <w:tcW w:w="0" w:type="dxa"/>
            <w:vAlign w:val="bottom"/>
          </w:tcPr>
          <w:p>
            <w:pPr>
              <w:spacing w:after="0"/>
              <w:rPr>
                <w:sz w:val="1"/>
                <w:szCs w:val="1"/>
                <w:color w:val="auto"/>
              </w:rPr>
            </w:pPr>
          </w:p>
        </w:tc>
      </w:tr>
      <w:tr>
        <w:trPr>
          <w:trHeight w:val="486"/>
        </w:trPr>
        <w:tc>
          <w:tcPr>
            <w:tcW w:w="58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8—INCOME TAXES</w:t>
            </w:r>
          </w:p>
        </w:tc>
        <w:tc>
          <w:tcPr>
            <w:tcW w:w="8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820" w:type="dxa"/>
            <w:vAlign w:val="bottom"/>
          </w:tcPr>
          <w:p>
            <w:pPr>
              <w:spacing w:after="0"/>
              <w:rPr>
                <w:sz w:val="24"/>
                <w:szCs w:val="24"/>
                <w:color w:val="auto"/>
              </w:rPr>
            </w:pPr>
          </w:p>
        </w:tc>
        <w:tc>
          <w:tcPr>
            <w:tcW w:w="22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gridSpan w:val="2"/>
          </w:tcPr>
          <w:p>
            <w:pPr>
              <w:jc w:val="right"/>
              <w:ind w:right="204"/>
              <w:spacing w:after="0"/>
              <w:rPr>
                <w:sz w:val="20"/>
                <w:szCs w:val="20"/>
                <w:color w:val="auto"/>
              </w:rPr>
            </w:pPr>
            <w:r>
              <w:rPr>
                <w:rFonts w:ascii="Arial" w:cs="Arial" w:eastAsia="Arial" w:hAnsi="Arial"/>
                <w:sz w:val="14"/>
                <w:szCs w:val="14"/>
                <w:b w:val="1"/>
                <w:bCs w:val="1"/>
                <w:color w:val="auto"/>
                <w:w w:val="93"/>
              </w:rPr>
              <w:t>Six Months Ended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484"/>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4"/>
                <w:szCs w:val="14"/>
                <w:b w:val="1"/>
                <w:bCs w:val="1"/>
                <w:color w:val="auto"/>
              </w:rPr>
              <w:t>2015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900" w:type="dxa"/>
            <w:vAlign w:val="bottom"/>
            <w:gridSpan w:val="6"/>
          </w:tcPr>
          <w:p>
            <w:pPr>
              <w:jc w:val="right"/>
              <w:ind w:right="359"/>
              <w:spacing w:after="0"/>
              <w:rPr>
                <w:sz w:val="20"/>
                <w:szCs w:val="20"/>
                <w:color w:val="auto"/>
              </w:rPr>
            </w:pPr>
            <w:r>
              <w:rPr>
                <w:rFonts w:ascii="Arial" w:cs="Arial" w:eastAsia="Arial" w:hAnsi="Arial"/>
                <w:sz w:val="14"/>
                <w:szCs w:val="14"/>
                <w:b w:val="1"/>
                <w:bCs w:val="1"/>
                <w:i w:val="1"/>
                <w:iCs w:val="1"/>
                <w:color w:val="auto"/>
              </w:rPr>
              <w:t>(in thousands, except percentages)</w:t>
            </w: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820" w:type="dxa"/>
            <w:vAlign w:val="bottom"/>
            <w:tcBorders>
              <w:bottom w:val="single" w:sz="8" w:color="CCEEFF"/>
            </w:tcBorders>
            <w:shd w:val="clear" w:color="auto" w:fill="CCEEFF"/>
          </w:tcPr>
          <w:p>
            <w:pPr>
              <w:jc w:val="right"/>
              <w:ind w:right="62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85"/>
              </w:rPr>
              <w:t>(272)</w:t>
            </w:r>
          </w:p>
        </w:tc>
        <w:tc>
          <w:tcPr>
            <w:tcW w:w="46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5"/>
              </w:rPr>
              <w:t>(579)</w:t>
            </w:r>
          </w:p>
        </w:tc>
        <w:tc>
          <w:tcPr>
            <w:tcW w:w="800" w:type="dxa"/>
            <w:vAlign w:val="bottom"/>
            <w:tcBorders>
              <w:bottom w:val="single" w:sz="8" w:color="CCEEFF"/>
            </w:tcBorders>
            <w:shd w:val="clear" w:color="auto" w:fill="CCEEFF"/>
          </w:tcPr>
          <w:p>
            <w:pPr>
              <w:jc w:val="right"/>
              <w:ind w:right="60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8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i w:val="1"/>
                <w:iCs w:val="1"/>
                <w:color w:val="auto"/>
              </w:rPr>
              <w:t>4.1%</w:t>
            </w: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3.2%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jc w:val="right"/>
              <w:ind w:right="59"/>
              <w:spacing w:after="0"/>
              <w:rPr>
                <w:sz w:val="20"/>
                <w:szCs w:val="20"/>
                <w:color w:val="auto"/>
              </w:rPr>
            </w:pPr>
            <w:r>
              <w:rPr>
                <w:rFonts w:ascii="Arial" w:cs="Arial" w:eastAsia="Arial" w:hAnsi="Arial"/>
                <w:sz w:val="18"/>
                <w:szCs w:val="18"/>
                <w:i w:val="1"/>
                <w:iCs w:val="1"/>
                <w:color w:val="auto"/>
              </w:rPr>
              <w:t>4.7%</w:t>
            </w:r>
          </w:p>
        </w:tc>
        <w:tc>
          <w:tcPr>
            <w:tcW w:w="8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2.6%</w:t>
            </w:r>
          </w:p>
        </w:tc>
        <w:tc>
          <w:tcPr>
            <w:tcW w:w="0" w:type="dxa"/>
            <w:vAlign w:val="bottom"/>
          </w:tcPr>
          <w:p>
            <w:pPr>
              <w:spacing w:after="0"/>
              <w:rPr>
                <w:sz w:val="1"/>
                <w:szCs w:val="1"/>
                <w:color w:val="auto"/>
              </w:rPr>
            </w:pPr>
          </w:p>
        </w:tc>
      </w:tr>
      <w:tr>
        <w:trPr>
          <w:trHeight w:val="27"/>
        </w:trPr>
        <w:tc>
          <w:tcPr>
            <w:tcW w:w="5820" w:type="dxa"/>
            <w:vAlign w:val="bottom"/>
            <w:tcBorders>
              <w:bottom w:val="single" w:sz="8" w:color="999999"/>
            </w:tcBorders>
          </w:tcPr>
          <w:p>
            <w:pPr>
              <w:spacing w:after="0"/>
              <w:rPr>
                <w:sz w:val="2"/>
                <w:szCs w:val="2"/>
                <w:color w:val="auto"/>
              </w:rPr>
            </w:pPr>
          </w:p>
        </w:tc>
        <w:tc>
          <w:tcPr>
            <w:tcW w:w="820" w:type="dxa"/>
            <w:vAlign w:val="bottom"/>
            <w:tcBorders>
              <w:bottom w:val="single" w:sz="8" w:color="999999"/>
            </w:tcBorders>
          </w:tcPr>
          <w:p>
            <w:pPr>
              <w:spacing w:after="0"/>
              <w:rPr>
                <w:sz w:val="2"/>
                <w:szCs w:val="2"/>
                <w:color w:val="auto"/>
              </w:rPr>
            </w:pPr>
          </w:p>
        </w:tc>
        <w:tc>
          <w:tcPr>
            <w:tcW w:w="560" w:type="dxa"/>
            <w:vAlign w:val="bottom"/>
            <w:tcBorders>
              <w:bottom w:val="single" w:sz="8" w:color="999999"/>
            </w:tcBorders>
          </w:tcPr>
          <w:p>
            <w:pPr>
              <w:spacing w:after="0"/>
              <w:rPr>
                <w:sz w:val="2"/>
                <w:szCs w:val="2"/>
                <w:color w:val="auto"/>
              </w:rPr>
            </w:pPr>
          </w:p>
        </w:tc>
        <w:tc>
          <w:tcPr>
            <w:tcW w:w="460" w:type="dxa"/>
            <w:vAlign w:val="bottom"/>
            <w:tcBorders>
              <w:bottom w:val="single" w:sz="8" w:color="999999"/>
            </w:tcBorders>
          </w:tcPr>
          <w:p>
            <w:pPr>
              <w:spacing w:after="0"/>
              <w:rPr>
                <w:sz w:val="2"/>
                <w:szCs w:val="2"/>
                <w:color w:val="auto"/>
              </w:rPr>
            </w:pPr>
          </w:p>
        </w:tc>
        <w:tc>
          <w:tcPr>
            <w:tcW w:w="400" w:type="dxa"/>
            <w:vAlign w:val="bottom"/>
            <w:tcBorders>
              <w:bottom w:val="single" w:sz="8" w:color="999999"/>
            </w:tcBorders>
          </w:tcPr>
          <w:p>
            <w:pPr>
              <w:spacing w:after="0"/>
              <w:rPr>
                <w:sz w:val="2"/>
                <w:szCs w:val="2"/>
                <w:color w:val="auto"/>
              </w:rPr>
            </w:pPr>
          </w:p>
        </w:tc>
        <w:tc>
          <w:tcPr>
            <w:tcW w:w="52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780" w:type="dxa"/>
            <w:vAlign w:val="bottom"/>
            <w:tcBorders>
              <w:bottom w:val="single" w:sz="8" w:color="999999"/>
            </w:tcBorders>
          </w:tcPr>
          <w:p>
            <w:pPr>
              <w:spacing w:after="0"/>
              <w:rPr>
                <w:sz w:val="2"/>
                <w:szCs w:val="2"/>
                <w:color w:val="auto"/>
              </w:rPr>
            </w:pPr>
          </w:p>
        </w:tc>
        <w:tc>
          <w:tcPr>
            <w:tcW w:w="640" w:type="dxa"/>
            <w:vAlign w:val="bottom"/>
            <w:tcBorders>
              <w:bottom w:val="single" w:sz="8" w:color="999999"/>
            </w:tcBorders>
          </w:tcPr>
          <w:p>
            <w:pPr>
              <w:spacing w:after="0"/>
              <w:rPr>
                <w:sz w:val="2"/>
                <w:szCs w:val="2"/>
                <w:color w:val="auto"/>
              </w:rPr>
            </w:pPr>
          </w:p>
        </w:tc>
        <w:tc>
          <w:tcPr>
            <w:tcW w:w="800" w:type="dxa"/>
            <w:vAlign w:val="bottom"/>
            <w:tcBorders>
              <w:bottom w:val="single" w:sz="8" w:color="999999"/>
            </w:tcBorders>
          </w:tcPr>
          <w:p>
            <w:pPr>
              <w:spacing w:after="0"/>
              <w:rPr>
                <w:sz w:val="2"/>
                <w:szCs w:val="2"/>
                <w:color w:val="auto"/>
              </w:rPr>
            </w:pPr>
          </w:p>
        </w:tc>
        <w:tc>
          <w:tcPr>
            <w:tcW w:w="52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Tax expense for the three and six months ended June 30, 2015 is primarily comprised of the federal Alternative Minimum Tax and state taxes.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and six months ended June 30, 2015 and 2014, the effective tax rates varied from the statutory rate primarily due to the existence of a valuation allowance that has been provided to offset the Company's net deferred tax asset and state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Allowance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has been no change to the Company's valuation allowance assessment for the three and six months ended June 30,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leases office space used in connection with its operations under various operating leases, which contain escalation clauses. The Company's operating leases relate to its office space in Charlotte, North Carolina and Burlingame, California. Effective, May 2015, the Company renewed the lease for its principal executive office located in Charlotte, North Carolina.</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Future minimum payments as of June 30, 2015 under operating lease agreements having an initial or remaining non-cancelable lease term in excess of one year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Amount</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 ending December 31, 2016</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1,217</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2017</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 ending December 31, 2018</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995</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2019</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1,055</w:t>
            </w:r>
          </w:p>
        </w:tc>
      </w:tr>
      <w:tr>
        <w:trPr>
          <w:trHeight w:val="27"/>
        </w:trPr>
        <w:tc>
          <w:tcPr>
            <w:tcW w:w="9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5,618</w:t>
            </w:r>
          </w:p>
        </w:tc>
      </w:tr>
      <w:tr>
        <w:trPr>
          <w:trHeight w:val="27"/>
        </w:trPr>
        <w:tc>
          <w:tcPr>
            <w:tcW w:w="99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business. With respect to the matters disclosed in this Note 10,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June 30, 2015 and December 31, 2014, the Company had a litigation settlement accrual for its continuing operations of $0.6 million and $2.8 million, respectively. The litigation settlement accrual relates to litigation matters that were either settled or a firm offer for settlement was extended, thereby establishing an accrual amount that is both probable and reasonably estimable.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 Litigation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Zillow</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LendingTree v. Zillow, Inc., et al. Civil Action No. 3:10-cv-439</w:t>
      </w:r>
      <w:r>
        <w:rPr>
          <w:rFonts w:ascii="Arial" w:cs="Arial" w:eastAsia="Arial" w:hAnsi="Arial"/>
          <w:sz w:val="17"/>
          <w:szCs w:val="17"/>
          <w:color w:val="auto"/>
        </w:rPr>
        <w:t>. On September 8, 2010, the Company filed an action for patent infringement in the US</w:t>
      </w:r>
      <w:r>
        <w:rPr>
          <w:rFonts w:ascii="Arial" w:cs="Arial" w:eastAsia="Arial" w:hAnsi="Arial"/>
          <w:sz w:val="17"/>
          <w:szCs w:val="17"/>
          <w:i w:val="1"/>
          <w:iCs w:val="1"/>
          <w:color w:val="auto"/>
        </w:rPr>
        <w:t xml:space="preserve"> </w:t>
      </w:r>
      <w:r>
        <w:rPr>
          <w:rFonts w:ascii="Arial" w:cs="Arial" w:eastAsia="Arial" w:hAnsi="Arial"/>
          <w:sz w:val="17"/>
          <w:szCs w:val="17"/>
          <w:color w:val="auto"/>
        </w:rPr>
        <w:t>District Court for the Western District of North Carolina against Zillow, Inc., NexTag, Inc., Quinstreet, Inc., Quinstreet Media, Inc. and Adchemy, Inc. The complaint was amended to include Leadpoint, Inc. d/b/a Securerights on September 24, 2010. The complaint alleged that each of the defendants infringe one or both of the Company's patents-U.S. Patent No. 6,385,594, entitled "Method and Computer Network for Co-Ordinating a Loan over the Internet," and U.S. Patent No. 6,611,816, entitled "Method and Computer Network for Co-Ordinating a Loan over the Internet." The defendants in this action asserted various defenses and counterclaims against the Company, including the assertion by certain of the defendants of counterclaims alleging illegal monopolization via the Company's maintenance of the asserted patents. Defendant NexTag asserted defenses of laches and equitable estoppel. In July 2011, the Company reached a settlement agreement with Leadpoint, Inc., pursuant to which all claims against Leadpoint, Inc. and all counterclaims against the Company by Leadpoint, Inc. were dismissed. In November 2012, the Company reached a settlement agreement with Quinstreet, Inc. and Quinstreet Media, Inc. (collectively, the "Quinstreet Parties"), pursuant to which all claims against the Quinstreet Parties and all counterclaims against the Company by the Quinstreet Parties were dismissed. After an unsuccessful attempt to reach settlement through mediation with the remaining parties, this matter went to trial beginning in February 2014, and on March 12, 2014, the jury returned a verdict. The jury found that the defendants Zillow, Inc., Adchemy, Inc. and NexTag, Inc. did not infringe the two patents referenced above and determined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that those patents are invalid due to an inventorship defect, and the court found that NexTag was entitled to defense of laches and equitable estoppel. The jury found in the Company's favor on the defendants' counterclaims alleging inequitable conduct and antitrust violations. Judgment was entered on March 31, 2014. After the court entered judgment, on May 27, 2014, the Company reached a settlement agreement with defendant Adchemy, Inc., including an agreement to dismiss and withdraw all claims, counterclaims, and motions between the Company and Adchemy, Inc. As a result, a joint and voluntary dismissal was filed June 12, 2014 with respect to claims between the Company and Adchemy. The parties filed various post-trial motions; in particular, defendants collectively sought up to $9.7 million in fees and costs. On October 9, 2014, the court denied the Company's post-trial motion for judgment as a matter of law and denied Zillow's post-trial motions for sanctions and attorneys' fees. The court also denied in part and granted in part NexTag's post-trial motion for attorneys' fees, awarding NexTag a portion of its attorney's fees and costs totaling $2.3 million, plus interest. The trial and post-trial motion process is now complete.</w:t>
      </w:r>
    </w:p>
    <w:p>
      <w:pPr>
        <w:spacing w:after="0" w:line="14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November 2014, the Company filed a notice of appeal to the U.S. Court of Appeals for the Federal Circuit with respect to the jury verdict concerning Zillow, Inc. and NexTag, Inc. and the award of attorneys' fees. In March 2015, the U.S. Court of Appeals for the Federal Circuit granted the Company's motion to stay appellate briefing pending an </w:t>
      </w:r>
      <w:r>
        <w:rPr>
          <w:rFonts w:ascii="Arial" w:cs="Arial" w:eastAsia="Arial" w:hAnsi="Arial"/>
          <w:sz w:val="17"/>
          <w:szCs w:val="17"/>
          <w:i w:val="1"/>
          <w:iCs w:val="1"/>
          <w:color w:val="auto"/>
        </w:rPr>
        <w:t>en banc</w:t>
      </w:r>
      <w:r>
        <w:rPr>
          <w:rFonts w:ascii="Arial" w:cs="Arial" w:eastAsia="Arial" w:hAnsi="Arial"/>
          <w:sz w:val="17"/>
          <w:szCs w:val="17"/>
          <w:color w:val="auto"/>
        </w:rPr>
        <w:t xml:space="preserve"> review by such court of the laches defense in an unrelated patent infringement matter and ruled in favor of Zillow, Inc. on an immaterial amount of costs related to the trial process. In June 2015, the Company reached a settlement agreement for $1.1 million with defendant NexTag pursuant to which the Company dismissed its appeal of the jury verdict and the award of attorney's fees concerning NexTag, and NexTag dismissed its cross-appeal and claims relating to the jury verdict and the award of attorneys' fees. In July 2015, the stay was lifted on the Company's appeal with respect to the jury verdict concerning Zillow, Inc.; appellate briefs have not yet been filed.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Internet Patents Corp.</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Internet Patents Corporation f/k/a InsWeb v. Tree.com, Inc., No. C-12-6505 (U.S. Dist. Ct., N.D. Cal.). </w:t>
      </w:r>
      <w:r>
        <w:rPr>
          <w:rFonts w:ascii="Arial" w:cs="Arial" w:eastAsia="Arial" w:hAnsi="Arial"/>
          <w:sz w:val="17"/>
          <w:szCs w:val="17"/>
          <w:color w:val="auto"/>
        </w:rPr>
        <w:t>In December 2012, the plaintiff filed a patent</w:t>
      </w:r>
      <w:r>
        <w:rPr>
          <w:rFonts w:ascii="Arial" w:cs="Arial" w:eastAsia="Arial" w:hAnsi="Arial"/>
          <w:sz w:val="17"/>
          <w:szCs w:val="17"/>
          <w:i w:val="1"/>
          <w:iCs w:val="1"/>
          <w:color w:val="auto"/>
        </w:rPr>
        <w:t xml:space="preserve"> </w:t>
      </w:r>
      <w:r>
        <w:rPr>
          <w:rFonts w:ascii="Arial" w:cs="Arial" w:eastAsia="Arial" w:hAnsi="Arial"/>
          <w:sz w:val="17"/>
          <w:szCs w:val="17"/>
          <w:color w:val="auto"/>
        </w:rPr>
        <w:t>infringement lawsuit against the Company seeking a judgment that it had infringed a patent held by the plaintiff. Process was formally served with respect to this matter in April 2013. The plaintiff sought injunctive relief, damages, costs, expenses, pre- and post-judgment interest, punitive damages and attorneys' fees. The plaintiff alleged that the Company infringed upon U.S. Patent No. 7,707,505, entitled "Dynamic Tabs for a Graphical User Interface". On October 25, 2013, the court dismissed the suit based on the finding that the plaintiff's claims failed as a matter of law because the asserted patent is invalid for lack of patent-eligible subject matter. The plaintiff filed a notice of appeal on November 7, 2013. In December 2013, the Company's case was consolidated with three other pending appeals involving the asserted patents. The plaintiff filed its opening appellate brief in January 2014, and the Company filed a joint appellate response brief in April 2014. A hearing on the consolidated appeals was held in August 2014. In June 2015, the dismissal of this suit was affirmed by the U.S. Court of Appeals for the Federal Circuit.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Massachusetts Division of Banks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11, 2011, the Massachusetts Division of Banks (the "Division") delivered a Report of Examination/Inspection to LendingTree, LLC, which identified various alleged violations of Massachusetts and federal laws, including the alleged insufficient delivery by LendingTree, LLC of various disclosures to its customers. On October 14, 2011, the Division provided a proposed Consent Agreement and Order to settle the Division's allegations, which the Division had shared with other state mortgage lending regulators. Thirty-four of such state mortgage lending regulators (the "Joining Regulators") indicated that if LendingTree, LLC would enter into the Consent Agreement and Order, they would agree not to pursue any analogous allegations that they otherwise might assert. None of the Joining Regulators have asserted any such allegations.</w:t>
      </w:r>
    </w:p>
    <w:p>
      <w:pPr>
        <w:spacing w:after="0" w:line="85" w:lineRule="exact"/>
        <w:rPr>
          <w:sz w:val="20"/>
          <w:szCs w:val="20"/>
          <w:color w:val="auto"/>
        </w:rPr>
      </w:pPr>
    </w:p>
    <w:p>
      <w:pPr>
        <w:jc w:val="both"/>
        <w:ind w:firstLine="368"/>
        <w:spacing w:after="0" w:line="255" w:lineRule="auto"/>
        <w:rPr>
          <w:sz w:val="20"/>
          <w:szCs w:val="20"/>
          <w:color w:val="auto"/>
        </w:rPr>
      </w:pPr>
      <w:r>
        <w:rPr>
          <w:rFonts w:ascii="Arial" w:cs="Arial" w:eastAsia="Arial" w:hAnsi="Arial"/>
          <w:sz w:val="18"/>
          <w:szCs w:val="18"/>
          <w:color w:val="auto"/>
        </w:rPr>
        <w:t>The proposed Consent Agreement and Order calls for a fine to be allocated among the Division and the Joining Regulators and for LendingTree, LLC to adopt various new procedures and practices. The Company has commenced negotiations toward an acceptable Consent Agreement and Order. It does not believe its mortgage marketplace business violated any federal or state mortgage lending laws; nor does it believe that any past operations of the mortgage business have resulted in a material violation of any such laws. Should the Division or any Joining Regulator bring any actions relating to the matters alleged in the February 2011 Report of Examination/Inspection, the Company intends to defend against such actions vigorously. The range of possible loss is estimated to be between $0.5 million and $6.5 million, and a reserve of $0.5 million has been established for this matter in the accompanying consolidated balance sheet as of June 30, 2015.</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Dijkstra</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 xml:space="preserve">Lijkel Dijkstra v. Harry Carenbauer, Home Loan Center, Inc. et al., No. 5:11-cv-152-JPB (U.S. Dist. Ct., N.D.WV). </w:t>
      </w:r>
      <w:r>
        <w:rPr>
          <w:rFonts w:ascii="Arial" w:cs="Arial" w:eastAsia="Arial" w:hAnsi="Arial"/>
          <w:sz w:val="16"/>
          <w:szCs w:val="16"/>
          <w:color w:val="auto"/>
        </w:rPr>
        <w:t>In November 2008, the plaintiffs</w:t>
      </w:r>
      <w:r>
        <w:rPr>
          <w:rFonts w:ascii="Arial" w:cs="Arial" w:eastAsia="Arial" w:hAnsi="Arial"/>
          <w:sz w:val="16"/>
          <w:szCs w:val="16"/>
          <w:i w:val="1"/>
          <w:iCs w:val="1"/>
          <w:color w:val="auto"/>
        </w:rPr>
        <w:t xml:space="preserve"> </w:t>
      </w:r>
      <w:r>
        <w:rPr>
          <w:rFonts w:ascii="Arial" w:cs="Arial" w:eastAsia="Arial" w:hAnsi="Arial"/>
          <w:sz w:val="16"/>
          <w:szCs w:val="16"/>
          <w:color w:val="auto"/>
        </w:rPr>
        <w:t>filed a putative class action in Circuit Court of Ohio County, West Virginia against Harry Carenbauer, HLC, HLC Escrow, Inc. et al. The complaint alleges that HLC engaged in the unauthorized practice of law in West Virginia by permitting persons who were neither admitted to the practice of law in West Virginia nor under the direct supervision of a lawyer admitted to the practice of law in West Virginia to close mortgage loans. The plaintiffs assert claims for declaratory judgment, contempt, injunctive relief, conversion, unjust enrichment, breach of fiduciary duty, intentional misrepresentation or fraud, negligent misrepresentation, violation of the West Virginia Consumer Credit and Protection Act ("CCPA"), violation of the West Virginia Lender, Broker &amp; Services Act, civil conspiracy, outrage and negligence. The claims against all defendants other than Mr. Carenbauer, HLC and HLC Escrow, Inc. have been dismissed. The case was removed to federal court in October 2011. On January 3, 2013, the court granted a conditional class certification only with respect to the declaratory judgment, contempt, unjust enrichment and CCPA claims. The conditional class included consumers with mortgage loans in effect any time after November 8, 2007 who obtained such loans through HLC, and whose loans were closed by persons not admitted to the practice of law in West Virginia or by persons not under the direct supervision of a lawyer admitted to the practice of law in West Virginia. In February 2014, the court granted and denied certain of each party's motions for summary judgment. With respect to the Class Claims, the court granted plaintiff's motions for summary judgment with respect to declaratory judgment, unjust enrichment and violation of the CCPA. The court granted HLC's motion for summary judgment with respect to contempt. In addition, the court denied HLC's motion to decertify the class. With respect to the claims applicable to the named plaintiff only (the "Individual Claims"), HLC's motions for summary judgment were granted with respect to conversion, breach of fiduciary duty, intentional misrepresentation, negligent misrepresentation and outrage. HLC and the plaintiff settled the remaining Individual Claims in June 2014.</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July 2014, the court awarded damages to plaintiffs in the amount of $2.8 million. HLC filed a notice of appeal in August 2014 and in September 2014, plaintiffs filed a motion to dismiss the appeal. In December 2014, the U.S. Court of Appeals for the Fourth Circuit determined that the district court's order was not yet final, and, accordingly, HLC's appeal was dismissed. In July 2015, the district court awarded attorneys' fees to Plaintiffs consisting of one-third of the class damages award plus an additional $389,500. The judge also awarded prejudgment interest to Plaintiffs. A reserve of $3.2 million has been established for this matter in the accompanying consolidated balance sheet as of June 30, 2015, of which some or all may be covered by insurance. On July 30, 2015, the district court judge entered a final judgment order in this matter; HLC intends to renew its appeal .</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Residential Funding Company, LLC v Home Loan Center, Inc., No. 13-cv-3451 (U.S. Dist. Ct., Minn.). </w:t>
      </w:r>
      <w:r>
        <w:rPr>
          <w:rFonts w:ascii="Arial" w:cs="Arial" w:eastAsia="Arial" w:hAnsi="Arial"/>
          <w:sz w:val="18"/>
          <w:szCs w:val="18"/>
          <w:color w:val="auto"/>
        </w:rPr>
        <w:t>On or about December 16, 2013, Home Loan</w:t>
      </w:r>
      <w:r>
        <w:rPr>
          <w:rFonts w:ascii="Arial" w:cs="Arial" w:eastAsia="Arial" w:hAnsi="Arial"/>
          <w:sz w:val="18"/>
          <w:szCs w:val="18"/>
          <w:i w:val="1"/>
          <w:iCs w:val="1"/>
          <w:color w:val="auto"/>
        </w:rPr>
        <w:t xml:space="preserve"> </w:t>
      </w:r>
      <w:r>
        <w:rPr>
          <w:rFonts w:ascii="Arial" w:cs="Arial" w:eastAsia="Arial" w:hAnsi="Arial"/>
          <w:sz w:val="18"/>
          <w:szCs w:val="18"/>
          <w:color w:val="auto"/>
        </w:rPr>
        <w:t>Center, Inc. was served in the above captioned matter. Generally, Residential Funding Company, LLC ("RFC") seeks damages for breach of contract and indemnification for certain residential mortgage loans as well as residential mortgage-backed securitizations ("RMBS") containing mortgage loans. RFC asserts that, beginning in 2008, RFC faced massive repurchase demands and lawsuits from purchasers or insurers of the loans and RMBS that RFC had sold. RFC filed for bankruptcy protection in May 2012. Plaintiff alleges that, after RFC filed for Chapter 11 protection, hundreds of proofs of claim were filed, many of which mirrored the litigation filed against RFC prior to its bankruptcy.</w:t>
      </w:r>
    </w:p>
    <w:p>
      <w:pPr>
        <w:spacing w:after="0" w:line="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Home Loan Center, in federal and state courts in Minnesota and New York. In each case, Plaintiff claims that the defendant is liable for a portion of the global settlement in RFC’s bankruptcy.</w:t>
      </w:r>
    </w:p>
    <w:p>
      <w:pPr>
        <w:spacing w:after="0" w:line="4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Plaintiff asserts two claims against HLC: (1) breach of contract based on HLC’s alleged breach of representations and warranties concerning the quality and characteristics of the mortgage loans it sold to RFC (Count One); and (2) contractual indemnification for alleged liabilities, losses, and damages incurred by RFC arising out of purported defects in loans that RFC purchased from HSBC and sold to third parties (Count Two). Plaintiff alleges that the “types of defects” contained in the loans it purchased from HLC included “income misrepresentation, employment misrepresentation, appraisal misrepresentations or inaccuracies, undisclosed debt, and missing or inaccurate documents.”</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HLC filed a Motion to Dismiss under Rule 12(b)(6) of the Federal Rules of Civil Procedure or, in the alternative, a Motion for More Definite Statement under Rule 12(e). On June 25, 2015 the judge denied HLC's motion.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July 9, 2015, HLC filed its answer to RFC’s complaint, denying the material allegations of the complaint and asserting numerous defenses thereto.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Discovery is ongoing in this matter. HLC intends to vigorously defend this action.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 Demand Letter</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December 2014, HLC received a demand letter (the “Letter”) from the Bankruptcy Estate of Lehman Brothers Holdings, Inc. (“LBHI”) concerning 64 loans (the “Loans”) that LBHI alleges were sold by HLC to Lehman Brothers Bank, FSB (“LBB”) between 2004 and 2008 pursuant to a loan purchase agreement (the “LPA”) between HLC and LBB. The Letter claims that LBB subsequently sold the Loans to LBHI and that LBB assigned to LBHI its contractual rights pursuant to the LPA with respect to the Loans. LBHI now alleges that HLC breached certain representations and warranties in the LPA concerning the Loans. The Letter states that LBHI, as an assign of LBB, now seeks indemnification from HLC in accordance with the LPA for certain claims that LBHI alleges it allowed in its bankruptcy with respect to the Loans. HLC and LBHI are currently engaged in negotiations concerning the allegations made in the Letter. Should LBHI bring any actions relating to the matters alleged in the Letter, the Company intends to defend against such actions vigorously. A reserve of $0.5 million for this matter is included in the accompanying consolidated balance sheet as of June 30,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11—SEGMENT INFORMATION</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quarter of 2015, management made certain changes to its organizational structure that impacted its previous operating segments. As a result, management concluded it had one reportable segment representing the Company's Lending activities. Previously reported segment results have been revised to conform to the Company's one reportable segment at June 30, 2015.</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Mortgage and non-mortgage product 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2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250"/>
        </w:trPr>
        <w:tc>
          <w:tcPr>
            <w:tcW w:w="61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products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37,198</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34,667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74,196</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68,910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Non-mortgage products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17,938</w:t>
            </w:r>
          </w:p>
        </w:tc>
        <w:tc>
          <w:tcPr>
            <w:tcW w:w="42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7,477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31,875</w:t>
            </w:r>
          </w:p>
        </w:tc>
        <w:tc>
          <w:tcPr>
            <w:tcW w:w="42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13,270</w:t>
            </w:r>
          </w:p>
        </w:tc>
      </w:tr>
      <w:tr>
        <w:trPr>
          <w:trHeight w:val="27"/>
        </w:trPr>
        <w:tc>
          <w:tcPr>
            <w:tcW w:w="6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55,136</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42,144</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106,071</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82,180</w:t>
            </w:r>
          </w:p>
        </w:tc>
      </w:tr>
      <w:tr>
        <w:trPr>
          <w:trHeight w:val="27"/>
        </w:trPr>
        <w:tc>
          <w:tcPr>
            <w:tcW w:w="6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12—RESTRUCTURING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restructuring costs primarily relate to lease obligations for call center leases exited in 2010, which are expected to be completed in 2015.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Restructuring expense and payments against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6"/>
              </w:rPr>
              <w:t>Continuing Lease Obligations</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178</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Restructuring income</w:t>
            </w:r>
          </w:p>
        </w:tc>
        <w:tc>
          <w:tcPr>
            <w:tcW w:w="8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9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w:t>
            </w:r>
          </w:p>
        </w:tc>
        <w:tc>
          <w:tcPr>
            <w:tcW w:w="8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7"/>
        </w:trPr>
        <w:tc>
          <w:tcPr>
            <w:tcW w:w="93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June 30, 2015</w:t>
            </w: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w:t>
            </w:r>
          </w:p>
        </w:tc>
      </w:tr>
      <w:tr>
        <w:trPr>
          <w:trHeight w:val="34"/>
        </w:trPr>
        <w:tc>
          <w:tcPr>
            <w:tcW w:w="9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does not expect to incur significant additional costs related to the restructuring noted above.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13—DISCONTINUED OPERATIONS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revenue and net loss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3"/>
          </w:tcPr>
          <w:p>
            <w:pPr>
              <w:jc w:val="right"/>
              <w:ind w:right="65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w:t>
            </w:r>
          </w:p>
        </w:tc>
      </w:tr>
      <w:tr>
        <w:trPr>
          <w:trHeight w:val="318"/>
        </w:trPr>
        <w:tc>
          <w:tcPr>
            <w:tcW w:w="60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(1,788)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(2,026)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8"/>
              <w:spacing w:after="0"/>
              <w:rPr>
                <w:sz w:val="20"/>
                <w:szCs w:val="20"/>
                <w:color w:val="auto"/>
              </w:rPr>
            </w:pPr>
            <w:r>
              <w:rPr>
                <w:rFonts w:ascii="Arial" w:cs="Arial" w:eastAsia="Arial" w:hAnsi="Arial"/>
                <w:sz w:val="18"/>
                <w:szCs w:val="18"/>
                <w:color w:val="auto"/>
              </w:rPr>
              <w:t>83</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(1,717)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(1,943)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(3,505)</w:t>
            </w:r>
          </w:p>
        </w:tc>
      </w:tr>
      <w:tr>
        <w:trPr>
          <w:trHeight w:val="27"/>
        </w:trPr>
        <w:tc>
          <w:tcPr>
            <w:tcW w:w="6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LendingTree Loans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June 6, 2012, the Company sold substantially all of the operating assets of its LendingTree Loans business for $55.9 million in cash. The buyer, a wholly-owned subsidiary of Discover Financial Services ("Discover"), generally did not assume liabilities of the LendingTree Loans business that arose before the closing date, except for certain liabilities directly related to assets Discover acquired. Of the purchase price paid, as of June 30, 2015, $16.1 million is being held in escrow in accordance with the agreement with Discover for certain loan loss obligations that remain with the Company following the sale. As a result of a settlement agreement in 2014 with a secondary market purchaser of loans, $12.1 million of such amount is expected to be released from escrow in December 2015. The escrowed amount is recorded as restricted cash at June 30, 2015.</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Discover participated as a marketplace lender from closing of the transaction through July 2015.</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An evaluation of the facts and circumstances of the transaction and the applicable accounting guidance for discontinued operations indicates that the LendingTree Loans business should be reflected as discontinued operations in the accompanying consolidated financial statements for all periods presented. The continuing cash flows related to this transaction are not significant and, accordingly, are not deemed to be direct cash flows of the divested business.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Upon closing of the sale of substantially all of the operating assets of the LendingTree Loans business on June 6, 2012, LendingTree Loans ceased to originate consumer loans. The remaining operations are being wound down. These wind-down activities have included, among other things, selling the balance of loans held for sale to investors, paying off and then terminating the warehouse lines of credit and settling derivative obligations, all of which have been completed. Liability for losses on previously sold loans will remain with LendingTree Loans and are discussed below.</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 In the case of early loan payoffs and early defaults on certain loans, LendingTree Loans may be required to repay all or a portion of the premium initially paid by the investor.</w:t>
      </w:r>
    </w:p>
    <w:p>
      <w:pPr>
        <w:spacing w:after="0" w:line="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HLC, a subsidiary of the Company, continues to be liable for these indemnification obligations, repurchase obligations and premium repayment obligations following the sale of substantially all of the operating assets of its LendingTree Loans business in the second quarter of 2012. As of June 30, 2015, approximately $16.1 million is being held in escrow pending resolution of certain of these contingent liabilities. As a result of a settlement agreement in 2014 with a secondary market purchaser of loans, $12.1 million of such amount is expected to be released from escrow in December 2015.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Prior to the sale of substantially all of the operating assets of LendingTree Loans in June 2012, it originated approximately 234,000 loans with an original issue balance of $38.9 billion.</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fourth quarter of 2014, LendingTree Loans completed a settlement agreement for $5.4 million with the largest investor to which it had sold loans. This investor accounted for approximately 40% of both the total number of loans sold and the original issue balance. This settlement related to all existing and future losses on loans sold to this investor. The settlement was paid in the fourth quarter of 2014 with restricted cash of $3.1 million and cash on hand of $2.3 million. The settlement with this investor in the fourth quarter of 2014 and the impact this settlement had on the estimate of the remaining loan loss obligations resulted in income of $14.1 million, which was included in income from discontinued operations in the consolidated statements of operations and comprehensive income during the fourth quarter of 2014. The adjustment to the loan loss reserve did not result in tax expense recognition, due to the Company's full valuation allowance against its deferred tax assets.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second quarter of 2014, LendingTree Loans completed settlements with two buyers of previously purchased loans.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been negotiating with certain of the remaining secondary market purchasers to settle any existing and future contingent liabilities, but it may not be able to complete such negotiations on acceptable terms, or at all.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made to the investors that purchased such loans.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uses a settlement discount framework for evaluating the adequacy of the reserve for loan losses. This model estimates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A settlement discount factor is then applied to the result of the foregoing to reflect publicly-announced bulk settlements for similar loan types and vintages, as well as LendingTree Loans' non-operating status, in order to estimate a range of potential obligation.</w:t>
      </w:r>
    </w:p>
    <w:p>
      <w:pPr>
        <w:spacing w:after="0" w:line="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estimated range of remaining loan losses using this settlement discount framework was determined to be $6.5 million to $11.6 million at June 30, 2015. The reserve balance recorded as of June 30, 2015 was $8.8 million. Management has considered both objective and subjective factors in the estimation process, but given current general industry trends in mortgage loans as well as housing prices and market expectations, actual losses related to LendingTree Loans' obligations could vary significantly from the obligation recorded as of the balance sheet date or the range estimated above.</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LendingTree has guaranteed certain loans sold to two investors in the event that LendingTree Loans is unable to satisfy its repurchase and warranty obligations related to such loans.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activity related to loss reserves on previously sold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loss reserve,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8,750</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28,543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8,750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28,543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Provisions</w:t>
            </w:r>
          </w:p>
        </w:tc>
        <w:tc>
          <w:tcPr>
            <w:tcW w:w="30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 to reserves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Loan loss reserve,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8,750</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28,390</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8,750</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28,390</w:t>
            </w:r>
          </w:p>
        </w:tc>
      </w:tr>
      <w:tr>
        <w:trPr>
          <w:trHeight w:val="34"/>
        </w:trPr>
        <w:tc>
          <w:tcPr>
            <w:tcW w:w="6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liability for losses on previously sold loans is presented as current liabilities of discontinued operations in the accompanying consolidated balance sheet as of June 30, 2015 and December 31,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2014 Annual Report.</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LendingTree, Inc., formerly known as Tree.com, Inc., is the parent of LendingTree, LLC and several companies owned by LendingTree, LLC.</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LendingTree operates what we believe to be the leading online marketplace for consumers seeking a broad array of loan types and other credit-based offerings. We offer consumers tools and resources, including free credit scores, that help them to comparison-shop for mortgage loans, home equity loans and lines of credit, reverse mortgages, personal loans, auto loans, student loans, credit cards, small business loans and other related offerings. We primarily seek to match in-market consumers with multiple lenders on our marketplace who can provide them with competing quotes for the loans or credit-based offerings they are seeking. We also serve as a valued partner to lenders seeking an efficient, scalable and flexible source of customer acquisition with directly measurable benefits, by matching the consumer loan inquiries we generate with these lenders.</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June 2014, we re-launched My LendingTree, a platform that offers a personalized loan comparison-shopping experience, by providing free credit scores, credit score analysis and an in-depth view of a consumer's credit profile. We believe this new platform will enable us to provide consumers with measurable savings opportunities over their lifetimes, as we are able to observe their credit profiles and then identify loan and credit-based opportunities on our marketplace that may be more favorable than the loans they may have at a given point in time, which we can alert them to.</w:t>
      </w:r>
    </w:p>
    <w:p>
      <w:pPr>
        <w:spacing w:after="0" w:line="63"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LendingTree Loans business is presented as discontinued operations in the accompanying consolidated balance sheets, consolidated statements of operations and comprehensive income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Reportable and Operating Segments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quarter of 2015, management made certain changes to its organizational structure that impacted its previous operating segments. As a result, management concluded it had one reportable segment representing our Lending activities. Previously reported segment results have been revised to conform to our reportable segments at June 30, 2015.</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is subject to the cyclical and seasonal trends of the U.S. housing and mortgage markets. Home sales typically rise during the spring and summer months and decline during the fall and winter months, while refinancing and home equity activity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is principally driven by mortgage interest rates as well as real estate values. However, these trends in our businesses are not absolute and there have been exceptions to them. For example, in recent periods additional factors affecting the mortgage and real estate markets have impacted customary seasonal trends.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While we have not experienced seasonality in our personal loan product, based on industry data, we anticipate that as this product matures we will experience less consumer demand during the fourth and first quarters of each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Typically, a decline in mortgage interest rates will lead to reduced lender demand, as there are more consumers in the marketplace seeking financing and, accordingly, lenders receive more organic lead volume. Conversely, an increase in mortgage interest rates will typically lead to an increase in lender demand, as there are fewer consumers in the marketplace and, accordingly, the supply of organic mortgage lead volume decreases.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88265</wp:posOffset>
            </wp:positionV>
            <wp:extent cx="4467860" cy="2023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67860"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According to Freddie Mac, since the end of 2013, 30-year fixed mortgage interest rates have generally declined, reaching a monthly average of 3.67% in January 2015, its lowest since May 2013. Since January 2015, mortgage interest rates have generally risen. On a quarterly basis, mortgage interest rates in the second quarter of 2015 averaged 3.83%, as compared to 3.72% in the first quarter of 2015 and 4.23% in the second quarter of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33655</wp:posOffset>
            </wp:positionV>
            <wp:extent cx="4330700" cy="2135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3070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Typically, as mortgage interest rates rise, there are less consumers in the marketplace seeking refinancings and, accordingly, the mix of mortgage origination dollars moves towards purchase mortgages. According to Mortgage Bankers Association ("MBA") data, total refinance origination dollars decreased to 43% of total mortgage origination dollars in the second quarter of 2015, as a result of the rise in average mortgage interest rates.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Looking forward, MBA is projecting mortgage interest rates to climb during the remainder of 2015, to an average 4.2% on 30-year fixed rate mortgages in the third quarter of 2015 and an average 4.0% for the full-year 2015. According to MBA projections, as interest rates climb, the mix of mortgage origination dollars will continue to move towards purchase mortgages, with the refinance share representing just 31% of the third quarter of 2015 and 41% of the full-year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 Over the last few years, the U.S. real estate market has been recovering, albeit slowly.</w:t>
      </w:r>
    </w:p>
    <w:p>
      <w:pPr>
        <w:spacing w:after="0" w:line="6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Despite continued indications of economic recovery, in 2014, existing home sales nationwide declined approximately 3% over 2013, according to the National Association of Realtors ("NAR"), likely due to lessening housing affordability and higher mortgage interest rates. However, sales of existing homes in the second half of 2014 were up 6% from the first half of the year, as economic growth accelerated, housing inventory increased and sales prices moderated. This momentum has continued into the first half of 2015 with existing home sales nationwide up 1% over the second half of 2014.</w:t>
      </w:r>
    </w:p>
    <w:p>
      <w:pPr>
        <w:spacing w:after="0" w:line="6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remainder of 2015, the NAR expects economic recovery to continue. Existing home sales nationwide are expected to increase approximately 5% over the first half of 2015, resulting in full-year 2015 growth of over 6%, while supporting sales price growth of approximately 7%.</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2015 and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Arial" w:cs="Arial" w:eastAsia="Arial" w:hAnsi="Arial"/>
                <w:sz w:val="16"/>
                <w:szCs w:val="16"/>
                <w:b w:val="1"/>
                <w:bCs w:val="1"/>
                <w:color w:val="auto"/>
                <w:w w:val="92"/>
              </w:rPr>
              <w:t>Three Months Ended 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5"/>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040" w:type="dxa"/>
            <w:vAlign w:val="bottom"/>
          </w:tcPr>
          <w:p>
            <w:pPr>
              <w:jc w:val="right"/>
              <w:ind w:right="640"/>
              <w:spacing w:after="0" w:line="147"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21"/>
              <w:spacing w:after="0" w:line="147"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820" w:type="dxa"/>
            <w:vAlign w:val="bottom"/>
          </w:tcPr>
          <w:p>
            <w:pPr>
              <w:jc w:val="right"/>
              <w:ind w:right="440"/>
              <w:spacing w:after="0" w:line="147"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300"/>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w w:val="97"/>
              </w:rPr>
              <w:t>Change</w:t>
            </w: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3"/>
              </w:rPr>
              <w:t>Change</w:t>
            </w: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81"/>
        </w:trPr>
        <w:tc>
          <w:tcPr>
            <w:tcW w:w="4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0" w:type="dxa"/>
            <w:vAlign w:val="bottom"/>
            <w:gridSpan w:val="4"/>
          </w:tcPr>
          <w:p>
            <w:pPr>
              <w:jc w:val="right"/>
              <w:ind w:right="419"/>
              <w:spacing w:after="0"/>
              <w:rPr>
                <w:sz w:val="20"/>
                <w:szCs w:val="20"/>
                <w:color w:val="auto"/>
              </w:rPr>
            </w:pPr>
            <w:r>
              <w:rPr>
                <w:rFonts w:ascii="Arial" w:cs="Arial" w:eastAsia="Arial" w:hAnsi="Arial"/>
                <w:sz w:val="13"/>
                <w:szCs w:val="13"/>
                <w:b w:val="1"/>
                <w:bCs w:val="1"/>
                <w:i w:val="1"/>
                <w:iCs w:val="1"/>
                <w:color w:val="auto"/>
                <w:w w:val="93"/>
              </w:rPr>
              <w:t>(Dollars in thousands)</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Mortgage products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37,198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34,667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16"/>
                <w:szCs w:val="16"/>
                <w:color w:val="auto"/>
              </w:rPr>
              <w:t>2,531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74,196</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68,910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5,286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37"/>
        </w:trPr>
        <w:tc>
          <w:tcPr>
            <w:tcW w:w="4040" w:type="dxa"/>
            <w:vAlign w:val="bottom"/>
          </w:tcPr>
          <w:p>
            <w:pPr>
              <w:ind w:left="180"/>
              <w:spacing w:after="0"/>
              <w:rPr>
                <w:sz w:val="20"/>
                <w:szCs w:val="20"/>
                <w:color w:val="auto"/>
              </w:rPr>
            </w:pPr>
            <w:r>
              <w:rPr>
                <w:rFonts w:ascii="Arial" w:cs="Arial" w:eastAsia="Arial" w:hAnsi="Arial"/>
                <w:sz w:val="16"/>
                <w:szCs w:val="16"/>
                <w:color w:val="auto"/>
              </w:rPr>
              <w:t>Non-mortgage products</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17,938</w:t>
            </w:r>
          </w:p>
        </w:tc>
        <w:tc>
          <w:tcPr>
            <w:tcW w:w="2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7,477</w:t>
            </w:r>
          </w:p>
        </w:tc>
        <w:tc>
          <w:tcPr>
            <w:tcW w:w="180" w:type="dxa"/>
            <w:vAlign w:val="bottom"/>
          </w:tcPr>
          <w:p>
            <w:pPr>
              <w:spacing w:after="0"/>
              <w:rPr>
                <w:sz w:val="20"/>
                <w:szCs w:val="20"/>
                <w:color w:val="auto"/>
              </w:rPr>
            </w:pPr>
          </w:p>
        </w:tc>
        <w:tc>
          <w:tcPr>
            <w:tcW w:w="1040" w:type="dxa"/>
            <w:vAlign w:val="bottom"/>
          </w:tcPr>
          <w:p>
            <w:pPr>
              <w:jc w:val="right"/>
              <w:ind w:right="340"/>
              <w:spacing w:after="0"/>
              <w:rPr>
                <w:sz w:val="20"/>
                <w:szCs w:val="20"/>
                <w:color w:val="auto"/>
              </w:rPr>
            </w:pPr>
            <w:r>
              <w:rPr>
                <w:rFonts w:ascii="Arial" w:cs="Arial" w:eastAsia="Arial" w:hAnsi="Arial"/>
                <w:sz w:val="16"/>
                <w:szCs w:val="16"/>
                <w:color w:val="auto"/>
              </w:rPr>
              <w:t>10,461</w:t>
            </w:r>
          </w:p>
        </w:tc>
        <w:tc>
          <w:tcPr>
            <w:tcW w:w="820" w:type="dxa"/>
            <w:vAlign w:val="bottom"/>
          </w:tcPr>
          <w:p>
            <w:pPr>
              <w:jc w:val="right"/>
              <w:spacing w:after="0"/>
              <w:rPr>
                <w:sz w:val="20"/>
                <w:szCs w:val="20"/>
                <w:color w:val="auto"/>
              </w:rPr>
            </w:pPr>
            <w:r>
              <w:rPr>
                <w:rFonts w:ascii="Arial" w:cs="Arial" w:eastAsia="Arial" w:hAnsi="Arial"/>
                <w:sz w:val="16"/>
                <w:szCs w:val="16"/>
                <w:color w:val="auto"/>
              </w:rPr>
              <w:t>140 %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31,875</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13,270</w:t>
            </w:r>
          </w:p>
        </w:tc>
        <w:tc>
          <w:tcPr>
            <w:tcW w:w="140" w:type="dxa"/>
            <w:vAlign w:val="bottom"/>
          </w:tcPr>
          <w:p>
            <w:pPr>
              <w:spacing w:after="0"/>
              <w:rPr>
                <w:sz w:val="20"/>
                <w:szCs w:val="20"/>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18,605</w:t>
            </w:r>
          </w:p>
        </w:tc>
        <w:tc>
          <w:tcPr>
            <w:tcW w:w="740" w:type="dxa"/>
            <w:vAlign w:val="bottom"/>
          </w:tcPr>
          <w:p>
            <w:pPr>
              <w:jc w:val="right"/>
              <w:spacing w:after="0"/>
              <w:rPr>
                <w:sz w:val="20"/>
                <w:szCs w:val="20"/>
                <w:color w:val="auto"/>
              </w:rPr>
            </w:pPr>
            <w:r>
              <w:rPr>
                <w:rFonts w:ascii="Arial" w:cs="Arial" w:eastAsia="Arial" w:hAnsi="Arial"/>
                <w:sz w:val="16"/>
                <w:szCs w:val="16"/>
                <w:color w:val="auto"/>
              </w:rPr>
              <w:t>140 %</w:t>
            </w:r>
          </w:p>
        </w:tc>
        <w:tc>
          <w:tcPr>
            <w:tcW w:w="0" w:type="dxa"/>
            <w:vAlign w:val="bottom"/>
          </w:tcPr>
          <w:p>
            <w:pPr>
              <w:spacing w:after="0"/>
              <w:rPr>
                <w:sz w:val="1"/>
                <w:szCs w:val="1"/>
                <w:color w:val="auto"/>
              </w:rPr>
            </w:pPr>
          </w:p>
        </w:tc>
      </w:tr>
      <w:tr>
        <w:trPr>
          <w:trHeight w:val="33"/>
        </w:trPr>
        <w:tc>
          <w:tcPr>
            <w:tcW w:w="4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55,136</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42,144</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12,992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106,071</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82,180</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23,891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29 %</w:t>
            </w:r>
          </w:p>
        </w:tc>
        <w:tc>
          <w:tcPr>
            <w:tcW w:w="0" w:type="dxa"/>
            <w:vAlign w:val="bottom"/>
          </w:tcPr>
          <w:p>
            <w:pPr>
              <w:spacing w:after="0"/>
              <w:rPr>
                <w:sz w:val="1"/>
                <w:szCs w:val="1"/>
                <w:color w:val="auto"/>
              </w:rPr>
            </w:pPr>
          </w:p>
        </w:tc>
      </w:tr>
      <w:tr>
        <w:trPr>
          <w:trHeight w:val="224"/>
        </w:trPr>
        <w:tc>
          <w:tcPr>
            <w:tcW w:w="40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16"/>
                <w:szCs w:val="16"/>
                <w:i w:val="1"/>
                <w:iCs w:val="1"/>
                <w:color w:val="auto"/>
              </w:rPr>
              <w:t>(exclusive of depreciation shown</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separately below)</w:t>
            </w: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1,991</w:t>
            </w:r>
          </w:p>
        </w:tc>
        <w:tc>
          <w:tcPr>
            <w:tcW w:w="2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1,895</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16"/>
                <w:szCs w:val="16"/>
                <w:color w:val="auto"/>
              </w:rPr>
              <w:t>96</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3,966</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3,560</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406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37"/>
        </w:trPr>
        <w:tc>
          <w:tcPr>
            <w:tcW w:w="4040" w:type="dxa"/>
            <w:vAlign w:val="bottom"/>
          </w:tcPr>
          <w:p>
            <w:pPr>
              <w:ind w:left="180"/>
              <w:spacing w:after="0"/>
              <w:rPr>
                <w:sz w:val="20"/>
                <w:szCs w:val="20"/>
                <w:color w:val="auto"/>
              </w:rPr>
            </w:pPr>
            <w:r>
              <w:rPr>
                <w:rFonts w:ascii="Arial" w:cs="Arial" w:eastAsia="Arial" w:hAnsi="Arial"/>
                <w:sz w:val="16"/>
                <w:szCs w:val="16"/>
                <w:color w:val="auto"/>
              </w:rPr>
              <w:t>Selling and marketing expense</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36,877</w:t>
            </w:r>
          </w:p>
        </w:tc>
        <w:tc>
          <w:tcPr>
            <w:tcW w:w="2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28,964</w:t>
            </w:r>
          </w:p>
        </w:tc>
        <w:tc>
          <w:tcPr>
            <w:tcW w:w="180" w:type="dxa"/>
            <w:vAlign w:val="bottom"/>
          </w:tcPr>
          <w:p>
            <w:pPr>
              <w:spacing w:after="0"/>
              <w:rPr>
                <w:sz w:val="20"/>
                <w:szCs w:val="20"/>
                <w:color w:val="auto"/>
              </w:rPr>
            </w:pPr>
          </w:p>
        </w:tc>
        <w:tc>
          <w:tcPr>
            <w:tcW w:w="1040" w:type="dxa"/>
            <w:vAlign w:val="bottom"/>
          </w:tcPr>
          <w:p>
            <w:pPr>
              <w:jc w:val="right"/>
              <w:ind w:right="340"/>
              <w:spacing w:after="0"/>
              <w:rPr>
                <w:sz w:val="20"/>
                <w:szCs w:val="20"/>
                <w:color w:val="auto"/>
              </w:rPr>
            </w:pPr>
            <w:r>
              <w:rPr>
                <w:rFonts w:ascii="Arial" w:cs="Arial" w:eastAsia="Arial" w:hAnsi="Arial"/>
                <w:sz w:val="16"/>
                <w:szCs w:val="16"/>
                <w:color w:val="auto"/>
              </w:rPr>
              <w:t>7,913</w:t>
            </w:r>
          </w:p>
        </w:tc>
        <w:tc>
          <w:tcPr>
            <w:tcW w:w="820" w:type="dxa"/>
            <w:vAlign w:val="bottom"/>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69,714</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56,413</w:t>
            </w:r>
          </w:p>
        </w:tc>
        <w:tc>
          <w:tcPr>
            <w:tcW w:w="140" w:type="dxa"/>
            <w:vAlign w:val="bottom"/>
          </w:tcPr>
          <w:p>
            <w:pPr>
              <w:spacing w:after="0"/>
              <w:rPr>
                <w:sz w:val="20"/>
                <w:szCs w:val="20"/>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13,301</w:t>
            </w:r>
          </w:p>
        </w:tc>
        <w:tc>
          <w:tcPr>
            <w:tcW w:w="740" w:type="dxa"/>
            <w:vAlign w:val="bottom"/>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 expense</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7,039</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5,478</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16"/>
                <w:szCs w:val="16"/>
                <w:color w:val="auto"/>
              </w:rPr>
              <w:t>1,561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14,267</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11,611</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2,656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37"/>
        </w:trPr>
        <w:tc>
          <w:tcPr>
            <w:tcW w:w="404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2,390</w:t>
            </w:r>
          </w:p>
        </w:tc>
        <w:tc>
          <w:tcPr>
            <w:tcW w:w="2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1,826</w:t>
            </w:r>
          </w:p>
        </w:tc>
        <w:tc>
          <w:tcPr>
            <w:tcW w:w="180" w:type="dxa"/>
            <w:vAlign w:val="bottom"/>
          </w:tcPr>
          <w:p>
            <w:pPr>
              <w:spacing w:after="0"/>
              <w:rPr>
                <w:sz w:val="20"/>
                <w:szCs w:val="20"/>
                <w:color w:val="auto"/>
              </w:rPr>
            </w:pPr>
          </w:p>
        </w:tc>
        <w:tc>
          <w:tcPr>
            <w:tcW w:w="1040" w:type="dxa"/>
            <w:vAlign w:val="bottom"/>
          </w:tcPr>
          <w:p>
            <w:pPr>
              <w:jc w:val="right"/>
              <w:ind w:right="340"/>
              <w:spacing w:after="0"/>
              <w:rPr>
                <w:sz w:val="20"/>
                <w:szCs w:val="20"/>
                <w:color w:val="auto"/>
              </w:rPr>
            </w:pPr>
            <w:r>
              <w:rPr>
                <w:rFonts w:ascii="Arial" w:cs="Arial" w:eastAsia="Arial" w:hAnsi="Arial"/>
                <w:sz w:val="16"/>
                <w:szCs w:val="16"/>
                <w:color w:val="auto"/>
              </w:rPr>
              <w:t>564</w:t>
            </w:r>
          </w:p>
        </w:tc>
        <w:tc>
          <w:tcPr>
            <w:tcW w:w="82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4,563</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3,758</w:t>
            </w:r>
          </w:p>
        </w:tc>
        <w:tc>
          <w:tcPr>
            <w:tcW w:w="140" w:type="dxa"/>
            <w:vAlign w:val="bottom"/>
          </w:tcPr>
          <w:p>
            <w:pPr>
              <w:spacing w:after="0"/>
              <w:rPr>
                <w:sz w:val="20"/>
                <w:szCs w:val="20"/>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805</w:t>
            </w:r>
          </w:p>
        </w:tc>
        <w:tc>
          <w:tcPr>
            <w:tcW w:w="740" w:type="dxa"/>
            <w:vAlign w:val="bottom"/>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946</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rPr>
              <w:t>(229)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1,701</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(330)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4040" w:type="dxa"/>
            <w:vAlign w:val="bottom"/>
          </w:tcPr>
          <w:p>
            <w:pPr>
              <w:ind w:left="180"/>
              <w:spacing w:after="0"/>
              <w:rPr>
                <w:sz w:val="20"/>
                <w:szCs w:val="20"/>
                <w:color w:val="auto"/>
              </w:rPr>
            </w:pPr>
            <w:r>
              <w:rPr>
                <w:rFonts w:ascii="Arial" w:cs="Arial" w:eastAsia="Arial" w:hAnsi="Arial"/>
                <w:sz w:val="16"/>
                <w:szCs w:val="16"/>
                <w:color w:val="auto"/>
              </w:rPr>
              <w:t>Amortization of intangibles</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w:t>
            </w:r>
          </w:p>
        </w:tc>
        <w:tc>
          <w:tcPr>
            <w:tcW w:w="2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20"/>
                <w:szCs w:val="20"/>
                <w:color w:val="auto"/>
              </w:rPr>
            </w:pPr>
          </w:p>
        </w:tc>
        <w:tc>
          <w:tcPr>
            <w:tcW w:w="1040" w:type="dxa"/>
            <w:vAlign w:val="bottom"/>
          </w:tcPr>
          <w:p>
            <w:pPr>
              <w:jc w:val="right"/>
              <w:ind w:right="340"/>
              <w:spacing w:after="0"/>
              <w:rPr>
                <w:sz w:val="20"/>
                <w:szCs w:val="20"/>
                <w:color w:val="auto"/>
              </w:rPr>
            </w:pPr>
            <w:r>
              <w:rPr>
                <w:rFonts w:ascii="Arial" w:cs="Arial" w:eastAsia="Arial" w:hAnsi="Arial"/>
                <w:sz w:val="16"/>
                <w:szCs w:val="16"/>
                <w:color w:val="auto"/>
              </w:rPr>
              <w:t>10</w:t>
            </w:r>
          </w:p>
        </w:tc>
        <w:tc>
          <w:tcPr>
            <w:tcW w:w="820" w:type="dxa"/>
            <w:vAlign w:val="bottom"/>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20"/>
                <w:szCs w:val="20"/>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44</w:t>
            </w:r>
          </w:p>
        </w:tc>
        <w:tc>
          <w:tcPr>
            <w:tcW w:w="740" w:type="dxa"/>
            <w:vAlign w:val="bottom"/>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and severance</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16"/>
                <w:szCs w:val="16"/>
                <w:color w:val="auto"/>
              </w:rPr>
              <w:t>365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169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37"/>
        </w:trPr>
        <w:tc>
          <w:tcPr>
            <w:tcW w:w="4040" w:type="dxa"/>
            <w:vAlign w:val="bottom"/>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(1,078)</w:t>
            </w:r>
          </w:p>
        </w:tc>
        <w:tc>
          <w:tcPr>
            <w:tcW w:w="2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385</w:t>
            </w:r>
          </w:p>
        </w:tc>
        <w:tc>
          <w:tcPr>
            <w:tcW w:w="180" w:type="dxa"/>
            <w:vAlign w:val="bottom"/>
          </w:tcPr>
          <w:p>
            <w:pPr>
              <w:spacing w:after="0"/>
              <w:rPr>
                <w:sz w:val="20"/>
                <w:szCs w:val="20"/>
                <w:color w:val="auto"/>
              </w:rPr>
            </w:pPr>
          </w:p>
        </w:tc>
        <w:tc>
          <w:tcPr>
            <w:tcW w:w="1040" w:type="dxa"/>
            <w:vAlign w:val="bottom"/>
          </w:tcPr>
          <w:p>
            <w:pPr>
              <w:jc w:val="right"/>
              <w:ind w:right="280"/>
              <w:spacing w:after="0"/>
              <w:rPr>
                <w:sz w:val="20"/>
                <w:szCs w:val="20"/>
                <w:color w:val="auto"/>
              </w:rPr>
            </w:pPr>
            <w:r>
              <w:rPr>
                <w:rFonts w:ascii="Arial" w:cs="Arial" w:eastAsia="Arial" w:hAnsi="Arial"/>
                <w:sz w:val="16"/>
                <w:szCs w:val="16"/>
                <w:color w:val="auto"/>
              </w:rPr>
              <w:t>(1,463)</w:t>
            </w:r>
          </w:p>
        </w:tc>
        <w:tc>
          <w:tcPr>
            <w:tcW w:w="82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(796)</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8,092</w:t>
            </w:r>
          </w:p>
        </w:tc>
        <w:tc>
          <w:tcPr>
            <w:tcW w:w="140" w:type="dxa"/>
            <w:vAlign w:val="bottom"/>
          </w:tcPr>
          <w:p>
            <w:pPr>
              <w:spacing w:after="0"/>
              <w:rPr>
                <w:sz w:val="20"/>
                <w:szCs w:val="20"/>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(8,888)</w:t>
            </w:r>
          </w:p>
        </w:tc>
        <w:tc>
          <w:tcPr>
            <w:tcW w:w="74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33"/>
        </w:trPr>
        <w:tc>
          <w:tcPr>
            <w:tcW w:w="4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costs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48,361</w:t>
            </w: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39,544</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8,817</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93,578</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85,415</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8,163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10 %</w:t>
            </w:r>
          </w:p>
        </w:tc>
        <w:tc>
          <w:tcPr>
            <w:tcW w:w="0" w:type="dxa"/>
            <w:vAlign w:val="bottom"/>
          </w:tcPr>
          <w:p>
            <w:pPr>
              <w:spacing w:after="0"/>
              <w:rPr>
                <w:sz w:val="1"/>
                <w:szCs w:val="1"/>
                <w:color w:val="auto"/>
              </w:rPr>
            </w:pPr>
          </w:p>
        </w:tc>
      </w:tr>
      <w:tr>
        <w:trPr>
          <w:trHeight w:val="231"/>
        </w:trPr>
        <w:tc>
          <w:tcPr>
            <w:tcW w:w="40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6,775</w:t>
            </w: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2,600</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4,175</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161 %</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12,493</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(3,235)</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15,728</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486 %</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(64)</w:t>
            </w:r>
          </w:p>
        </w:tc>
        <w:tc>
          <w:tcPr>
            <w:tcW w:w="2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ind w:right="280"/>
              <w:spacing w:after="0"/>
              <w:rPr>
                <w:sz w:val="20"/>
                <w:szCs w:val="20"/>
                <w:color w:val="auto"/>
              </w:rPr>
            </w:pPr>
            <w:r>
              <w:rPr>
                <w:rFonts w:ascii="Arial" w:cs="Arial" w:eastAsia="Arial" w:hAnsi="Arial"/>
                <w:sz w:val="16"/>
                <w:szCs w:val="16"/>
                <w:color w:val="auto"/>
              </w:rPr>
              <w:t>(64)</w:t>
            </w:r>
          </w:p>
        </w:tc>
        <w:tc>
          <w:tcPr>
            <w:tcW w:w="8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(62)</w:t>
            </w:r>
          </w:p>
        </w:tc>
        <w:tc>
          <w:tcPr>
            <w:tcW w:w="74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4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6,711</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2,600</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4,111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12,431</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(3,235)</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15,666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484 %</w:t>
            </w: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(272)</w:t>
            </w:r>
          </w:p>
        </w:tc>
        <w:tc>
          <w:tcPr>
            <w:tcW w:w="2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80" w:type="dxa"/>
            <w:vAlign w:val="bottom"/>
          </w:tcPr>
          <w:p>
            <w:pPr>
              <w:spacing w:after="0"/>
              <w:rPr>
                <w:sz w:val="20"/>
                <w:szCs w:val="20"/>
                <w:color w:val="auto"/>
              </w:rPr>
            </w:pPr>
          </w:p>
        </w:tc>
        <w:tc>
          <w:tcPr>
            <w:tcW w:w="1040" w:type="dxa"/>
            <w:vAlign w:val="bottom"/>
          </w:tcPr>
          <w:p>
            <w:pPr>
              <w:jc w:val="right"/>
              <w:ind w:right="280"/>
              <w:spacing w:after="0"/>
              <w:rPr>
                <w:sz w:val="20"/>
                <w:szCs w:val="20"/>
                <w:color w:val="auto"/>
              </w:rPr>
            </w:pPr>
            <w:r>
              <w:rPr>
                <w:rFonts w:ascii="Arial" w:cs="Arial" w:eastAsia="Arial" w:hAnsi="Arial"/>
                <w:sz w:val="16"/>
                <w:szCs w:val="16"/>
                <w:color w:val="auto"/>
              </w:rPr>
              <w:t>(355)</w:t>
            </w:r>
          </w:p>
        </w:tc>
        <w:tc>
          <w:tcPr>
            <w:tcW w:w="820" w:type="dxa"/>
            <w:vAlign w:val="bottom"/>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(579)</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40" w:type="dxa"/>
            <w:vAlign w:val="bottom"/>
          </w:tcPr>
          <w:p>
            <w:pPr>
              <w:spacing w:after="0"/>
              <w:rPr>
                <w:sz w:val="20"/>
                <w:szCs w:val="20"/>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(663)</w:t>
            </w:r>
          </w:p>
        </w:tc>
        <w:tc>
          <w:tcPr>
            <w:tcW w:w="740" w:type="dxa"/>
            <w:vAlign w:val="bottom"/>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33"/>
        </w:trPr>
        <w:tc>
          <w:tcPr>
            <w:tcW w:w="4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6,439</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2,683</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3,756</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11,852</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(3,151)</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15,003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476 %</w:t>
            </w: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Loss from discontinued operations, net of tax</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(1,717)</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(2,931)</w:t>
            </w:r>
          </w:p>
        </w:tc>
        <w:tc>
          <w:tcPr>
            <w:tcW w:w="180" w:type="dxa"/>
            <w:vAlign w:val="bottom"/>
          </w:tcPr>
          <w:p>
            <w:pPr>
              <w:spacing w:after="0"/>
              <w:rPr>
                <w:sz w:val="20"/>
                <w:szCs w:val="20"/>
                <w:color w:val="auto"/>
              </w:rPr>
            </w:pPr>
          </w:p>
        </w:tc>
        <w:tc>
          <w:tcPr>
            <w:tcW w:w="1040" w:type="dxa"/>
            <w:vAlign w:val="bottom"/>
          </w:tcPr>
          <w:p>
            <w:pPr>
              <w:jc w:val="right"/>
              <w:ind w:right="340"/>
              <w:spacing w:after="0"/>
              <w:rPr>
                <w:sz w:val="20"/>
                <w:szCs w:val="20"/>
                <w:color w:val="auto"/>
              </w:rPr>
            </w:pPr>
            <w:r>
              <w:rPr>
                <w:rFonts w:ascii="Arial" w:cs="Arial" w:eastAsia="Arial" w:hAnsi="Arial"/>
                <w:sz w:val="16"/>
                <w:szCs w:val="16"/>
                <w:color w:val="auto"/>
              </w:rPr>
              <w:t>1,214</w:t>
            </w:r>
          </w:p>
        </w:tc>
        <w:tc>
          <w:tcPr>
            <w:tcW w:w="820" w:type="dxa"/>
            <w:vAlign w:val="bottom"/>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(1,943)</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(3,505)</w:t>
            </w:r>
          </w:p>
        </w:tc>
        <w:tc>
          <w:tcPr>
            <w:tcW w:w="140" w:type="dxa"/>
            <w:vAlign w:val="bottom"/>
          </w:tcPr>
          <w:p>
            <w:pPr>
              <w:spacing w:after="0"/>
              <w:rPr>
                <w:sz w:val="20"/>
                <w:szCs w:val="20"/>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1,562</w:t>
            </w:r>
          </w:p>
        </w:tc>
        <w:tc>
          <w:tcPr>
            <w:tcW w:w="740" w:type="dxa"/>
            <w:vAlign w:val="bottom"/>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33"/>
        </w:trPr>
        <w:tc>
          <w:tcPr>
            <w:tcW w:w="4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and comprehensive income (loss)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4,722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4,970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2,004 %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9,909</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(6,656)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16,565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249 %</w:t>
            </w:r>
          </w:p>
        </w:tc>
        <w:tc>
          <w:tcPr>
            <w:tcW w:w="0" w:type="dxa"/>
            <w:vAlign w:val="bottom"/>
          </w:tcPr>
          <w:p>
            <w:pPr>
              <w:spacing w:after="0"/>
              <w:rPr>
                <w:sz w:val="1"/>
                <w:szCs w:val="1"/>
                <w:color w:val="auto"/>
              </w:rPr>
            </w:pPr>
          </w:p>
        </w:tc>
      </w:tr>
      <w:tr>
        <w:trPr>
          <w:trHeight w:val="27"/>
        </w:trPr>
        <w:tc>
          <w:tcPr>
            <w:tcW w:w="40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Revenue increased in the second quarter and first six months of 2015 compared to the second quarter and first six months of 2014 due to increases in our non-mortgage products of $10.5 million and $18.6 million, respectively, and in our mortgage products of $2.5 million and $5.3 million, respectively.</w:t>
      </w:r>
    </w:p>
    <w:p>
      <w:pPr>
        <w:spacing w:after="0" w:line="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non-mortgage products include the following non-mortgage lending products: personal loans, home equity, reverse mortgage, credit cards, auto loans, student loans and small business loans. Our non-mortgage products also include home improvement referrals and education enrollment referrals. The increase in revenue from our non-mortgage products is primarily due to an increase in revenue from our personal loans product. Our growth in personal loans is due to growing awareness in the market of the product, an increase in lenders on our exchange, increases in revenue earned per matched consumer and increased marketing efforts. In addition, revenue from each of our non-mortgage lending products increased in the second quarter and first six months of 2015 compared to the second quarter and first six months of 2014.</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increase in revenue from our mortgage products is primarily due to an increase in revenue from our refinance product, partially offset by a decrease in revenue from our purchase product. Mortgage interest rates were lower in the second quarter and first six months of 2015 compared to the second quarter and first six months of 2014, causing the increase in sales of the refinance product.</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number of consumers matched on our lending marketplace increased by 85% in the second quarter of 2015 compared to the second quarter of 2014 and by 88% in the first six months of 2015 compared to the first six months of 2014, while our average revenue earned from marketplace lenders per matched consumer decreased by 29% in the second quarter of 2015 compared to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second quarter of 2014 and by 30% in the first six months of 2015 compared to the first six months of 2014. The decrease in revenue earned per matched consumer was primarily due to the increased relative contribution of our non-mortgage lending products, which have lower revenue per matched consumer rates than our mortgage products, as well as a reduction in revenue per matched consumer in our mortgage products.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Cost of revenue consists primarily of costs associated with compensation and other employee-related costs (including stock-based compensation) relating to internally-operated call centers, third-party customer call center fees, credit scoring fees, credit card fees and website network hosting and server fees.</w:t>
      </w:r>
    </w:p>
    <w:p>
      <w:pPr>
        <w:spacing w:after="0" w:line="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Cost of revenue increased in the second quarter of 2015 from the second quarter of 2014, primarily due to increases of $0.2 million in compensation and benefits as a result of increases in headcount and $0.1 million in credit card fees, partially offset by a $0.2 million decrease in credit scoring fees.</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increased in the first six months of 2015 from the first six months of 2014, primarily due to increases of $0.4 million in compensation and benefits as a result of increases in headcount, $0.2 million in credit card fees and $0.1 million in third-party customer call center fees, partially offset by a $0.3 million decrease in credit scoring fees.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revenue as a percentage of revenue remained consistent at 4% in the second quarter and first six months of 2015 compared to the second quarter and first six months of 2014.</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and marketing expense consists primarily of advertising and promotional expenditures, fees paid to lead sources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increases in selling and marketing expense in the second quarter and first six months of 2015 compared to the second quarter and first six months of 2014 were primarily due to increases in advertising and promotional expense of $7.3 million and $12.3 million, respectively, as discussed below. In addition, selling and marketing expense increased in the second quarter and first six months of 2015 compared to the second quarter and first six months of 2014 due to an increase in compensation and benefits of $0.6 million and $1.0 million, respectively, as a result of increases in headcount.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w w:val="94"/>
              </w:rPr>
              <w:t>Three Months Ended June 30,</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w w:val="97"/>
              </w:rPr>
              <w:t>Six Months Ended June 30,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3"/>
                <w:szCs w:val="13"/>
                <w:color w:val="auto"/>
              </w:rPr>
            </w:pPr>
          </w:p>
        </w:tc>
        <w:tc>
          <w:tcPr>
            <w:tcW w:w="8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3"/>
                <w:szCs w:val="13"/>
                <w:color w:val="auto"/>
              </w:rPr>
            </w:pPr>
          </w:p>
        </w:tc>
        <w:tc>
          <w:tcPr>
            <w:tcW w:w="980" w:type="dxa"/>
            <w:vAlign w:val="bottom"/>
          </w:tcPr>
          <w:p>
            <w:pPr>
              <w:jc w:val="right"/>
              <w:ind w:right="556"/>
              <w:spacing w:after="0" w:line="153"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ind w:left="420"/>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3"/>
                <w:szCs w:val="13"/>
                <w:color w:val="auto"/>
              </w:rPr>
            </w:pPr>
          </w:p>
        </w:tc>
        <w:tc>
          <w:tcPr>
            <w:tcW w:w="84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3"/>
                <w:szCs w:val="13"/>
                <w:color w:val="auto"/>
              </w:rPr>
            </w:pPr>
          </w:p>
        </w:tc>
        <w:tc>
          <w:tcPr>
            <w:tcW w:w="1000" w:type="dxa"/>
            <w:vAlign w:val="bottom"/>
          </w:tcPr>
          <w:p>
            <w:pPr>
              <w:jc w:val="right"/>
              <w:ind w:right="556"/>
              <w:spacing w:after="0" w:line="153" w:lineRule="exact"/>
              <w:rPr>
                <w:sz w:val="20"/>
                <w:szCs w:val="20"/>
                <w:color w:val="auto"/>
              </w:rPr>
            </w:pPr>
            <w:r>
              <w:rPr>
                <w:rFonts w:ascii="Arial" w:cs="Arial" w:eastAsia="Arial" w:hAnsi="Arial"/>
                <w:sz w:val="14"/>
                <w:szCs w:val="14"/>
                <w:b w:val="1"/>
                <w:bCs w:val="1"/>
                <w:color w:val="auto"/>
              </w:rPr>
              <w:t>$</w:t>
            </w:r>
          </w:p>
        </w:tc>
        <w:tc>
          <w:tcPr>
            <w:tcW w:w="1060" w:type="dxa"/>
            <w:vAlign w:val="bottom"/>
          </w:tcPr>
          <w:p>
            <w:pPr>
              <w:ind w:left="420"/>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0" w:type="dxa"/>
            <w:vAlign w:val="bottom"/>
            <w:gridSpan w:val="4"/>
          </w:tcPr>
          <w:p>
            <w:pPr>
              <w:jc w:val="right"/>
              <w:ind w:right="294"/>
              <w:spacing w:after="0"/>
              <w:rPr>
                <w:sz w:val="20"/>
                <w:szCs w:val="20"/>
                <w:color w:val="auto"/>
              </w:rPr>
            </w:pPr>
            <w:r>
              <w:rPr>
                <w:rFonts w:ascii="Arial" w:cs="Arial" w:eastAsia="Arial" w:hAnsi="Arial"/>
                <w:sz w:val="14"/>
                <w:szCs w:val="14"/>
                <w:b w:val="1"/>
                <w:bCs w:val="1"/>
                <w:i w:val="1"/>
                <w:iCs w:val="1"/>
                <w:color w:val="auto"/>
              </w:rPr>
              <w:t>(Dollars in thousands)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Online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26,349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22,216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4,133</w:t>
            </w:r>
          </w:p>
        </w:tc>
        <w:tc>
          <w:tcPr>
            <w:tcW w:w="10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9"/>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50,723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43,096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7,627</w:t>
            </w:r>
          </w:p>
        </w:tc>
        <w:tc>
          <w:tcPr>
            <w:tcW w:w="1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2320" w:type="dxa"/>
            <w:vAlign w:val="bottom"/>
          </w:tcPr>
          <w:p>
            <w:pPr>
              <w:ind w:left="180"/>
              <w:spacing w:after="0"/>
              <w:rPr>
                <w:sz w:val="20"/>
                <w:szCs w:val="20"/>
                <w:color w:val="auto"/>
              </w:rPr>
            </w:pPr>
            <w:r>
              <w:rPr>
                <w:rFonts w:ascii="Arial" w:cs="Arial" w:eastAsia="Arial" w:hAnsi="Arial"/>
                <w:sz w:val="18"/>
                <w:szCs w:val="18"/>
                <w:color w:val="auto"/>
              </w:rPr>
              <w:t>Broadcast</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5,511</w:t>
            </w:r>
          </w:p>
        </w:tc>
        <w:tc>
          <w:tcPr>
            <w:tcW w:w="26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3,055</w:t>
            </w:r>
          </w:p>
        </w:tc>
        <w:tc>
          <w:tcPr>
            <w:tcW w:w="300" w:type="dxa"/>
            <w:vAlign w:val="bottom"/>
          </w:tcPr>
          <w:p>
            <w:pPr>
              <w:spacing w:after="0"/>
              <w:rPr>
                <w:sz w:val="21"/>
                <w:szCs w:val="21"/>
                <w:color w:val="auto"/>
              </w:rPr>
            </w:pP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2,456</w:t>
            </w:r>
          </w:p>
        </w:tc>
        <w:tc>
          <w:tcPr>
            <w:tcW w:w="1040" w:type="dxa"/>
            <w:vAlign w:val="bottom"/>
          </w:tcPr>
          <w:p>
            <w:pPr>
              <w:ind w:left="660"/>
              <w:spacing w:after="0"/>
              <w:rPr>
                <w:sz w:val="20"/>
                <w:szCs w:val="20"/>
                <w:color w:val="auto"/>
              </w:rPr>
            </w:pPr>
            <w:r>
              <w:rPr>
                <w:rFonts w:ascii="Arial" w:cs="Arial" w:eastAsia="Arial" w:hAnsi="Arial"/>
                <w:sz w:val="18"/>
                <w:szCs w:val="18"/>
                <w:color w:val="auto"/>
                <w:w w:val="99"/>
              </w:rPr>
              <w:t>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9,691</w:t>
            </w:r>
          </w:p>
        </w:tc>
        <w:tc>
          <w:tcPr>
            <w:tcW w:w="300" w:type="dxa"/>
            <w:vAlign w:val="bottom"/>
          </w:tcPr>
          <w:p>
            <w:pPr>
              <w:spacing w:after="0"/>
              <w:rPr>
                <w:sz w:val="21"/>
                <w:szCs w:val="21"/>
                <w:color w:val="auto"/>
              </w:rPr>
            </w:pP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5,684</w:t>
            </w:r>
          </w:p>
        </w:tc>
        <w:tc>
          <w:tcPr>
            <w:tcW w:w="280" w:type="dxa"/>
            <w:vAlign w:val="bottom"/>
          </w:tcPr>
          <w:p>
            <w:pPr>
              <w:spacing w:after="0"/>
              <w:rPr>
                <w:sz w:val="21"/>
                <w:szCs w:val="21"/>
                <w:color w:val="auto"/>
              </w:rPr>
            </w:pPr>
          </w:p>
        </w:tc>
        <w:tc>
          <w:tcPr>
            <w:tcW w:w="1000" w:type="dxa"/>
            <w:vAlign w:val="bottom"/>
          </w:tcPr>
          <w:p>
            <w:pPr>
              <w:jc w:val="right"/>
              <w:ind w:right="196"/>
              <w:spacing w:after="0"/>
              <w:rPr>
                <w:sz w:val="20"/>
                <w:szCs w:val="20"/>
                <w:color w:val="auto"/>
              </w:rPr>
            </w:pPr>
            <w:r>
              <w:rPr>
                <w:rFonts w:ascii="Arial" w:cs="Arial" w:eastAsia="Arial" w:hAnsi="Arial"/>
                <w:sz w:val="18"/>
                <w:szCs w:val="18"/>
                <w:color w:val="auto"/>
              </w:rPr>
              <w:t>4,007</w:t>
            </w:r>
          </w:p>
        </w:tc>
        <w:tc>
          <w:tcPr>
            <w:tcW w:w="1060" w:type="dxa"/>
            <w:vAlign w:val="bottom"/>
          </w:tcPr>
          <w:p>
            <w:pPr>
              <w:ind w:left="6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1,845</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1,102</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743</w:t>
            </w:r>
          </w:p>
        </w:tc>
        <w:tc>
          <w:tcPr>
            <w:tcW w:w="10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9"/>
              </w:rPr>
              <w:t>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3,018</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2,386</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632</w:t>
            </w:r>
          </w:p>
        </w:tc>
        <w:tc>
          <w:tcPr>
            <w:tcW w:w="1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2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advertising expense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33,705</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26,373</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7,332</w:t>
            </w:r>
          </w:p>
        </w:tc>
        <w:tc>
          <w:tcPr>
            <w:tcW w:w="1040" w:type="dxa"/>
            <w:vAlign w:val="bottom"/>
            <w:tcBorders>
              <w:top w:val="single" w:sz="8" w:color="auto"/>
            </w:tcBorders>
          </w:tcPr>
          <w:p>
            <w:pPr>
              <w:ind w:left="660"/>
              <w:spacing w:after="0"/>
              <w:rPr>
                <w:sz w:val="20"/>
                <w:szCs w:val="20"/>
                <w:color w:val="auto"/>
              </w:rPr>
            </w:pPr>
            <w:r>
              <w:rPr>
                <w:rFonts w:ascii="Arial" w:cs="Arial" w:eastAsia="Arial" w:hAnsi="Arial"/>
                <w:sz w:val="18"/>
                <w:szCs w:val="18"/>
                <w:b w:val="1"/>
                <w:bCs w:val="1"/>
                <w:color w:val="auto"/>
                <w:w w:val="99"/>
              </w:rPr>
              <w:t>28%</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63,432</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51,166</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12,266</w:t>
            </w:r>
          </w:p>
        </w:tc>
        <w:tc>
          <w:tcPr>
            <w:tcW w:w="1060" w:type="dxa"/>
            <w:vAlign w:val="bottom"/>
            <w:tcBorders>
              <w:top w:val="single" w:sz="8" w:color="auto"/>
            </w:tcBorders>
          </w:tcPr>
          <w:p>
            <w:pPr>
              <w:ind w:left="66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34"/>
        </w:trPr>
        <w:tc>
          <w:tcPr>
            <w:tcW w:w="2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increased our advertising expenditures in the second quarter of 2015 compared to the second quarter of 2014 and the first six months of 2015 compared to the first six months of 2014, in order to generate additional lending lead volume to meet the increased demand of lenders on our marketplace. The increase in advertising expense is primarily due to our personal loans product.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adjust selling and marketing expenditures dynamically in relation to anticipated revenue opportunities.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20" w:firstLine="371"/>
        <w:spacing w:after="0" w:line="342" w:lineRule="auto"/>
        <w:rPr>
          <w:sz w:val="20"/>
          <w:szCs w:val="20"/>
          <w:color w:val="auto"/>
        </w:rPr>
      </w:pPr>
      <w:r>
        <w:rPr>
          <w:rFonts w:ascii="Arial" w:cs="Arial" w:eastAsia="Arial" w:hAnsi="Arial"/>
          <w:sz w:val="16"/>
          <w:szCs w:val="16"/>
          <w:color w:val="auto"/>
        </w:rPr>
        <w:t>General and administrative expense increased in the second quarter of 2015 from the second quarter of 2014, primarily due to increases in compensation and benefits of $0.7 million, increases in professional fees of $0.4 million, and increases in computer software maintenance of $0.2 million.</w:t>
      </w:r>
    </w:p>
    <w:p>
      <w:pPr>
        <w:spacing w:after="0" w:line="16" w:lineRule="exact"/>
        <w:rPr>
          <w:sz w:val="20"/>
          <w:szCs w:val="20"/>
          <w:color w:val="auto"/>
        </w:rPr>
      </w:pPr>
    </w:p>
    <w:p>
      <w:pPr>
        <w:jc w:val="both"/>
        <w:ind w:firstLine="370"/>
        <w:spacing w:after="0" w:line="277" w:lineRule="auto"/>
        <w:rPr>
          <w:sz w:val="20"/>
          <w:szCs w:val="20"/>
          <w:color w:val="auto"/>
        </w:rPr>
      </w:pPr>
      <w:r>
        <w:rPr>
          <w:rFonts w:ascii="Arial" w:cs="Arial" w:eastAsia="Arial" w:hAnsi="Arial"/>
          <w:sz w:val="18"/>
          <w:szCs w:val="18"/>
          <w:color w:val="auto"/>
        </w:rPr>
        <w:t>General and administrative expense as a percentage of revenue remained consistent at 13% in the second quarter of 2015 compared to the second quarter of 2014.</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 increased in the first six months of 2015 from the first six months of 2014, primarily due to increases in compensation and benefits of $1.8 million, increases in professional fees of $0.7 million, increases in computer software maintenance of $0.2 million and travel and entertainment expenses of employees of $0.2 million, partially offset by a decrease of $0.2 million related to an acquisition completed in the second quarter of 2014.</w:t>
      </w:r>
    </w:p>
    <w:p>
      <w:pPr>
        <w:spacing w:after="0" w:line="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General and administrative expense as a percentage of revenue remained relatively consistent at 13% in the first six months of 2015 compared to 14% in the first six months of 2014.</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Product development expense consists primarily of compensation and other employee-related costs (including stock-based compensation) that are not capitalized, for personnel engaged in the design, development, testing and enhancement of technology.</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Product development expense increased in the second quarter of 2015 compared to the second quarter of 2014, and the first six months of 2015 compared to the first six months of 2014, primarily due to increases in compensation and other employee-related costs. We increased headcount in 2015 compared to 2014, in order to support planned product launches for 2015.</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 claims we are pursuing.</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first quarter of 2014, we participated in a jury trial for the Zillow litigation, described in Note 10—Contingencies to the consolidated financial statements included elsewhere in this report. The legal expenses associated with this jury trial and post-trial motions increased our litigation settlements and contingencies expense for the three months ended March 31, 2014. In addition, in October 2014, the court awarded NexTag's attorney fees and costs totaling $2.3 million, which we appealed in November 2014. In June 2015, we reached a settlement agreement with NexTag for $1.1 million. During the second quarter and first six months of 2015, we recorded $1.1 million and $0.8 million in income, respectively, primarily due to an adjustment in the reserve for NexTag attorney fees and costs associated with this matter, partially offset by legal fees.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Tax expense for the second quarter and first six months of 2015 is primarily comprised of the federal Alternative Minimum Tax and state tax.</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second quarter of 2015 and 2014 and for the first six months of 2015 and 2014, the effective tax rates varied from the statutory rate primarily due to the existence of a valuation allowance that has been provided to offset our net deferred tax asset and state taxes.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changes to our valuation allowance assessment for the second quarter and first six months of 2015.</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Losses from discontinued operations are attributable to losses associated with the LendingTree Loans business, the sale of which was completed on June 6, 2012. Losses from discontinued operations were primarily due to litigation settlements and contingencies and legal fees associated with ongoing legal proceedings.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report Adjusted EBITDA as operating income or loss (which excludes interest expense and taxes) adjusted to exclude amortization of intangibles and depreciation, and to further exclude (1) non-cash compensation expense, (2) non-cash impairment charges, (3) gain/loss on disposal of assets,</w:t>
      </w:r>
    </w:p>
    <w:p>
      <w:pPr>
        <w:jc w:val="both"/>
        <w:ind w:firstLine="8"/>
        <w:spacing w:after="0" w:line="252" w:lineRule="auto"/>
        <w:tabs>
          <w:tab w:leader="none" w:pos="298"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restructuring and severance expenses, (5) litigation settlements and contingencies and legal fees for certain patent litigation, (6) adjustments for acquisitions or dispositions,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 except for $0.1 million related to an estimated settlement for unclaimed property.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Non-cash compensation expense consists principally of expense associated with grants of restricted stock, restricted stock units and stock options.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reconciliation of Adjusted EBITDA to net income (loss) from continuing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3"/>
          </w:tcPr>
          <w:p>
            <w:pPr>
              <w:jc w:val="right"/>
              <w:ind w:right="47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33"/>
        </w:trPr>
        <w:tc>
          <w:tcPr>
            <w:tcW w:w="5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5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2015</w:t>
            </w:r>
          </w:p>
        </w:tc>
        <w:tc>
          <w:tcPr>
            <w:tcW w:w="40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2015</w:t>
            </w:r>
          </w:p>
        </w:tc>
        <w:tc>
          <w:tcPr>
            <w:tcW w:w="40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2014</w:t>
            </w:r>
          </w:p>
        </w:tc>
      </w:tr>
      <w:tr>
        <w:trPr>
          <w:trHeight w:val="33"/>
        </w:trPr>
        <w:tc>
          <w:tcPr>
            <w:tcW w:w="5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91"/>
        </w:trPr>
        <w:tc>
          <w:tcPr>
            <w:tcW w:w="5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8,902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5,520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17,838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10,001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w w:val="93"/>
              </w:rPr>
              <w:t>Adjustments to reconcile to net income (loss) from continuing operations:</w:t>
            </w: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(717)</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(1,371)</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(1,701)</w:t>
            </w:r>
          </w:p>
        </w:tc>
      </w:tr>
      <w:tr>
        <w:trPr>
          <w:trHeight w:val="27"/>
        </w:trPr>
        <w:tc>
          <w:tcPr>
            <w:tcW w:w="5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5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(1,919)</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(4,255)</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Estimated settlement for unclaimed property</w:t>
            </w: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40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expense</w:t>
            </w: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150</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1,078</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796</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(8,092)</w:t>
            </w:r>
          </w:p>
        </w:tc>
      </w:tr>
      <w:tr>
        <w:trPr>
          <w:trHeight w:val="27"/>
        </w:trPr>
        <w:tc>
          <w:tcPr>
            <w:tcW w:w="5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(272)</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(579)</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84</w:t>
            </w:r>
          </w:p>
        </w:tc>
      </w:tr>
      <w:tr>
        <w:trPr>
          <w:trHeight w:val="27"/>
        </w:trPr>
        <w:tc>
          <w:tcPr>
            <w:tcW w:w="5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6,439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2,683</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11,852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(3,151)</w:t>
            </w:r>
          </w:p>
        </w:tc>
      </w:tr>
      <w:tr>
        <w:trPr>
          <w:trHeight w:val="459"/>
        </w:trPr>
        <w:tc>
          <w:tcPr>
            <w:tcW w:w="55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26</w:t>
            </w: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Except for cash and cash equivalents and $12.1 million of restricted cash expected to be released from escrow in December 2015, we have no material sources of liquidity.</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2015, we had $93.0 million of cash and cash equivalents and $18.6 million of restricted cash and cash equivalents, compared to $86.2 million of cash and cash equivalents and $18.7 million of restricted cash and cash equivalents as of December 31, 2014.</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center"/>
              <w:ind w:right="234"/>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64"/>
        </w:trPr>
        <w:tc>
          <w:tcPr>
            <w:tcW w:w="8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196"/>
        </w:trPr>
        <w:tc>
          <w:tcPr>
            <w:tcW w:w="8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2"/>
          </w:tcPr>
          <w:p>
            <w:pPr>
              <w:jc w:val="center"/>
              <w:ind w:left="579"/>
              <w:spacing w:after="0"/>
              <w:rPr>
                <w:sz w:val="20"/>
                <w:szCs w:val="20"/>
                <w:color w:val="auto"/>
              </w:rPr>
            </w:pPr>
            <w:r>
              <w:rPr>
                <w:rFonts w:ascii="Arial" w:cs="Arial" w:eastAsia="Arial" w:hAnsi="Arial"/>
                <w:sz w:val="14"/>
                <w:szCs w:val="14"/>
                <w:b w:val="1"/>
                <w:bCs w:val="1"/>
                <w:i w:val="1"/>
                <w:iCs w:val="1"/>
                <w:color w:val="auto"/>
                <w:w w:val="89"/>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15,202</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2,182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(2,650)</w:t>
            </w:r>
          </w:p>
        </w:tc>
        <w:tc>
          <w:tcPr>
            <w:tcW w:w="5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1,404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(5,380)</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(4,847)</w:t>
            </w:r>
          </w:p>
        </w:tc>
      </w:tr>
      <w:tr>
        <w:trPr>
          <w:trHeight w:val="20"/>
        </w:trPr>
        <w:tc>
          <w:tcPr>
            <w:tcW w:w="8320" w:type="dxa"/>
            <w:vAlign w:val="bottom"/>
            <w:shd w:val="clear" w:color="auto" w:fill="999999"/>
          </w:tcPr>
          <w:p>
            <w:pPr>
              <w:spacing w:after="0" w:line="20" w:lineRule="exact"/>
              <w:rPr>
                <w:sz w:val="1"/>
                <w:szCs w:val="1"/>
                <w:color w:val="auto"/>
              </w:rPr>
            </w:pPr>
          </w:p>
        </w:tc>
        <w:tc>
          <w:tcPr>
            <w:tcW w:w="360" w:type="dxa"/>
            <w:vAlign w:val="bottom"/>
            <w:shd w:val="clear" w:color="auto" w:fill="999999"/>
          </w:tcPr>
          <w:p>
            <w:pPr>
              <w:spacing w:after="0" w:line="20" w:lineRule="exact"/>
              <w:rPr>
                <w:sz w:val="1"/>
                <w:szCs w:val="1"/>
                <w:color w:val="auto"/>
              </w:rPr>
            </w:pPr>
          </w:p>
        </w:tc>
        <w:tc>
          <w:tcPr>
            <w:tcW w:w="1180" w:type="dxa"/>
            <w:vAlign w:val="bottom"/>
            <w:shd w:val="clear" w:color="auto" w:fill="999999"/>
          </w:tcPr>
          <w:p>
            <w:pPr>
              <w:spacing w:after="0" w:line="20" w:lineRule="exact"/>
              <w:rPr>
                <w:sz w:val="1"/>
                <w:szCs w:val="1"/>
                <w:color w:val="auto"/>
              </w:rPr>
            </w:pPr>
          </w:p>
        </w:tc>
        <w:tc>
          <w:tcPr>
            <w:tcW w:w="540" w:type="dxa"/>
            <w:vAlign w:val="bottom"/>
            <w:shd w:val="clear" w:color="auto" w:fill="999999"/>
          </w:tcPr>
          <w:p>
            <w:pPr>
              <w:spacing w:after="0" w:line="20" w:lineRule="exact"/>
              <w:rPr>
                <w:sz w:val="1"/>
                <w:szCs w:val="1"/>
                <w:color w:val="auto"/>
              </w:rPr>
            </w:pPr>
          </w:p>
        </w:tc>
        <w:tc>
          <w:tcPr>
            <w:tcW w:w="1000" w:type="dxa"/>
            <w:vAlign w:val="bottom"/>
            <w:shd w:val="clear" w:color="auto" w:fill="999999"/>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 cash provided by operating activities attributable to continuing operations in the first six months of 2015 was $15.2 million and consisted primarily of income from continuing operations of $11.9 million and net positive adjustments for non-cash items of $5.9 million, partially offset by cash used for working capital of $2.5 million. Adjustments for non-cash items primarily consisted of $4.4 million in non-cash compensation expense and $1.4 million of depreciation. Accounts receivable increased $7.1 million primarily due to increases in revenue. Accounts payable, accrued expenses and other current liabilities increased $4.5 million, primarily due to increased marketing expenses, partially offset by the settlement of the court's partial award of attorneys' fees to NexTag in the Zillow patent litigation in the second quarter of 2015.</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provided by operating activities attributable to continuing operations in the first six months of 2014 was $2.2 million and consisted primarily of losses from continuing operations of $3.2 million, more than offset by positive adjustments for non-cash items of $5.0 million and cash provided by working capital of $0.3 million. Adjustments for non-cash items primarily consisted of $3.1 million in non-cash compensation expense and $1.7 million of depreciation. Accounts payable, accrued expenses and other current liabilities increased $1.1 million, primarily due to increased marketing efforts and legal fees associated with the jury trial for the Zillow patent litigation, partially offset by a $1.0 million payment to settle an earnout dispute related to an acquisition.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attributable to continuing operations in the first six months of 2015 of $2.7 million consisted primarily of capital expenditures of $2.7 million.</w:t>
      </w:r>
    </w:p>
    <w:p>
      <w:pPr>
        <w:spacing w:after="0" w:line="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Net cash provided by investing activities attributable to continuing operations in the first six months of 2014 of $1.4 million consisted primarily of a decrease in restricted cash of $4.0 million, which was partially offset by capital expenditures of $2.0 million and a business acquisition of $0.5 million. During the first quarter of 2014, we reached and executed a settlement with the disputing party on the earnout related to an acquisition, upon which $2.0 million of cash previously held in escrow was released. Additionally, during the second quarter of 2014, we reached and executed a settlement with one of our secondary market purchasers related to loan loss obligations, upon which $2.0 million of cash previously held in escrow was released.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financing activities attributable to continuing operations in the first six months of 2015 of $5.4 million consisted primarily of $5.3 million in withholding taxes paid by us upon surrender of shares to satisfy obligations on equity awards,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repurchase of our stock of $0.2 million and $0.1 million in dividend payments; offset by $0.2 million in excess tax benefits from stock-based award activity.</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attributable to continuing operations in the first six months of 2014 of $4.8 million consisted primarily of $3.2 million in employee withholding taxes paid by us upon employees' surrender of shares to satisfy withholding obligations on equity awards and $1.5 million for the repurchase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 off-balance sheet arrangements other than our operating lease obligations and funding commitments pursuant to our surety bonds.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Effective May 2015, we renewed the lease for our principal executive office located in Charlotte, North Carolina. The following table sets forth our contractual obligations and commercial commitments as of June 30,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Payments Due By Period as of June 30, 2015</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Contractual Obligations </w:t>
            </w:r>
            <w:r>
              <w:rPr>
                <w:rFonts w:ascii="Arial" w:cs="Arial" w:eastAsia="Arial" w:hAnsi="Arial"/>
                <w:sz w:val="8"/>
                <w:szCs w:val="8"/>
                <w:b w:val="1"/>
                <w:bCs w:val="1"/>
                <w:color w:val="auto"/>
              </w:rPr>
              <w:t>(a)</w:t>
            </w:r>
          </w:p>
        </w:tc>
        <w:tc>
          <w:tcPr>
            <w:tcW w:w="340" w:type="dxa"/>
            <w:vAlign w:val="bottom"/>
          </w:tcPr>
          <w:p>
            <w:pPr>
              <w:spacing w:after="0"/>
              <w:rPr>
                <w:sz w:val="13"/>
                <w:szCs w:val="13"/>
                <w:color w:val="auto"/>
              </w:rPr>
            </w:pPr>
          </w:p>
        </w:tc>
        <w:tc>
          <w:tcPr>
            <w:tcW w:w="1200" w:type="dxa"/>
            <w:vAlign w:val="bottom"/>
            <w:vMerge w:val="restart"/>
          </w:tcPr>
          <w:p>
            <w:pPr>
              <w:jc w:val="right"/>
              <w:ind w:right="596"/>
              <w:spacing w:after="0"/>
              <w:rPr>
                <w:sz w:val="20"/>
                <w:szCs w:val="20"/>
                <w:color w:val="auto"/>
              </w:rPr>
            </w:pPr>
            <w:r>
              <w:rPr>
                <w:rFonts w:ascii="Arial" w:cs="Arial" w:eastAsia="Arial" w:hAnsi="Arial"/>
                <w:sz w:val="14"/>
                <w:szCs w:val="14"/>
                <w:b w:val="1"/>
                <w:bCs w:val="1"/>
                <w:color w:val="auto"/>
              </w:rPr>
              <w:t>Total</w:t>
            </w:r>
          </w:p>
        </w:tc>
        <w:tc>
          <w:tcPr>
            <w:tcW w:w="1380" w:type="dxa"/>
            <w:vAlign w:val="bottom"/>
          </w:tcPr>
          <w:p>
            <w:pPr>
              <w:jc w:val="right"/>
              <w:ind w:right="421"/>
              <w:spacing w:after="0" w:line="153" w:lineRule="exact"/>
              <w:rPr>
                <w:sz w:val="20"/>
                <w:szCs w:val="20"/>
                <w:color w:val="auto"/>
              </w:rPr>
            </w:pPr>
            <w:r>
              <w:rPr>
                <w:rFonts w:ascii="Arial" w:cs="Arial" w:eastAsia="Arial" w:hAnsi="Arial"/>
                <w:sz w:val="14"/>
                <w:szCs w:val="14"/>
                <w:b w:val="1"/>
                <w:bCs w:val="1"/>
                <w:color w:val="auto"/>
              </w:rPr>
              <w:t>Less Than</w:t>
            </w:r>
          </w:p>
        </w:tc>
        <w:tc>
          <w:tcPr>
            <w:tcW w:w="136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1-3 Years</w:t>
            </w:r>
          </w:p>
        </w:tc>
        <w:tc>
          <w:tcPr>
            <w:tcW w:w="132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3-5 Years</w:t>
            </w:r>
          </w:p>
        </w:tc>
        <w:tc>
          <w:tcPr>
            <w:tcW w:w="1240" w:type="dxa"/>
            <w:vAlign w:val="bottom"/>
          </w:tcPr>
          <w:p>
            <w:pPr>
              <w:jc w:val="right"/>
              <w:ind w:right="239"/>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1 Year</w:t>
            </w:r>
          </w:p>
        </w:tc>
        <w:tc>
          <w:tcPr>
            <w:tcW w:w="136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70"/>
        </w:trPr>
        <w:tc>
          <w:tcPr>
            <w:tcW w:w="458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5"/>
                <w:szCs w:val="25"/>
                <w:color w:val="auto"/>
                <w:vertAlign w:val="superscript"/>
              </w:rPr>
              <w:t>(b)</w:t>
            </w: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5,949</w:t>
            </w:r>
          </w:p>
        </w:tc>
        <w:tc>
          <w:tcPr>
            <w:tcW w:w="13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8"/>
                <w:szCs w:val="18"/>
                <w:color w:val="auto"/>
              </w:rPr>
              <w:t>1,223</w:t>
            </w:r>
          </w:p>
        </w:tc>
        <w:tc>
          <w:tcPr>
            <w:tcW w:w="1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2,143</w:t>
            </w:r>
          </w:p>
        </w:tc>
        <w:tc>
          <w:tcPr>
            <w:tcW w:w="1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2,049</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Total contractual obligations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76"/>
              <w:spacing w:after="0"/>
              <w:rPr>
                <w:sz w:val="20"/>
                <w:szCs w:val="20"/>
                <w:color w:val="auto"/>
              </w:rPr>
            </w:pPr>
            <w:r>
              <w:rPr>
                <w:rFonts w:ascii="Arial" w:cs="Arial" w:eastAsia="Arial" w:hAnsi="Arial"/>
                <w:sz w:val="18"/>
                <w:szCs w:val="18"/>
                <w:b w:val="1"/>
                <w:bCs w:val="1"/>
                <w:color w:val="auto"/>
              </w:rPr>
              <w:t>5,949</w:t>
            </w:r>
          </w:p>
        </w:tc>
        <w:tc>
          <w:tcPr>
            <w:tcW w:w="1380" w:type="dxa"/>
            <w:vAlign w:val="bottom"/>
          </w:tcPr>
          <w:p>
            <w:pPr>
              <w:jc w:val="right"/>
              <w:ind w:right="181"/>
              <w:spacing w:after="0"/>
              <w:rPr>
                <w:sz w:val="20"/>
                <w:szCs w:val="20"/>
                <w:color w:val="auto"/>
              </w:rPr>
            </w:pPr>
            <w:r>
              <w:rPr>
                <w:rFonts w:ascii="Arial" w:cs="Arial" w:eastAsia="Arial" w:hAnsi="Arial"/>
                <w:sz w:val="18"/>
                <w:szCs w:val="18"/>
                <w:b w:val="1"/>
                <w:bCs w:val="1"/>
                <w:color w:val="auto"/>
              </w:rPr>
              <w:t>1,223</w:t>
            </w:r>
          </w:p>
        </w:tc>
        <w:tc>
          <w:tcPr>
            <w:tcW w:w="1360" w:type="dxa"/>
            <w:vAlign w:val="bottom"/>
          </w:tcPr>
          <w:p>
            <w:pPr>
              <w:jc w:val="right"/>
              <w:ind w:right="156"/>
              <w:spacing w:after="0"/>
              <w:rPr>
                <w:sz w:val="20"/>
                <w:szCs w:val="20"/>
                <w:color w:val="auto"/>
              </w:rPr>
            </w:pPr>
            <w:r>
              <w:rPr>
                <w:rFonts w:ascii="Arial" w:cs="Arial" w:eastAsia="Arial" w:hAnsi="Arial"/>
                <w:sz w:val="18"/>
                <w:szCs w:val="18"/>
                <w:b w:val="1"/>
                <w:bCs w:val="1"/>
                <w:color w:val="auto"/>
              </w:rPr>
              <w:t>2,143</w:t>
            </w:r>
          </w:p>
        </w:tc>
        <w:tc>
          <w:tcPr>
            <w:tcW w:w="1320" w:type="dxa"/>
            <w:vAlign w:val="bottom"/>
          </w:tcPr>
          <w:p>
            <w:pPr>
              <w:jc w:val="right"/>
              <w:ind w:right="136"/>
              <w:spacing w:after="0"/>
              <w:rPr>
                <w:sz w:val="20"/>
                <w:szCs w:val="20"/>
                <w:color w:val="auto"/>
              </w:rPr>
            </w:pPr>
            <w:r>
              <w:rPr>
                <w:rFonts w:ascii="Arial" w:cs="Arial" w:eastAsia="Arial" w:hAnsi="Arial"/>
                <w:sz w:val="18"/>
                <w:szCs w:val="18"/>
                <w:b w:val="1"/>
                <w:bCs w:val="1"/>
                <w:color w:val="auto"/>
              </w:rPr>
              <w:t>2,049</w:t>
            </w:r>
          </w:p>
        </w:tc>
        <w:tc>
          <w:tcPr>
            <w:tcW w:w="1240" w:type="dxa"/>
            <w:vAlign w:val="bottom"/>
          </w:tcPr>
          <w:p>
            <w:pPr>
              <w:jc w:val="right"/>
              <w:ind w:right="19"/>
              <w:spacing w:after="0"/>
              <w:rPr>
                <w:sz w:val="20"/>
                <w:szCs w:val="20"/>
                <w:color w:val="auto"/>
              </w:rPr>
            </w:pPr>
            <w:r>
              <w:rPr>
                <w:rFonts w:ascii="Arial" w:cs="Arial" w:eastAsia="Arial" w:hAnsi="Arial"/>
                <w:sz w:val="18"/>
                <w:szCs w:val="18"/>
                <w:b w:val="1"/>
                <w:bCs w:val="1"/>
                <w:color w:val="auto"/>
              </w:rPr>
              <w:t>534</w:t>
            </w:r>
          </w:p>
        </w:tc>
        <w:tc>
          <w:tcPr>
            <w:tcW w:w="0" w:type="dxa"/>
            <w:vAlign w:val="bottom"/>
          </w:tcPr>
          <w:p>
            <w:pPr>
              <w:spacing w:after="0"/>
              <w:rPr>
                <w:sz w:val="1"/>
                <w:szCs w:val="1"/>
                <w:color w:val="auto"/>
              </w:rPr>
            </w:pPr>
          </w:p>
        </w:tc>
      </w:tr>
      <w:tr>
        <w:trPr>
          <w:trHeight w:val="34"/>
        </w:trPr>
        <w:tc>
          <w:tcPr>
            <w:tcW w:w="4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potential obligations under surety bonds and the indemnification obligations, repurchase obligations and premium repayment obligations for which our HLC subsidiary continues to be liable following the sale of substantially all of the operating assets of our LendingTree Loans business in the second quarter of 2012.</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lease obligations are associated with office space.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information regarding new accounting pronouncements, see Note 2- 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have any financial instruments that are exposed to significant market risk. We maintain our cash and cash equivalents in short-term, highly liquid money market investments. A hypothetical 100-basis point increase or decrease in market interest rates would not have a material impact on the fair value of our cash equivalents securities, or our earnings on such cash equivalents.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third-party leads, as there are fewer consumers in the marketplace and, accordingly, the supply of organic mortgage lead volume decreases.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June 30, 2015, to reasonably ensure that information required to be disclosed and filed under the Exchange Act is recorded, processed, summarized and reported within the time periods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specified, and that management will be timely alerted to material information required to be included in our periodic reports filed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second fiscal quarter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2014 Annual Report and updated that information in Note 10—Contingencies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Other than the risk factor set forth below, there have been no material changes to the risk factors included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2014 Annual Report.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compete with a number of other internet-based lead generation companies, and we face the possibility of new competitors.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currently compete with a number of other internet-based lead generation companies and we expect that competition will intensify. Some of these existing competitors may have more capital or complementary products or services than we do, and they may leverage their greater capital or diversification in a manner that adversely affects our competitive position, including by making strategic acquisitions. In addition, new competitors may enter the market and may be able to innovate and bring products and services to market faster, or anticipate and meet consumer or marketplace lender demand before we do. Other newcomers, including major search engines and content aggregators, may be able to leverage their existing products and services to our disadvantage. We may be forced to expend significant resources to remain competitive with current and potential competitors. If any of our competitors are more successful than we are at attracting and retaining customers or marketplace lenders, our business, financial condition and results of operations could be materially and adversely affected.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January 2010, the board of directors approved and we announced a stock repurchase program which allowed for the repurchase of up to $10.0 million of our common stock. In May 2014, the board of directors authorized and we announced an additional $10.0 million to the stock repurchase program. At June 30, 2015, approximately $7.3 million remains authorized for share repurchase under this program.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No shares of common stock were repurchased under the stock repurchase program during the quarter ended June 30, 2015.</w:t>
      </w:r>
    </w:p>
    <w:p>
      <w:pPr>
        <w:spacing w:after="0" w:line="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the LendingTree Fourth Amended and Restated 2008 Stock and Award Incentive Plan allows employees to forfeit shares of our common stock to satisfy federal and state withholding obligations upon the exercise of stock options, the settlement of restricted stock unit awards and the vesting of restricted stock awards granted to those individuals under this plan. During the quarter ended June 30, 2015, 101,228 shares were purchased related to these obligations under the LendingTree Fourth Amended and Restated 2008 Stock and Award Incentive Plan. The withholding of those shares does not affect the dollar amount or number of shares that may be purchased under the stock repurchase program described above.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June 30,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900" w:type="dxa"/>
            <w:vAlign w:val="bottom"/>
            <w:gridSpan w:val="2"/>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w:t>
            </w: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Paid per Share</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200" w:type="dxa"/>
            <w:vAlign w:val="bottom"/>
          </w:tcPr>
          <w:p>
            <w:pPr>
              <w:spacing w:after="0"/>
              <w:rPr>
                <w:sz w:val="16"/>
                <w:szCs w:val="16"/>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90"/>
        </w:trPr>
        <w:tc>
          <w:tcPr>
            <w:tcW w:w="3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3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2015</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58.48</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May 2015</w:t>
            </w: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92,848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41.32</w:t>
            </w:r>
          </w:p>
        </w:tc>
        <w:tc>
          <w:tcPr>
            <w:tcW w:w="120" w:type="dxa"/>
            <w:vAlign w:val="bottom"/>
          </w:tcPr>
          <w:p>
            <w:pPr>
              <w:spacing w:after="0"/>
              <w:rPr>
                <w:sz w:val="21"/>
                <w:szCs w:val="21"/>
                <w:color w:val="auto"/>
              </w:rPr>
            </w:pPr>
          </w:p>
        </w:tc>
        <w:tc>
          <w:tcPr>
            <w:tcW w:w="190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21"/>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2015</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64.00</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37"/>
        </w:trPr>
        <w:tc>
          <w:tcPr>
            <w:tcW w:w="39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101,228</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43.02</w:t>
            </w:r>
          </w:p>
        </w:tc>
        <w:tc>
          <w:tcPr>
            <w:tcW w:w="12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gridSpan w:val="2"/>
          </w:tcPr>
          <w:p>
            <w:pPr>
              <w:ind w:left="15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34"/>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April 2015, May 2015 and June 2015, 3,171 shares, 5,581 shares and 5,209 shares, respectively (totaling 13,961 shares), were purchased to satisfy federal and state withholding obligations of our employees upon the settlement of restricted stock unit awards, all in accordance with our Fourth Amended and Restated 2008 Stock and Award Incentive Plan, as described above. In addition, during May 2015, 87,267 shares were purchased to satisfy the strike price and taxes on stock option exercises, in accordance with our Fourth Amended and Restated 2008 Stock and Award Incentive Plan, as described above.</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Exhibit</w:t>
            </w:r>
          </w:p>
        </w:tc>
        <w:tc>
          <w:tcPr>
            <w:tcW w:w="656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Description</w:t>
            </w:r>
          </w:p>
        </w:tc>
        <w:tc>
          <w:tcPr>
            <w:tcW w:w="380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Location</w:t>
            </w:r>
          </w:p>
        </w:tc>
      </w:tr>
      <w:tr>
        <w:trPr>
          <w:trHeight w:val="121"/>
        </w:trPr>
        <w:tc>
          <w:tcPr>
            <w:tcW w:w="106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3800" w:type="dxa"/>
            <w:vAlign w:val="bottom"/>
          </w:tcPr>
          <w:p>
            <w:pPr>
              <w:spacing w:after="0"/>
              <w:rPr>
                <w:sz w:val="10"/>
                <w:szCs w:val="10"/>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Amended and Restated Certificate of Incorporation of LendingTree, Inc.</w:t>
            </w: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Exhibit 3.1 to the Registrant's Current Report on</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Form 8-K filed August 25, 2008</w:t>
            </w: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3.2</w:t>
            </w:r>
          </w:p>
        </w:tc>
        <w:tc>
          <w:tcPr>
            <w:tcW w:w="6560" w:type="dxa"/>
            <w:vAlign w:val="bottom"/>
          </w:tcPr>
          <w:p>
            <w:pPr>
              <w:ind w:left="140"/>
              <w:spacing w:after="0"/>
              <w:rPr>
                <w:sz w:val="20"/>
                <w:szCs w:val="20"/>
                <w:color w:val="auto"/>
              </w:rPr>
            </w:pPr>
            <w:r>
              <w:rPr>
                <w:rFonts w:ascii="Arial" w:cs="Arial" w:eastAsia="Arial" w:hAnsi="Arial"/>
                <w:sz w:val="18"/>
                <w:szCs w:val="18"/>
                <w:color w:val="auto"/>
              </w:rPr>
              <w:t>Third Amended and Restated By-laws of LendingTree, Inc.</w:t>
            </w:r>
          </w:p>
        </w:tc>
        <w:tc>
          <w:tcPr>
            <w:tcW w:w="3800" w:type="dxa"/>
            <w:vAlign w:val="bottom"/>
          </w:tcPr>
          <w:p>
            <w:pPr>
              <w:ind w:left="80"/>
              <w:spacing w:after="0"/>
              <w:rPr>
                <w:sz w:val="20"/>
                <w:szCs w:val="20"/>
                <w:color w:val="auto"/>
              </w:rPr>
            </w:pPr>
            <w:r>
              <w:rPr>
                <w:rFonts w:ascii="Arial" w:cs="Arial" w:eastAsia="Arial" w:hAnsi="Arial"/>
                <w:sz w:val="18"/>
                <w:szCs w:val="18"/>
                <w:color w:val="auto"/>
                <w:w w:val="96"/>
              </w:rPr>
              <w:t>Exhibit 3.2 to the Registrant's Current Report on</w:t>
            </w:r>
          </w:p>
        </w:tc>
      </w:tr>
      <w:tr>
        <w:trPr>
          <w:trHeight w:val="230"/>
        </w:trPr>
        <w:tc>
          <w:tcPr>
            <w:tcW w:w="106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800" w:type="dxa"/>
            <w:vAlign w:val="bottom"/>
          </w:tcPr>
          <w:p>
            <w:pPr>
              <w:ind w:left="80"/>
              <w:spacing w:after="0"/>
              <w:rPr>
                <w:sz w:val="20"/>
                <w:szCs w:val="20"/>
                <w:color w:val="auto"/>
              </w:rPr>
            </w:pPr>
            <w:r>
              <w:rPr>
                <w:rFonts w:ascii="Arial" w:cs="Arial" w:eastAsia="Arial" w:hAnsi="Arial"/>
                <w:sz w:val="18"/>
                <w:szCs w:val="18"/>
                <w:color w:val="auto"/>
              </w:rPr>
              <w:t>Form 8-K filed December 31, 2014</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31.1</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Certification of the Chief Executive Officer pursuant to Rule 13a-14(a) or Rule 15d-</w:t>
            </w: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shd w:val="clear" w:color="auto" w:fill="CCEEFF"/>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14(a) of the Securities Exchange Act of 1934 as adopted pursuant to Section 302 of the</w:t>
            </w:r>
          </w:p>
        </w:tc>
        <w:tc>
          <w:tcPr>
            <w:tcW w:w="3800" w:type="dxa"/>
            <w:vAlign w:val="bottom"/>
            <w:shd w:val="clear" w:color="auto" w:fill="CCEEFF"/>
          </w:tcPr>
          <w:p>
            <w:pPr>
              <w:spacing w:after="0"/>
              <w:rPr>
                <w:sz w:val="18"/>
                <w:szCs w:val="18"/>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Sarbanes-Oxley Act of 2002.</w:t>
            </w:r>
          </w:p>
        </w:tc>
        <w:tc>
          <w:tcPr>
            <w:tcW w:w="3800" w:type="dxa"/>
            <w:vAlign w:val="bottom"/>
            <w:tcBorders>
              <w:bottom w:val="single" w:sz="8" w:color="CCEEFF"/>
            </w:tcBorders>
            <w:shd w:val="clear" w:color="auto" w:fill="CCEEFF"/>
          </w:tcPr>
          <w:p>
            <w:pPr>
              <w:spacing w:after="0"/>
              <w:rPr>
                <w:sz w:val="20"/>
                <w:szCs w:val="20"/>
                <w:color w:val="auto"/>
              </w:rPr>
            </w:pP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31.2</w:t>
            </w:r>
          </w:p>
        </w:tc>
        <w:tc>
          <w:tcPr>
            <w:tcW w:w="6560" w:type="dxa"/>
            <w:vAlign w:val="bottom"/>
          </w:tcPr>
          <w:p>
            <w:pPr>
              <w:ind w:left="140"/>
              <w:spacing w:after="0"/>
              <w:rPr>
                <w:sz w:val="20"/>
                <w:szCs w:val="20"/>
                <w:color w:val="auto"/>
              </w:rPr>
            </w:pPr>
            <w:r>
              <w:rPr>
                <w:rFonts w:ascii="Arial" w:cs="Arial" w:eastAsia="Arial" w:hAnsi="Arial"/>
                <w:sz w:val="18"/>
                <w:szCs w:val="18"/>
                <w:color w:val="auto"/>
                <w:w w:val="98"/>
              </w:rPr>
              <w:t>Certification of the Chief Financial Officer pursuant to Rule 13a-14(a) or Rule 15d-</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w w:val="91"/>
              </w:rPr>
              <w:t>14(a) of the Securities Exchange Act of 1934 as adopted pursuant to Section 302 of the</w:t>
            </w:r>
          </w:p>
        </w:tc>
        <w:tc>
          <w:tcPr>
            <w:tcW w:w="380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c>
          <w:tcPr>
            <w:tcW w:w="380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32.1</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Certification of the Chief Executive Officer pursuant to 18 U.S.C. Section 1350 as</w:t>
            </w: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00" w:type="dxa"/>
            <w:vAlign w:val="bottom"/>
            <w:tcBorders>
              <w:bottom w:val="single" w:sz="8" w:color="CCEEFF"/>
            </w:tcBorders>
            <w:shd w:val="clear" w:color="auto" w:fill="CCEEFF"/>
          </w:tcPr>
          <w:p>
            <w:pPr>
              <w:spacing w:after="0"/>
              <w:rPr>
                <w:sz w:val="20"/>
                <w:szCs w:val="20"/>
                <w:color w:val="auto"/>
              </w:rPr>
            </w:pP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32.2</w:t>
            </w:r>
          </w:p>
        </w:tc>
        <w:tc>
          <w:tcPr>
            <w:tcW w:w="6560" w:type="dxa"/>
            <w:vAlign w:val="bottom"/>
          </w:tcPr>
          <w:p>
            <w:pPr>
              <w:ind w:left="140"/>
              <w:spacing w:after="0"/>
              <w:rPr>
                <w:sz w:val="20"/>
                <w:szCs w:val="20"/>
                <w:color w:val="auto"/>
              </w:rPr>
            </w:pPr>
            <w:r>
              <w:rPr>
                <w:rFonts w:ascii="Arial" w:cs="Arial" w:eastAsia="Arial" w:hAnsi="Arial"/>
                <w:sz w:val="18"/>
                <w:szCs w:val="18"/>
                <w:color w:val="auto"/>
              </w:rPr>
              <w:t>Certification of the Chief Financial Officer pursuant to 18 U.S.C. Section 1350 as</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30"/>
        </w:trPr>
        <w:tc>
          <w:tcPr>
            <w:tcW w:w="106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0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101.INS</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Instance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101.SCH</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101.CAL</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101.DEF</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101.LAB</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101.PRE</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8"/>
        <w:spacing w:after="0" w:line="264" w:lineRule="auto"/>
        <w:tabs>
          <w:tab w:leader="none" w:pos="25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00" w:lineRule="exact"/>
        <w:rPr>
          <w:sz w:val="20"/>
          <w:szCs w:val="20"/>
          <w:color w:val="auto"/>
        </w:rPr>
      </w:pPr>
    </w:p>
    <w:p>
      <w:pPr>
        <w:jc w:val="both"/>
        <w:ind w:firstLine="8"/>
        <w:spacing w:after="0" w:line="264" w:lineRule="auto"/>
        <w:tabs>
          <w:tab w:leader="none" w:pos="1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 †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2015</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LENDINGTREE, INC.</w:t>
      </w:r>
    </w:p>
    <w:p>
      <w:pPr>
        <w:spacing w:after="0" w:line="329" w:lineRule="exact"/>
        <w:rPr>
          <w:sz w:val="20"/>
          <w:szCs w:val="20"/>
          <w:color w:val="auto"/>
        </w:rPr>
      </w:pPr>
    </w:p>
    <w:p>
      <w:pPr>
        <w:ind w:left="47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34290</wp:posOffset>
            </wp:positionV>
            <wp:extent cx="38246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6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Gabriel Dalporto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7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2015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2015</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Gabriel Dalporto, certify that:</w:t>
      </w:r>
    </w:p>
    <w:p>
      <w:pPr>
        <w:spacing w:after="0" w:line="17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2015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2015</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Gabriel Dalporto</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66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340" w:right="380" w:hanging="332"/>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June 30, 2015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August 5, 2015</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 Gabriel Dalporto, certify, pursuant to 18 U.S.C. Section 1350, as adopted pursuant to Section 906 of the Sarbanes-Oxley Act of 2002, that to my knowledge:</w:t>
      </w:r>
    </w:p>
    <w:p>
      <w:pPr>
        <w:spacing w:after="0" w:line="116" w:lineRule="exact"/>
        <w:rPr>
          <w:sz w:val="20"/>
          <w:szCs w:val="20"/>
          <w:color w:val="auto"/>
        </w:rPr>
      </w:pPr>
    </w:p>
    <w:p>
      <w:pPr>
        <w:ind w:left="340" w:right="38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June 30, 2015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August 5, 2015</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Gabriel Dalporto</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2019-12-29T15:58:36Z</dcterms:created>
  <dcterms:modified xsi:type="dcterms:W3CDTF">2019-12-29T15:58:36Z</dcterms:modified>
</cp:coreProperties>
</file>