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w:t>
      </w:r>
    </w:p>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10-K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w:t>
      </w:r>
    </w:p>
    <w:tbl>
      <w:tblPr>
        <w:tblW w:w="10080" w:type="dxa"/>
        <w:jc w:val="center"/>
        <w:tblInd w:w="0" w:type="dxa"/>
        <w:tblLayout w:type="fixed"/>
        <w:tblCellMar>
          <w:top w:w="28" w:type="dxa"/>
          <w:left w:w="28" w:type="dxa"/>
          <w:bottom w:w="28" w:type="dxa"/>
          <w:right w:w="28" w:type="dxa"/>
        </w:tblCellMar>
      </w:tblPr>
      <w:tblGrid>
        <w:gridCol w:w="179"/>
        <w:gridCol w:w="158"/>
        <w:gridCol w:w="158"/>
        <w:gridCol w:w="2808"/>
        <w:gridCol w:w="2808"/>
        <w:gridCol w:w="3969"/>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10080" w:type="dxa"/>
            <w:gridSpan w:val="6"/>
            <w:tcBorders/>
            <w:tcMar>
              <w:top w:w="0" w:type="dxa"/>
              <w:left w:w="0" w:type="dxa"/>
              <w:bottom w:w="0" w:type="dxa"/>
              <w:right w:w="0" w:type="dxa"/>
            </w:tcMar>
            <w:vAlign w:val="center"/>
          </w:tcPr>
          <w:p>
            <w:pPr>
              <w:pStyle w:val="TableContents"/>
              <w:bidi w:val="0"/>
              <w:spacing w:lineRule="auto" w:line="345" w:before="0" w:after="283"/>
              <w:jc w:val="left"/>
              <w:rPr>
                <w:rFonts w:ascii="Times New Roman;sans-serif" w:hAnsi="Times New Roman;sans-serif"/>
                <w:b/>
                <w:color w:val="000000"/>
                <w:sz w:val="16"/>
              </w:rPr>
            </w:pPr>
            <w:r>
              <w:rPr>
                <w:rFonts w:ascii="Times New Roman;sans-serif" w:hAnsi="Times New Roman;sans-serif"/>
                <w:b/>
                <w:color w:val="000000"/>
                <w:sz w:val="16"/>
              </w:rPr>
              <w:t>(Mark One)</w:t>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For the transition period from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No. 001-34063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w:t>
      </w:r>
    </w:p>
    <w:p>
      <w:pPr>
        <w:pStyle w:val="TextBody"/>
        <w:bidi w:val="0"/>
        <w:spacing w:before="0" w:after="0"/>
        <w:jc w:val="center"/>
        <w:rPr/>
      </w:pPr>
      <w:r>
        <w:rPr/>
        <w:drawing>
          <wp:inline distT="0" distB="0" distL="0" distR="0">
            <wp:extent cx="126682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 cy="4572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LendingTree, Inc.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7286" w:type="dxa"/>
        <w:jc w:val="center"/>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26-2414818</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lineRule="auto" w:line="288" w:before="120" w:after="283"/>
        <w:jc w:val="center"/>
        <w:rPr/>
      </w:pPr>
      <w:r>
        <w:rPr>
          <w:color w:val="000000"/>
        </w:rPr>
        <w:t> </w:t>
      </w:r>
      <w:r>
        <w:rPr>
          <w:rFonts w:ascii="Times New Roman;sans-serif" w:hAnsi="Times New Roman;sans-serif"/>
          <w:b/>
          <w:color w:val="000000"/>
          <w:sz w:val="20"/>
        </w:rPr>
        <w:t xml:space="preserve">1415 Vantage Park Dr., Suite 700, Charlotte, North Carolina 28203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offices)(Zip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(704) 541-5351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482" w:type="dxa"/>
        <w:jc w:val="center"/>
        <w:tblInd w:w="0" w:type="dxa"/>
        <w:tblLayout w:type="fixed"/>
        <w:tblCellMar>
          <w:top w:w="28" w:type="dxa"/>
          <w:left w:w="28" w:type="dxa"/>
          <w:bottom w:w="28" w:type="dxa"/>
          <w:right w:w="28" w:type="dxa"/>
        </w:tblCellMar>
      </w:tblPr>
      <w:tblGrid>
        <w:gridCol w:w="1119"/>
        <w:gridCol w:w="986"/>
        <w:gridCol w:w="1000"/>
        <w:gridCol w:w="109"/>
        <w:gridCol w:w="109"/>
        <w:gridCol w:w="109"/>
        <w:gridCol w:w="484"/>
        <w:gridCol w:w="484"/>
        <w:gridCol w:w="486"/>
        <w:gridCol w:w="109"/>
        <w:gridCol w:w="109"/>
        <w:gridCol w:w="109"/>
        <w:gridCol w:w="956"/>
        <w:gridCol w:w="956"/>
        <w:gridCol w:w="1357"/>
      </w:tblGrid>
      <w:tr>
        <w:trPr/>
        <w:tc>
          <w:tcPr>
            <w:tcW w:w="111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12(g) of the Act: None</w:t>
      </w:r>
    </w:p>
    <w:p>
      <w:pPr>
        <w:pStyle w:val="TextBody"/>
        <w:bidi w:val="0"/>
        <w:spacing w:lineRule="auto" w:line="288" w:before="0" w:after="0"/>
        <w:ind w:left="0" w:right="0" w:firstLine="18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a well-known seasoned issuer, as defined in Rule 405 of the Securities Act. Yes ☒    No ☐</w:t>
      </w:r>
    </w:p>
    <w:p>
      <w:pPr>
        <w:pStyle w:val="TextBody"/>
        <w:bidi w:val="0"/>
        <w:spacing w:lineRule="auto" w:line="288" w:before="0" w:after="0"/>
        <w:ind w:left="0" w:right="0" w:firstLine="18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not required to file reports pursuant to Section 13 or Section 15(d) of the Act. Yes ☐    No ☒</w:t>
      </w:r>
    </w:p>
    <w:p>
      <w:pPr>
        <w:pStyle w:val="TextBody"/>
        <w:bidi w:val="0"/>
        <w:spacing w:lineRule="auto" w:line="288" w:before="0" w:after="0"/>
        <w:ind w:left="0" w:right="0" w:firstLine="18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0"/>
        <w:ind w:left="0" w:right="0" w:firstLine="18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0"/>
        <w:ind w:left="0" w:right="0" w:firstLine="180"/>
        <w:jc w:val="both"/>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w:t>
      </w:r>
      <w:r>
        <w:rPr>
          <w:color w:val="000000"/>
        </w:rPr>
        <w:t>“</w:t>
      </w:r>
      <w:r>
        <w:rPr>
          <w:rFonts w:ascii="Times New Roman;sans-serif" w:hAnsi="Times New Roman;sans-serif"/>
          <w:b w:val="false"/>
          <w:color w:val="000000"/>
          <w:sz w:val="18"/>
        </w:rPr>
        <w:t>large accelerated filer,</w:t>
      </w:r>
      <w:r>
        <w:rPr>
          <w:color w:val="000000"/>
        </w:rPr>
        <w:t>” “</w:t>
      </w:r>
      <w:r>
        <w:rPr>
          <w:rFonts w:ascii="Times New Roman;sans-serif" w:hAnsi="Times New Roman;sans-serif"/>
          <w:b w:val="false"/>
          <w:color w:val="000000"/>
          <w:sz w:val="18"/>
        </w:rPr>
        <w:t>accelerated filer,</w:t>
      </w:r>
      <w:r>
        <w:rPr>
          <w:color w:val="000000"/>
        </w:rPr>
        <w:t>” “</w:t>
      </w:r>
      <w:r>
        <w:rPr>
          <w:rFonts w:ascii="Times New Roman;sans-serif" w:hAnsi="Times New Roman;sans-serif"/>
          <w:b w:val="false"/>
          <w:color w:val="000000"/>
          <w:sz w:val="18"/>
        </w:rPr>
        <w:t>smaller reporting company,</w:t>
      </w:r>
      <w:r>
        <w:rPr>
          <w:color w:val="000000"/>
        </w:rPr>
        <w:t xml:space="preserve">” </w:t>
      </w:r>
      <w:r>
        <w:rPr>
          <w:rFonts w:ascii="Times New Roman;sans-serif" w:hAnsi="Times New Roman;sans-serif"/>
          <w:b w:val="false"/>
          <w:color w:val="000000"/>
          <w:sz w:val="18"/>
        </w:rPr>
        <w:t xml:space="preserve">and </w:t>
      </w:r>
      <w:r>
        <w:rPr>
          <w:color w:val="000000"/>
        </w:rPr>
        <w:t>“</w:t>
      </w:r>
      <w:r>
        <w:rPr>
          <w:rFonts w:ascii="Times New Roman;sans-serif" w:hAnsi="Times New Roman;sans-serif"/>
          <w:b w:val="false"/>
          <w:color w:val="000000"/>
          <w:sz w:val="18"/>
        </w:rPr>
        <w:t>emerging growth company</w:t>
      </w:r>
      <w:r>
        <w:rPr>
          <w:color w:val="000000"/>
        </w:rPr>
        <w:t xml:space="preserve">” </w:t>
      </w:r>
      <w:r>
        <w:rPr>
          <w:rFonts w:ascii="Times New Roman;sans-serif" w:hAnsi="Times New Roman;sans-serif"/>
          <w:b w:val="false"/>
          <w:color w:val="000000"/>
          <w:sz w:val="18"/>
        </w:rPr>
        <w:t>in Rule 12b-2 of the Exchange Act. (Check one):</w:t>
      </w:r>
    </w:p>
    <w:tbl>
      <w:tblPr>
        <w:tblW w:w="10205" w:type="dxa"/>
        <w:jc w:val="left"/>
        <w:tblInd w:w="0" w:type="dxa"/>
        <w:tblLayout w:type="fixed"/>
        <w:tblCellMar>
          <w:top w:w="28" w:type="dxa"/>
          <w:left w:w="28" w:type="dxa"/>
          <w:bottom w:w="28" w:type="dxa"/>
          <w:right w:w="28" w:type="dxa"/>
        </w:tblCellMar>
      </w:tblPr>
      <w:tblGrid>
        <w:gridCol w:w="506"/>
        <w:gridCol w:w="445"/>
        <w:gridCol w:w="447"/>
        <w:gridCol w:w="109"/>
        <w:gridCol w:w="109"/>
        <w:gridCol w:w="109"/>
        <w:gridCol w:w="109"/>
        <w:gridCol w:w="109"/>
        <w:gridCol w:w="109"/>
        <w:gridCol w:w="381"/>
        <w:gridCol w:w="381"/>
        <w:gridCol w:w="383"/>
        <w:gridCol w:w="109"/>
        <w:gridCol w:w="109"/>
        <w:gridCol w:w="109"/>
        <w:gridCol w:w="109"/>
        <w:gridCol w:w="109"/>
        <w:gridCol w:w="109"/>
        <w:gridCol w:w="486"/>
        <w:gridCol w:w="486"/>
        <w:gridCol w:w="488"/>
        <w:gridCol w:w="109"/>
        <w:gridCol w:w="109"/>
        <w:gridCol w:w="109"/>
        <w:gridCol w:w="109"/>
        <w:gridCol w:w="109"/>
        <w:gridCol w:w="109"/>
        <w:gridCol w:w="529"/>
        <w:gridCol w:w="529"/>
        <w:gridCol w:w="531"/>
        <w:gridCol w:w="109"/>
        <w:gridCol w:w="109"/>
        <w:gridCol w:w="109"/>
        <w:gridCol w:w="109"/>
        <w:gridCol w:w="109"/>
        <w:gridCol w:w="109"/>
        <w:gridCol w:w="538"/>
        <w:gridCol w:w="538"/>
        <w:gridCol w:w="540"/>
        <w:gridCol w:w="109"/>
        <w:gridCol w:w="109"/>
        <w:gridCol w:w="163"/>
      </w:tblGrid>
      <w:tr>
        <w:trPr/>
        <w:tc>
          <w:tcPr>
            <w:tcW w:w="50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180"/>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ind w:left="0" w:right="0" w:firstLine="18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0"/>
        <w:ind w:left="0" w:right="0" w:firstLine="180"/>
        <w:jc w:val="both"/>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0"/>
        <w:ind w:left="0" w:right="0" w:firstLine="18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0"/>
        <w:ind w:left="0" w:right="0" w:firstLine="1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shell company (as defined in Rule 12b-2 of the Act). Yes ☐    No ☒ </w:t>
      </w:r>
    </w:p>
    <w:p>
      <w:pPr>
        <w:pStyle w:val="TextBody"/>
        <w:bidi w:val="0"/>
        <w:spacing w:lineRule="auto" w:line="288" w:before="0" w:after="0"/>
        <w:ind w:left="0" w:right="0" w:firstLine="180"/>
        <w:jc w:val="both"/>
        <w:rPr>
          <w:rFonts w:ascii="Times New Roman;sans-serif" w:hAnsi="Times New Roman;sans-serif"/>
          <w:b w:val="false"/>
          <w:color w:val="000000"/>
          <w:sz w:val="18"/>
        </w:rPr>
      </w:pPr>
      <w:r>
        <w:rPr>
          <w:rFonts w:ascii="Times New Roman;sans-serif" w:hAnsi="Times New Roman;sans-serif"/>
          <w:b w:val="false"/>
          <w:color w:val="000000"/>
          <w:sz w:val="18"/>
        </w:rPr>
        <w:t>As of June 30, 2023, the aggregate market value of the voting common stock held by non-affiliates of the Registrant was approximately $238 million. For the purposes of the foregoing calculation only, all directors and executive officers of the Registrant and a single stockholder who owned in excess of 20% of the voting common stock are assumed to be affiliates of the Registrant.</w:t>
      </w:r>
    </w:p>
    <w:p>
      <w:pPr>
        <w:pStyle w:val="TextBody"/>
        <w:bidi w:val="0"/>
        <w:spacing w:lineRule="auto" w:line="288" w:before="0" w:after="0"/>
        <w:ind w:left="0" w:right="0" w:firstLine="180"/>
        <w:jc w:val="both"/>
        <w:rPr>
          <w:rFonts w:ascii="Times New Roman;sans-serif" w:hAnsi="Times New Roman;sans-serif"/>
          <w:b w:val="false"/>
          <w:color w:val="000000"/>
          <w:sz w:val="18"/>
        </w:rPr>
      </w:pPr>
      <w:r>
        <w:rPr>
          <w:rFonts w:ascii="Times New Roman;sans-serif" w:hAnsi="Times New Roman;sans-serif"/>
          <w:b w:val="false"/>
          <w:color w:val="000000"/>
          <w:sz w:val="18"/>
        </w:rPr>
        <w:t>As of February 23, 2024, there were 13,042,789 shares of the Registrant's common stock, par value $.01 per share, outstanding.</w:t>
      </w:r>
    </w:p>
    <w:p>
      <w:pPr>
        <w:pStyle w:val="TextBody"/>
        <w:bidi w:val="0"/>
        <w:spacing w:lineRule="auto" w:line="288" w:before="80" w:after="4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40" w:after="40"/>
        <w:jc w:val="both"/>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proxy statement for its 2024 Annual Meeting of Stockholders are incorporated by reference into Part III herein. Such proxy statement will be filed with the U.S. Securities and Exchange Commission within 120 days of the Registrant's fiscal year ended December 31,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04"/>
        <w:gridCol w:w="267"/>
        <w:gridCol w:w="270"/>
        <w:gridCol w:w="109"/>
        <w:gridCol w:w="109"/>
        <w:gridCol w:w="109"/>
        <w:gridCol w:w="2761"/>
        <w:gridCol w:w="2707"/>
        <w:gridCol w:w="2730"/>
        <w:gridCol w:w="109"/>
        <w:gridCol w:w="109"/>
        <w:gridCol w:w="109"/>
        <w:gridCol w:w="149"/>
        <w:gridCol w:w="149"/>
        <w:gridCol w:w="21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13">
              <w:r>
                <w:rPr>
                  <w:rStyle w:val="InternetLink"/>
                  <w:rFonts w:ascii="Times New Roman;sans-serif" w:hAnsi="Times New Roman;sans-serif"/>
                  <w:b/>
                  <w:color w:val="0000FF"/>
                  <w:sz w:val="20"/>
                  <w:u w:val="single"/>
                </w:rPr>
                <w:t>PART 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6">
              <w:r>
                <w:rPr>
                  <w:rStyle w:val="InternetLink"/>
                  <w:rFonts w:ascii="Times New Roman;sans-serif" w:hAnsi="Times New Roman;sans-serif"/>
                  <w:b/>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6">
              <w:r>
                <w:rPr>
                  <w:rStyle w:val="InternetLink"/>
                  <w:rFonts w:ascii="Times New Roman;sans-serif" w:hAnsi="Times New Roman;sans-serif"/>
                  <w:b/>
                  <w:color w:val="0000FF"/>
                  <w:sz w:val="20"/>
                  <w:u w:val="single"/>
                </w:rPr>
                <w:t>Business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16">
              <w:r>
                <w:rPr>
                  <w:rStyle w:val="InternetLink"/>
                  <w:rFonts w:ascii="Times New Roman;sans-serif" w:hAnsi="Times New Roman;sans-serif"/>
                  <w:b w:val="false"/>
                  <w:strike w:val="false"/>
                  <w:dstrike w:val="false"/>
                  <w:color w:val="0000FF"/>
                  <w:sz w:val="20"/>
                  <w:u w:val="none"/>
                  <w:effect w:val="none"/>
                </w:rPr>
                <w:t>3</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9">
              <w:r>
                <w:rPr>
                  <w:rStyle w:val="InternetLink"/>
                  <w:rFonts w:ascii="Times New Roman;sans-serif" w:hAnsi="Times New Roman;sans-serif"/>
                  <w:b/>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9">
              <w:r>
                <w:rPr>
                  <w:rStyle w:val="InternetLink"/>
                  <w:rFonts w:ascii="Times New Roman;sans-serif" w:hAnsi="Times New Roman;sans-serif"/>
                  <w:b/>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19">
              <w:r>
                <w:rPr>
                  <w:rStyle w:val="InternetLink"/>
                  <w:rFonts w:ascii="Times New Roman;sans-serif" w:hAnsi="Times New Roman;sans-serif"/>
                  <w:b w:val="false"/>
                  <w:strike w:val="false"/>
                  <w:dstrike w:val="false"/>
                  <w:color w:val="0000FF"/>
                  <w:sz w:val="20"/>
                  <w:u w:val="none"/>
                  <w:effect w:val="none"/>
                </w:rPr>
                <w:t>9</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22">
              <w:r>
                <w:rPr>
                  <w:rStyle w:val="InternetLink"/>
                  <w:rFonts w:ascii="Times New Roman;sans-serif" w:hAnsi="Times New Roman;sans-serif"/>
                  <w:b/>
                  <w:color w:val="0000FF"/>
                  <w:sz w:val="20"/>
                  <w:u w:val="single"/>
                </w:rPr>
                <w:t>Item 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22">
              <w:r>
                <w:rPr>
                  <w:rStyle w:val="InternetLink"/>
                  <w:rFonts w:ascii="Times New Roman;sans-serif" w:hAnsi="Times New Roman;sans-serif"/>
                  <w:b/>
                  <w:color w:val="0000FF"/>
                  <w:sz w:val="20"/>
                  <w:u w:val="single"/>
                </w:rPr>
                <w:t>Unresolved Staff Comments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22">
              <w:r>
                <w:rPr>
                  <w:rStyle w:val="InternetLink"/>
                  <w:rFonts w:ascii="Times New Roman;sans-serif" w:hAnsi="Times New Roman;sans-serif"/>
                  <w:b w:val="false"/>
                  <w:strike w:val="false"/>
                  <w:dstrike w:val="false"/>
                  <w:color w:val="0000FF"/>
                  <w:sz w:val="20"/>
                  <w:u w:val="none"/>
                  <w:effect w:val="none"/>
                </w:rPr>
                <w:t>32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2053">
              <w:r>
                <w:rPr>
                  <w:rStyle w:val="InternetLink"/>
                  <w:rFonts w:ascii="Times New Roman;sans-serif" w:hAnsi="Times New Roman;sans-serif"/>
                  <w:b/>
                  <w:color w:val="000080"/>
                  <w:sz w:val="20"/>
                  <w:u w:val="single"/>
                </w:rPr>
                <w:t xml:space="preserve">Item </w:t>
              </w:r>
            </w:hyperlink>
            <w:hyperlink w:anchor="i205f388eefa74f188b4be083d75297f3_2053">
              <w:r>
                <w:rPr>
                  <w:rStyle w:val="InternetLink"/>
                  <w:rFonts w:ascii="Times New Roman;sans-serif" w:hAnsi="Times New Roman;sans-serif"/>
                  <w:b/>
                  <w:color w:val="000080"/>
                  <w:sz w:val="20"/>
                  <w:u w:val="single"/>
                </w:rPr>
                <w:t>1</w:t>
              </w:r>
            </w:hyperlink>
            <w:hyperlink w:anchor="i205f388eefa74f188b4be083d75297f3_2053">
              <w:r>
                <w:rPr>
                  <w:rStyle w:val="InternetLink"/>
                  <w:rFonts w:ascii="Times New Roman;sans-serif" w:hAnsi="Times New Roman;sans-serif"/>
                  <w:b/>
                  <w:color w:val="000080"/>
                  <w:sz w:val="20"/>
                  <w:u w:val="single"/>
                </w:rPr>
                <w:t>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2053">
              <w:r>
                <w:rPr>
                  <w:rStyle w:val="InternetLink"/>
                  <w:rFonts w:ascii="Times New Roman;sans-serif" w:hAnsi="Times New Roman;sans-serif"/>
                  <w:b/>
                  <w:color w:val="0000FF"/>
                  <w:sz w:val="20"/>
                  <w:u w:val="single"/>
                </w:rPr>
                <w:t>Cybersecurity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2053">
              <w:r>
                <w:rPr>
                  <w:rStyle w:val="InternetLink"/>
                  <w:rFonts w:ascii="Times New Roman;sans-serif" w:hAnsi="Times New Roman;sans-serif"/>
                  <w:b w:val="false"/>
                  <w:strike w:val="false"/>
                  <w:dstrike w:val="false"/>
                  <w:color w:val="0000FF"/>
                  <w:sz w:val="20"/>
                  <w:u w:val="none"/>
                  <w:effect w:val="none"/>
                </w:rPr>
                <w:t>32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25">
              <w:r>
                <w:rPr>
                  <w:rStyle w:val="InternetLink"/>
                  <w:rFonts w:ascii="Times New Roman;sans-serif" w:hAnsi="Times New Roman;sans-serif"/>
                  <w:b/>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25">
              <w:r>
                <w:rPr>
                  <w:rStyle w:val="InternetLink"/>
                  <w:rFonts w:ascii="Times New Roman;sans-serif" w:hAnsi="Times New Roman;sans-serif"/>
                  <w:b/>
                  <w:color w:val="0000FF"/>
                  <w:sz w:val="20"/>
                  <w:u w:val="single"/>
                </w:rPr>
                <w:t>Properties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25">
              <w:r>
                <w:rPr>
                  <w:rStyle w:val="InternetLink"/>
                  <w:rFonts w:ascii="Times New Roman;sans-serif" w:hAnsi="Times New Roman;sans-serif"/>
                  <w:b w:val="false"/>
                  <w:strike w:val="false"/>
                  <w:dstrike w:val="false"/>
                  <w:color w:val="0000FF"/>
                  <w:sz w:val="20"/>
                  <w:u w:val="none"/>
                  <w:effect w:val="none"/>
                </w:rPr>
                <w:t>33</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28">
              <w:r>
                <w:rPr>
                  <w:rStyle w:val="InternetLink"/>
                  <w:rFonts w:ascii="Times New Roman;sans-serif" w:hAnsi="Times New Roman;sans-serif"/>
                  <w:b/>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28">
              <w:r>
                <w:rPr>
                  <w:rStyle w:val="InternetLink"/>
                  <w:rFonts w:ascii="Times New Roman;sans-serif" w:hAnsi="Times New Roman;sans-serif"/>
                  <w:b/>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28">
              <w:r>
                <w:rPr>
                  <w:rStyle w:val="InternetLink"/>
                  <w:rFonts w:ascii="Times New Roman;sans-serif" w:hAnsi="Times New Roman;sans-serif"/>
                  <w:b w:val="false"/>
                  <w:strike w:val="false"/>
                  <w:dstrike w:val="false"/>
                  <w:color w:val="0000FF"/>
                  <w:sz w:val="20"/>
                  <w:u w:val="none"/>
                  <w:effect w:val="none"/>
                </w:rPr>
                <w:t>33</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31">
              <w:r>
                <w:rPr>
                  <w:rStyle w:val="InternetLink"/>
                  <w:rFonts w:ascii="Times New Roman;sans-serif" w:hAnsi="Times New Roman;sans-serif"/>
                  <w:b/>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31">
              <w:r>
                <w:rPr>
                  <w:rStyle w:val="InternetLink"/>
                  <w:rFonts w:ascii="Times New Roman;sans-serif" w:hAnsi="Times New Roman;sans-serif"/>
                  <w:b/>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31">
              <w:r>
                <w:rPr>
                  <w:rStyle w:val="InternetLink"/>
                  <w:rFonts w:ascii="Times New Roman;sans-serif" w:hAnsi="Times New Roman;sans-serif"/>
                  <w:b w:val="false"/>
                  <w:strike w:val="false"/>
                  <w:dstrike w:val="false"/>
                  <w:color w:val="0000FF"/>
                  <w:sz w:val="20"/>
                  <w:u w:val="none"/>
                  <w:effect w:val="none"/>
                </w:rPr>
                <w:t>33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34">
              <w:r>
                <w:rPr>
                  <w:rStyle w:val="InternetLink"/>
                  <w:rFonts w:ascii="Times New Roman;sans-serif" w:hAnsi="Times New Roman;sans-serif"/>
                  <w:b/>
                  <w:color w:val="0000FF"/>
                  <w:sz w:val="20"/>
                  <w:u w:val="single"/>
                </w:rPr>
                <w:t>PART 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37">
              <w:r>
                <w:rPr>
                  <w:rStyle w:val="InternetLink"/>
                  <w:rFonts w:ascii="Times New Roman;sans-serif" w:hAnsi="Times New Roman;sans-serif"/>
                  <w:b/>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37">
              <w:r>
                <w:rPr>
                  <w:rStyle w:val="InternetLink"/>
                  <w:rFonts w:ascii="Times New Roman;sans-serif" w:hAnsi="Times New Roman;sans-serif"/>
                  <w:b/>
                  <w:color w:val="0000FF"/>
                  <w:sz w:val="20"/>
                  <w:u w:val="single"/>
                </w:rPr>
                <w:t>Market for Registrant's Common Equity, Related Stockholder Matters 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37">
              <w:r>
                <w:rPr>
                  <w:rStyle w:val="InternetLink"/>
                  <w:rFonts w:ascii="Times New Roman;sans-serif" w:hAnsi="Times New Roman;sans-serif"/>
                  <w:b w:val="false"/>
                  <w:strike w:val="false"/>
                  <w:dstrike w:val="false"/>
                  <w:color w:val="0000FF"/>
                  <w:sz w:val="20"/>
                  <w:u w:val="none"/>
                  <w:effect w:val="none"/>
                </w:rPr>
                <w:t>34</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40">
              <w:r>
                <w:rPr>
                  <w:rStyle w:val="InternetLink"/>
                  <w:rFonts w:ascii="Times New Roman;sans-serif" w:hAnsi="Times New Roman;sans-serif"/>
                  <w:b/>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40">
              <w:r>
                <w:rPr>
                  <w:rStyle w:val="InternetLink"/>
                  <w:rFonts w:ascii="Times New Roman;sans-serif" w:hAnsi="Times New Roman;sans-serif"/>
                  <w:b/>
                  <w:color w:val="0000FF"/>
                  <w:sz w:val="20"/>
                  <w:u w:val="single"/>
                </w:rPr>
                <w:t>[Reserved]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40">
              <w:r>
                <w:rPr>
                  <w:rStyle w:val="InternetLink"/>
                  <w:rFonts w:ascii="Times New Roman;sans-serif" w:hAnsi="Times New Roman;sans-serif"/>
                  <w:b w:val="false"/>
                  <w:strike w:val="false"/>
                  <w:dstrike w:val="false"/>
                  <w:color w:val="0000FF"/>
                  <w:sz w:val="20"/>
                  <w:u w:val="none"/>
                  <w:effect w:val="none"/>
                </w:rPr>
                <w:t>35</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43">
              <w:r>
                <w:rPr>
                  <w:rStyle w:val="InternetLink"/>
                  <w:rFonts w:ascii="Times New Roman;sans-serif" w:hAnsi="Times New Roman;sans-serif"/>
                  <w:b/>
                  <w:color w:val="0000FF"/>
                  <w:sz w:val="20"/>
                  <w:u w:val="single"/>
                </w:rPr>
                <w:t>Item 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43">
              <w:r>
                <w:rPr>
                  <w:rStyle w:val="InternetLink"/>
                  <w:rFonts w:ascii="Times New Roman;sans-serif" w:hAnsi="Times New Roman;sans-serif"/>
                  <w:b/>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43">
              <w:r>
                <w:rPr>
                  <w:rStyle w:val="InternetLink"/>
                  <w:rFonts w:ascii="Times New Roman;sans-serif" w:hAnsi="Times New Roman;sans-serif"/>
                  <w:b w:val="false"/>
                  <w:strike w:val="false"/>
                  <w:dstrike w:val="false"/>
                  <w:color w:val="0000FF"/>
                  <w:sz w:val="20"/>
                  <w:u w:val="none"/>
                  <w:effect w:val="none"/>
                </w:rPr>
                <w:t>36</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55">
              <w:r>
                <w:rPr>
                  <w:rStyle w:val="InternetLink"/>
                  <w:rFonts w:ascii="Times New Roman;sans-serif" w:hAnsi="Times New Roman;sans-serif"/>
                  <w:b/>
                  <w:color w:val="0000FF"/>
                  <w:sz w:val="20"/>
                  <w:u w:val="single"/>
                </w:rPr>
                <w:t>Item 7A.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55">
              <w:r>
                <w:rPr>
                  <w:rStyle w:val="InternetLink"/>
                  <w:rFonts w:ascii="Times New Roman;sans-serif" w:hAnsi="Times New Roman;sans-serif"/>
                  <w:b/>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55">
              <w:r>
                <w:rPr>
                  <w:rStyle w:val="InternetLink"/>
                  <w:rFonts w:ascii="Times New Roman;sans-serif" w:hAnsi="Times New Roman;sans-serif"/>
                  <w:b w:val="false"/>
                  <w:strike w:val="false"/>
                  <w:dstrike w:val="false"/>
                  <w:color w:val="0000FF"/>
                  <w:sz w:val="20"/>
                  <w:u w:val="none"/>
                  <w:effect w:val="none"/>
                </w:rPr>
                <w:t>52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58">
              <w:r>
                <w:rPr>
                  <w:rStyle w:val="InternetLink"/>
                  <w:rFonts w:ascii="Times New Roman;sans-serif" w:hAnsi="Times New Roman;sans-serif"/>
                  <w:b/>
                  <w:color w:val="0000FF"/>
                  <w:sz w:val="20"/>
                  <w:u w:val="single"/>
                </w:rPr>
                <w:t>Item 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58">
              <w:r>
                <w:rPr>
                  <w:rStyle w:val="InternetLink"/>
                  <w:rFonts w:ascii="Times New Roman;sans-serif" w:hAnsi="Times New Roman;sans-serif"/>
                  <w:b/>
                  <w:color w:val="0000FF"/>
                  <w:sz w:val="20"/>
                  <w:u w:val="single"/>
                </w:rPr>
                <w:t>Financial Statements and Supplementary Data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58">
              <w:r>
                <w:rPr>
                  <w:rStyle w:val="InternetLink"/>
                  <w:rFonts w:ascii="Times New Roman;sans-serif" w:hAnsi="Times New Roman;sans-serif"/>
                  <w:b w:val="false"/>
                  <w:strike w:val="false"/>
                  <w:dstrike w:val="false"/>
                  <w:color w:val="0000FF"/>
                  <w:sz w:val="20"/>
                  <w:u w:val="none"/>
                  <w:effect w:val="none"/>
                </w:rPr>
                <w:t>53</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78">
              <w:r>
                <w:rPr>
                  <w:rStyle w:val="InternetLink"/>
                  <w:rFonts w:ascii="Times New Roman;sans-serif" w:hAnsi="Times New Roman;sans-serif"/>
                  <w:b/>
                  <w:color w:val="0000FF"/>
                  <w:sz w:val="20"/>
                  <w:u w:val="single"/>
                </w:rPr>
                <w:t>Item 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78">
              <w:r>
                <w:rPr>
                  <w:rStyle w:val="InternetLink"/>
                  <w:rFonts w:ascii="Times New Roman;sans-serif" w:hAnsi="Times New Roman;sans-serif"/>
                  <w:b/>
                  <w:color w:val="0000FF"/>
                  <w:sz w:val="20"/>
                  <w:u w:val="single"/>
                </w:rPr>
                <w:t>Changes in and Disagreements With Accountants on Accounting and Financial Disclosure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178">
              <w:r>
                <w:rPr>
                  <w:rStyle w:val="InternetLink"/>
                  <w:rFonts w:ascii="Times New Roman;sans-serif" w:hAnsi="Times New Roman;sans-serif"/>
                  <w:b w:val="false"/>
                  <w:strike w:val="false"/>
                  <w:dstrike w:val="false"/>
                  <w:color w:val="0000FF"/>
                  <w:sz w:val="20"/>
                  <w:u w:val="none"/>
                  <w:effect w:val="none"/>
                </w:rPr>
                <w:t>96</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81">
              <w:r>
                <w:rPr>
                  <w:rStyle w:val="InternetLink"/>
                  <w:rFonts w:ascii="Times New Roman;sans-serif" w:hAnsi="Times New Roman;sans-serif"/>
                  <w:b/>
                  <w:color w:val="0000FF"/>
                  <w:sz w:val="20"/>
                  <w:u w:val="single"/>
                </w:rPr>
                <w:t>Item 9A.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81">
              <w:r>
                <w:rPr>
                  <w:rStyle w:val="InternetLink"/>
                  <w:rFonts w:ascii="Times New Roman;sans-serif" w:hAnsi="Times New Roman;sans-serif"/>
                  <w:b/>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181">
              <w:r>
                <w:rPr>
                  <w:rStyle w:val="InternetLink"/>
                  <w:rFonts w:ascii="Times New Roman;sans-serif" w:hAnsi="Times New Roman;sans-serif"/>
                  <w:b w:val="false"/>
                  <w:strike w:val="false"/>
                  <w:dstrike w:val="false"/>
                  <w:color w:val="0000FF"/>
                  <w:sz w:val="20"/>
                  <w:u w:val="none"/>
                  <w:effect w:val="none"/>
                </w:rPr>
                <w:t>96</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84">
              <w:r>
                <w:rPr>
                  <w:rStyle w:val="InternetLink"/>
                  <w:rFonts w:ascii="Times New Roman;sans-serif" w:hAnsi="Times New Roman;sans-serif"/>
                  <w:b/>
                  <w:color w:val="0000FF"/>
                  <w:sz w:val="20"/>
                  <w:u w:val="single"/>
                </w:rPr>
                <w:t>Item 9B.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84">
              <w:r>
                <w:rPr>
                  <w:rStyle w:val="InternetLink"/>
                  <w:rFonts w:ascii="Times New Roman;sans-serif" w:hAnsi="Times New Roman;sans-serif"/>
                  <w:b/>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184">
              <w:r>
                <w:rPr>
                  <w:rStyle w:val="InternetLink"/>
                  <w:rFonts w:ascii="Times New Roman;sans-serif" w:hAnsi="Times New Roman;sans-serif"/>
                  <w:b w:val="false"/>
                  <w:strike w:val="false"/>
                  <w:dstrike w:val="false"/>
                  <w:color w:val="0000FF"/>
                  <w:sz w:val="20"/>
                  <w:u w:val="none"/>
                  <w:effect w:val="none"/>
                </w:rPr>
                <w:t>96</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87">
              <w:r>
                <w:rPr>
                  <w:rStyle w:val="InternetLink"/>
                  <w:rFonts w:ascii="Times New Roman;sans-serif" w:hAnsi="Times New Roman;sans-serif"/>
                  <w:b/>
                  <w:color w:val="0000FF"/>
                  <w:sz w:val="20"/>
                  <w:u w:val="single"/>
                </w:rPr>
                <w:t>Item 9C.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87">
              <w:r>
                <w:rPr>
                  <w:rStyle w:val="InternetLink"/>
                  <w:rFonts w:ascii="Times New Roman;sans-serif" w:hAnsi="Times New Roman;sans-serif"/>
                  <w:b/>
                  <w:color w:val="0000FF"/>
                  <w:sz w:val="20"/>
                  <w:u w:val="single"/>
                </w:rPr>
                <w:t>Disclosure Regarding Foreign Jurisdictions that Prevent Inspections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187">
              <w:r>
                <w:rPr>
                  <w:rStyle w:val="InternetLink"/>
                  <w:rFonts w:ascii="Times New Roman;sans-serif" w:hAnsi="Times New Roman;sans-serif"/>
                  <w:b w:val="false"/>
                  <w:strike w:val="false"/>
                  <w:dstrike w:val="false"/>
                  <w:color w:val="0000FF"/>
                  <w:sz w:val="20"/>
                  <w:u w:val="none"/>
                  <w:effect w:val="none"/>
                </w:rPr>
                <w:t>97</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190">
              <w:r>
                <w:rPr>
                  <w:rStyle w:val="InternetLink"/>
                  <w:rFonts w:ascii="Times New Roman;sans-serif" w:hAnsi="Times New Roman;sans-serif"/>
                  <w:b/>
                  <w:color w:val="0000FF"/>
                  <w:sz w:val="20"/>
                  <w:u w:val="single"/>
                </w:rPr>
                <w:t>PART III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93">
              <w:r>
                <w:rPr>
                  <w:rStyle w:val="InternetLink"/>
                  <w:rFonts w:ascii="Times New Roman;sans-serif" w:hAnsi="Times New Roman;sans-serif"/>
                  <w:b/>
                  <w:color w:val="0000FF"/>
                  <w:sz w:val="20"/>
                  <w:u w:val="single"/>
                </w:rPr>
                <w:t>Item 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93">
              <w:r>
                <w:rPr>
                  <w:rStyle w:val="InternetLink"/>
                  <w:rFonts w:ascii="Times New Roman;sans-serif" w:hAnsi="Times New Roman;sans-serif"/>
                  <w:b/>
                  <w:color w:val="0000FF"/>
                  <w:sz w:val="20"/>
                  <w:u w:val="single"/>
                </w:rPr>
                <w:t>Directors, Executive Officers and Corporate Governance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193">
              <w:r>
                <w:rPr>
                  <w:rStyle w:val="InternetLink"/>
                  <w:rFonts w:ascii="Times New Roman;sans-serif" w:hAnsi="Times New Roman;sans-serif"/>
                  <w:b w:val="false"/>
                  <w:strike w:val="false"/>
                  <w:dstrike w:val="false"/>
                  <w:color w:val="0000FF"/>
                  <w:sz w:val="20"/>
                  <w:u w:val="none"/>
                  <w:effect w:val="none"/>
                </w:rPr>
                <w:t>98</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96">
              <w:r>
                <w:rPr>
                  <w:rStyle w:val="InternetLink"/>
                  <w:rFonts w:ascii="Times New Roman;sans-serif" w:hAnsi="Times New Roman;sans-serif"/>
                  <w:b/>
                  <w:color w:val="0000FF"/>
                  <w:sz w:val="20"/>
                  <w:u w:val="single"/>
                </w:rPr>
                <w:t>Item 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96">
              <w:r>
                <w:rPr>
                  <w:rStyle w:val="InternetLink"/>
                  <w:rFonts w:ascii="Times New Roman;sans-serif" w:hAnsi="Times New Roman;sans-serif"/>
                  <w:b/>
                  <w:color w:val="0000FF"/>
                  <w:sz w:val="20"/>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196">
              <w:r>
                <w:rPr>
                  <w:rStyle w:val="InternetLink"/>
                  <w:rFonts w:ascii="Times New Roman;sans-serif" w:hAnsi="Times New Roman;sans-serif"/>
                  <w:b w:val="false"/>
                  <w:strike w:val="false"/>
                  <w:dstrike w:val="false"/>
                  <w:color w:val="0000FF"/>
                  <w:sz w:val="20"/>
                  <w:u w:val="none"/>
                  <w:effect w:val="none"/>
                </w:rPr>
                <w:t>98</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99">
              <w:r>
                <w:rPr>
                  <w:rStyle w:val="InternetLink"/>
                  <w:rFonts w:ascii="Times New Roman;sans-serif" w:hAnsi="Times New Roman;sans-serif"/>
                  <w:b/>
                  <w:color w:val="0000FF"/>
                  <w:sz w:val="20"/>
                  <w:u w:val="single"/>
                </w:rPr>
                <w:t>Item 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199">
              <w:r>
                <w:rPr>
                  <w:rStyle w:val="InternetLink"/>
                  <w:rFonts w:ascii="Times New Roman;sans-serif" w:hAnsi="Times New Roman;sans-serif"/>
                  <w:b/>
                  <w:color w:val="0000FF"/>
                  <w:sz w:val="20"/>
                  <w:u w:val="single"/>
                </w:rPr>
                <w:t>Security Ownership of Certain Beneficial Owners and Management and Related Stockholder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199">
              <w:r>
                <w:rPr>
                  <w:rStyle w:val="InternetLink"/>
                  <w:rFonts w:ascii="Times New Roman;sans-serif" w:hAnsi="Times New Roman;sans-serif"/>
                  <w:b w:val="false"/>
                  <w:strike w:val="false"/>
                  <w:dstrike w:val="false"/>
                  <w:color w:val="0000FF"/>
                  <w:sz w:val="20"/>
                  <w:u w:val="none"/>
                  <w:effect w:val="none"/>
                </w:rPr>
                <w:t>98</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202">
              <w:r>
                <w:rPr>
                  <w:rStyle w:val="InternetLink"/>
                  <w:rFonts w:ascii="Times New Roman;sans-serif" w:hAnsi="Times New Roman;sans-serif"/>
                  <w:b/>
                  <w:color w:val="0000FF"/>
                  <w:sz w:val="20"/>
                  <w:u w:val="single"/>
                </w:rPr>
                <w:t>Item 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202">
              <w:r>
                <w:rPr>
                  <w:rStyle w:val="InternetLink"/>
                  <w:rFonts w:ascii="Times New Roman;sans-serif" w:hAnsi="Times New Roman;sans-serif"/>
                  <w:b/>
                  <w:color w:val="0000FF"/>
                  <w:sz w:val="20"/>
                  <w:u w:val="single"/>
                </w:rPr>
                <w:t>Certain Relationships and Related Transactions, and Director Independence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202">
              <w:r>
                <w:rPr>
                  <w:rStyle w:val="InternetLink"/>
                  <w:rFonts w:ascii="Times New Roman;sans-serif" w:hAnsi="Times New Roman;sans-serif"/>
                  <w:b w:val="false"/>
                  <w:strike w:val="false"/>
                  <w:dstrike w:val="false"/>
                  <w:color w:val="0000FF"/>
                  <w:sz w:val="20"/>
                  <w:u w:val="none"/>
                  <w:effect w:val="none"/>
                </w:rPr>
                <w:t>98</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205">
              <w:r>
                <w:rPr>
                  <w:rStyle w:val="InternetLink"/>
                  <w:rFonts w:ascii="Times New Roman;sans-serif" w:hAnsi="Times New Roman;sans-serif"/>
                  <w:b/>
                  <w:color w:val="0000FF"/>
                  <w:sz w:val="20"/>
                  <w:u w:val="single"/>
                </w:rPr>
                <w:t>Item 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205">
              <w:r>
                <w:rPr>
                  <w:rStyle w:val="InternetLink"/>
                  <w:rFonts w:ascii="Times New Roman;sans-serif" w:hAnsi="Times New Roman;sans-serif"/>
                  <w:b/>
                  <w:color w:val="0000FF"/>
                  <w:sz w:val="20"/>
                  <w:u w:val="single"/>
                </w:rPr>
                <w:t>Principal Accounting Fees and Services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205">
              <w:r>
                <w:rPr>
                  <w:rStyle w:val="InternetLink"/>
                  <w:rFonts w:ascii="Times New Roman;sans-serif" w:hAnsi="Times New Roman;sans-serif"/>
                  <w:b w:val="false"/>
                  <w:strike w:val="false"/>
                  <w:dstrike w:val="false"/>
                  <w:color w:val="0000FF"/>
                  <w:sz w:val="20"/>
                  <w:u w:val="none"/>
                  <w:effect w:val="none"/>
                </w:rPr>
                <w:t>98</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208">
              <w:r>
                <w:rPr>
                  <w:rStyle w:val="InternetLink"/>
                  <w:rFonts w:ascii="Times New Roman;sans-serif" w:hAnsi="Times New Roman;sans-serif"/>
                  <w:b/>
                  <w:color w:val="0000FF"/>
                  <w:sz w:val="20"/>
                  <w:u w:val="single"/>
                </w:rPr>
                <w:t>PART IV</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211">
              <w:r>
                <w:rPr>
                  <w:rStyle w:val="InternetLink"/>
                  <w:rFonts w:ascii="Times New Roman;sans-serif" w:hAnsi="Times New Roman;sans-serif"/>
                  <w:b/>
                  <w:color w:val="0000FF"/>
                  <w:sz w:val="20"/>
                  <w:u w:val="single"/>
                </w:rPr>
                <w:t>Item 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211">
              <w:r>
                <w:rPr>
                  <w:rStyle w:val="InternetLink"/>
                  <w:rFonts w:ascii="Times New Roman;sans-serif" w:hAnsi="Times New Roman;sans-serif"/>
                  <w:b/>
                  <w:color w:val="0000FF"/>
                  <w:sz w:val="20"/>
                  <w:u w:val="single"/>
                </w:rPr>
                <w:t>Exhibits, Financial Statement Schedules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211">
              <w:r>
                <w:rPr>
                  <w:rStyle w:val="InternetLink"/>
                  <w:rFonts w:ascii="Times New Roman;sans-serif" w:hAnsi="Times New Roman;sans-serif"/>
                  <w:b w:val="false"/>
                  <w:strike w:val="false"/>
                  <w:dstrike w:val="false"/>
                  <w:color w:val="0000FF"/>
                  <w:sz w:val="20"/>
                  <w:u w:val="none"/>
                  <w:effect w:val="none"/>
                </w:rPr>
                <w:t>99</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223">
              <w:r>
                <w:rPr>
                  <w:rStyle w:val="InternetLink"/>
                  <w:rFonts w:ascii="Times New Roman;sans-serif" w:hAnsi="Times New Roman;sans-serif"/>
                  <w:b/>
                  <w:color w:val="0000FF"/>
                  <w:sz w:val="20"/>
                  <w:u w:val="single"/>
                </w:rPr>
                <w:t>Item 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223">
              <w:r>
                <w:rPr>
                  <w:rStyle w:val="InternetLink"/>
                  <w:rFonts w:ascii="Times New Roman;sans-serif" w:hAnsi="Times New Roman;sans-serif"/>
                  <w:b/>
                  <w:color w:val="0000FF"/>
                  <w:sz w:val="20"/>
                  <w:u w:val="single"/>
                </w:rPr>
                <w:t>Form 10-K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223">
              <w:r>
                <w:rPr>
                  <w:rStyle w:val="InternetLink"/>
                  <w:rFonts w:ascii="Times New Roman;sans-serif" w:hAnsi="Times New Roman;sans-serif"/>
                  <w:b w:val="false"/>
                  <w:strike w:val="false"/>
                  <w:dstrike w:val="false"/>
                  <w:color w:val="0000FF"/>
                  <w:sz w:val="20"/>
                  <w:u w:val="none"/>
                  <w:effect w:val="none"/>
                </w:rPr>
                <w:t>103</w:t>
              </w:r>
            </w:hyperlink>
          </w:p>
        </w:tc>
      </w:tr>
    </w:tbl>
    <w:p>
      <w:pPr>
        <w:pStyle w:val="TextBody"/>
        <w:bidi w:val="0"/>
        <w:spacing w:before="16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for the fiscal year ended December 31, 2023 (the “Annual Report”) contains “forward-looking statements” within the meaning of the Securities Act of 1933, as amended (the "Securities Act"), and the Securities Exchange Act of 1934, as amended (the "Exchange Act").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“believes” and "forecasts" among others, generally identify forward-looking statements.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results could differ materially from those contained in the forward-looking statements. Factors currently known to management that could cause actual results to differ materially from those in forward-looking statements include those matters discussed below, including in Item 1A. Risk Factors.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Adverse conditions in the primary and secondary mortgage markets, as well as the general economy, have had and could continue to have a material adverse effect on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depend on the financial strength of our Network Partners and our relationships with them. Any adverse changes in these relationships could adversely affect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adverse changes in relationships with our Network Partners, or failure to meet certain metrics required by Network Partners, could adversely affect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Failure to maintain our reputation and brand recognition, or to attract and retain consumers in a cost-effective manner could materially and adversely affect our business and results of operations. As such, adverse publicity from litigation or governmental investigations could impact our business and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depend on search engines, online advertising and other online sources to attract visitors to our websites. If we are unable to attract these visitors and convert them into consumer requests for our Network Partners in a cost-effective manner, our business and financial results may be harmed.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rely on technology to operate our business and continue to implement substantial changes to our information systems. Any software development actions that intentionally or unintentionally prioritize client value and/or project restraints over more technical implementation and design considerations could result in disruptions to the Company information systems that could materially adversely affect our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Trends in the credit card industry, as well as the impact of the general economy on the ability of users to qualify for credit cards, could harm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the loan markets could harm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insurance business, QuoteWizard, is significant to our revenue, and operational issues in this business could have a material impact on our results of operations.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personal loan product is a key product within our Consumer segment. If lenders participating on our marketplace decide to reduce their offerings of personal loans or if such loans become unattractive to consumers because of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rates demanded by lenders or other reasons, then our results of operations and future growth prospects could be materially and adversely affected.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Some of our products are new to the market and may fail to achieve or maintain customer acceptance and profitability.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intended benefits of acquisitions may not be realized and acquisitions or strategic investments that we pursue may not be successful and could disrupt our business and harm our financial condition.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consumers do not find value in our Spring platform or other platforms or do not like the consumer experience on the platform, the number of matches on our platform may decline, which would harm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manage our people through the changes caused by economic challenges, our business and results of operations could be harmed.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rely on the performance of highly skilled personnel. If we are unable to attract, retain, develop and motivate well-qualified employees, our business and results of operations could be harmed.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significant portion of our total revenue has historically been derived from one Network Partner, and our results of operations could be adversely affected, if we lose significant business from this Network Partner.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participate in a highly competitive market and pressure from existing and new competitors may materially and adversely affect our business, results of operations and financial condition. If any of our competitors are more successful than we are at attracting and retaining customers or Network Partners, our business, financial condition and results of operations could be materially and adversely affected.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success depends, in part, on the integrity of our systems and infrastructures. System interruption and the lack of integration and redundancy in these systems and infrastructures may have a material and adverse impact on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Breaches or failures of our systems or website security, the theft, unauthorized access, acquisition, use, disclosure, modification or misappropriation of personal information, the occurrence of fraudulent activity, or other data security-related incidents may have a material and adverse impact on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Failure to comply with past, existing or new laws, rules and regulations, or to obtain and maintain required licenses, could materially and adversely affect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collection, use, storage, disclosure, transfer and other processing of personal information could give rise to significant costs and liabilities, including as a result of governmental regulation, conflicting legal requirements or differing views of personal privacy rights, which may have a material and adverse impact on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Failure to obtain proper business licenses or other documentation, or to otherwise comply with local laws and requirements regarding marketing, sales or services, may result in civil or criminal penalties and restrictions on our ability to conduct business in that jurisdiction.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Unanticipated changes in effective tax rates or adverse outcomes resulting from examination of our income or other tax returns could adversely affect our operating results and financial condition.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use our net operating loss carryforwards and certain other tax attributes may be limited.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become subject to intellectual property disputes, which are costly and may subject us to significant liability and increased costs of doing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fail to adequately obtain, maintain, enforce and protect our intellectual property and similar proprietary rights or may be accused of infringing, misappropriating or otherwise violating intellectual property or similar proprietary rights of third parties.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ordinary course of business, we are party to litigation involving contract, intellectual property and a variety of other claims, which could adversely affect our business and financial condition.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our Network Partners fail to produce required documents for examination by, or other affiliated parties fail to make certain filings with, state regulators, we may be subject to fines, forfeitures and the revocation of required licenses.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possibility of additional future regulations, changing rule interpretations and examinations by regulatory agencies may result in more stringent compliance standards and could adversely affect the results of our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Fluctuations in our operating results, quarter to quarter earnings and other factors may result in significant decreases in the price of our common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One holder of our common stock owns a substantial portion of our outstanding common stock, which concentrates voting control and limits your ability to influence corporate matters.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financial results fluctuate as a result of seasonality, which may make it difficult to predict our future performance and may adversely affect our common stock price.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conditional conversion feature of our outstanding convertible senior notes, if triggered, may adversely affect our financial condition and operating results.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may not have the ability to pay off the Notes with our current cash and future cash flow, combined with our borrowing capacity under our current Credit Facility, or raise the funds necessary to pay off the Notes upon their maturity in July 2025.</w:t>
      </w:r>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hedge and warrant transactions may affect the value of the Notes and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pPr>
      <w:r>
        <w:rPr>
          <w:rFonts w:ascii="Times New Roman;sans-serif" w:hAnsi="Times New Roman;sans-serif"/>
          <w:b/>
          <w:color w:val="000000"/>
          <w:sz w:val="20"/>
        </w:rPr>
        <w:t>ITEM 1.  </w:t>
      </w:r>
      <w:r>
        <w:rPr>
          <w:rFonts w:ascii="Times New Roman;sans-serif" w:hAnsi="Times New Roman;sans-serif"/>
          <w:b/>
          <w:i/>
          <w:color w:val="000000"/>
          <w:sz w:val="20"/>
        </w:rPr>
        <w:t>Business</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Our Company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 Inc. (“LendingTree”, the “Company”, “we” or “us”) operates what we believe to be the leading online consumer platform that connects consumers with the choices they need to be confident in their financial decisions. Through multiple branded marketplaces, LendingTree empowers consumers to shop for financial services the same way they would shop for airline tickets or hotel stays, comparing multiple offers from a nationwide network of approximately 500 partners (which we refer to as “Network Partners”) in one simple search, and choose the option that best fits their financial needs. Services include mortgage loans, mortgage refinances, home equity loans and lines of credit, auto loans, credit cards, deposit accounts, personal loans, student loans, small business loans, insurance quotes, sales of insurance policies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product(s) they are seeking. We believe our platform, consisting of a deep network of Network Partners across a broad array of financial products, differentiates us from other loan or insurance comparison-shopping marketplaces which may focus on fewer product offerings or partner with fewer service providers.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strategically designed and executed advertising and marketing campaigns (which we refer to as “performance marketing”) span a wide array of digital and traditional media acquisition channels and promote our LendingTree and other brands and product offerings. Our marketing efforts are designed to attract consumers to our websites, mobile applications and toll-free telephone numbers. Interested consumers complete inquiry forms, providing detailed information about themselves and the loans or other offerings they are seeking. We refer to such consumer inquiries as “consumer requests”. We then match these consumer requests with Network Partners in our marketplace that are seeking to serve these consumers' needs. We generate revenue from our Network Partners, generally at the time of transmitting a consumer request to them, in the form of a match fee. In certain instances outside our mortgage business we charge other kinds of fees, such as closed loan or closed sale fees. In addition to our primary consumer request data referral business, we also match consumers with Network Partners by offering consumers the ability to click from our website to a Network Partner’s website or by calls for which Network Partners pay either front-end or back-end fees.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continually working to improve the consumer experience. We have made investments in technologically-adept personnel and we use in-market real-time testing to improve our digital platforms. Additionally, we work with our Network Partners, including providing training and other resources, to improve the consumer experience throughout the process. Further, we have been building and improving our Spring platform (previously MyLendingTree), which provides a relationship-based consumer experience, rather than just a transaction-based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Evolution and Future Growth of 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its inception, our original business was to serve consumers seeking home mortgage loans by matching them with various lenders. We launched the LendingTree brand nationally in 1998 and, over the last twenty-plus years, we have invested significantly in this brand to gain widespread consumer recognition.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2012, we have actively sought to expand the suite of financial services offerings we provide to consumers, in order to both leverage the applicability of the LendingTree brand as well as more fully serve the needs of consumers and Network Partners. We believe that consumers with existing LendingTree-branded associations will be more likely to utilize our other service offerings than those of other providers whose brands consumers may not recognize.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Spring platform (previously called MyLendingTree) offers a personalized comparison-shopping experience, financial health advice and credit simulations by providing free access to credit scores and credit score analysis. This authenticated and secure platform enables us to monitor consumers' credit profiles, identify and alert them to changes in their financial health, and to recommend loans and other offerings on our marketplace that may be more favorable than the terms they have at a given point in time. Customers can track the progress of their financial health over time based on actions they have taken, and see recommended credit score improvement actions, loans or other products offered by LendingTree.</w:t>
      </w:r>
    </w:p>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By expanding our portfolio of financial services offerings, we are growing and diversifying our business and sources of revenue. We intend to capitalize on our expertise in performance marketing, product development and technology by leveraging the widespread recognition of the LendingTree brand.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consumer and small business financial services industry is in the middle stages of a fundamental shift to online product offerings, similar to the shift that started in retail and travel many years ago and is now well established. We believe that, like retail and travel, financial services consumers will continue to move towards online shopping and transactions in response to which suppliers will increasingly shift their product offerings and advertising budgets toward the online channel. We believe the strength of our brands and of our Network Partners places us in a strong position to continue to benefit from this market shift.</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Economic Conditions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monitor the current global economic environment, specifically inflationary pressures and interest rates, and any resulting impacts on our financial position and results of operations.</w:t>
      </w:r>
    </w:p>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the challenging interest rate environment and persistent inflationary pressures presented challenges for many of our mortgage lending and insurance partners. We saw the most significant impact in our Home segment as mortgage rates nearly doubled in 2022, causing a sharp decline in refinance volumes and pressure on purchase activity. Although our Insurance segment rebounded from the trough in the fourth quarter of 2021, the recovery was slower than expected as demand from our carrier partners remained volatile as they continued to attempt to implement premium increases to offset the effect of inflation on claims. In addition, the auto and home insurance industry was impacted in 2022 by persistent industry headwinds, supply chain issues, rising accident severity and frequency, and hurricane losses.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challenging interest rate environment and inflationary pressures have continued to present challenges for many of our mortgage lending and insurance partners. In our Home segment, mortgage rates hit multi-decade highs of nearly 8% in October, then proceeded to drop below 7% by December, ending the year at 6.6%. The continued high mortgage rates in 2023 and home affordability issues continued to cause declines in refinance volumes and purchase activity. In our Insurance segment, demand from our carrier partners remained volatile for much of the year as they continued to deal with persistent industry headwinds. In the last months of 2023, we began to see advertising budgets from our carrier partners increase and we are optimistic about the prospect for continued increases into 2024.</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three reportable segments: Home, Consumer, and Insurance.</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Products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Home segment includes the following products: purchase mortgage, refinance mortgage, and home equity loans and lines of credit. Our Consumer segment includes the following products: credit cards, personal loans, small business loans, student loans, auto loans, deposit accounts, and other credit products such as debt settlement. We ceased offering reverse mortgage loans on our marketplace in the fourth quarter of 2022. We ceased offering credit repair products at the end of the second quarter of 2023 when we shut-down our Ovation business. Our Insurance segment consists of insurance quote products and insurance policies in our agency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Segment revenue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5637" w:type="dxa"/>
        <w:jc w:val="left"/>
        <w:tblInd w:w="0" w:type="dxa"/>
        <w:tblLayout w:type="fixed"/>
        <w:tblCellMar>
          <w:top w:w="28" w:type="dxa"/>
          <w:left w:w="28" w:type="dxa"/>
          <w:bottom w:w="28" w:type="dxa"/>
          <w:right w:w="28" w:type="dxa"/>
        </w:tblCellMar>
      </w:tblPr>
      <w:tblGrid>
        <w:gridCol w:w="470"/>
        <w:gridCol w:w="414"/>
        <w:gridCol w:w="421"/>
        <w:gridCol w:w="211"/>
        <w:gridCol w:w="841"/>
        <w:gridCol w:w="109"/>
        <w:gridCol w:w="109"/>
        <w:gridCol w:w="109"/>
        <w:gridCol w:w="109"/>
        <w:gridCol w:w="211"/>
        <w:gridCol w:w="841"/>
        <w:gridCol w:w="109"/>
        <w:gridCol w:w="109"/>
        <w:gridCol w:w="109"/>
        <w:gridCol w:w="109"/>
        <w:gridCol w:w="211"/>
        <w:gridCol w:w="991"/>
        <w:gridCol w:w="154"/>
      </w:tblGrid>
      <w:tr>
        <w:trPr/>
        <w:tc>
          <w:tcPr>
            <w:tcW w:w="4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3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672,502</w:t>
            </w:r>
            <w:r>
              <w:rPr>
                <w:color w:val="000000"/>
              </w:rPr>
              <w:t> </w:t>
            </w:r>
          </w:p>
        </w:tc>
        <w:tc>
          <w:tcPr>
            <w:tcW w:w="1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984,992</w:t>
            </w:r>
            <w:r>
              <w:rPr>
                <w:color w:val="000000"/>
              </w:rPr>
              <w:t> </w:t>
            </w:r>
          </w:p>
        </w:tc>
        <w:tc>
          <w:tcPr>
            <w:tcW w:w="1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1,098,499</w:t>
            </w:r>
            <w:r>
              <w:rPr>
                <w:color w:val="000000"/>
              </w:rPr>
              <w:t> </w:t>
            </w:r>
          </w:p>
        </w:tc>
        <w:tc>
          <w:tcPr>
            <w:tcW w:w="154"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 does not charge consumers for the use of our services. Revenues from our Home products are mostly derived from upfront match fees paid by Network Partners that receive a consumer request, and in some cases upfront fees for clicks or call transfers. Because a given consumer request form can be matched with more than one Network Partner, up to five match fees may be generated from a single consumer request form. Revenues from our Consumer products are generally derived from upfront match fees paid on delivery of a consumer request, click or call and closed loan fees. For our credit card product, we send click traffic to issuers and are generally paid per card approval. Revenues from our Insurance products are primarily derived from upfront match fees, and upfront fees for website clicks or fees for calls, earned through the delivery of consumer requests, as well as commissions earned on policy sales in our agency businesses.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2022 and 2021 no Network Partners accounted for more than 10% of total consolidated revenue. </w:t>
      </w:r>
    </w:p>
    <w:p>
      <w:pPr>
        <w:pStyle w:val="TextBody"/>
        <w:bidi w:val="0"/>
        <w:spacing w:lineRule="auto" w:line="288" w:before="24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Home Segment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partner with lenders throughout the United States to provide full geographic lending coverage and to offer a complete suite of loan offerings on our marketplace. To participate on our marketplace, lenders are required to enter into contracts with us that state the terms and conditions for such participation, although these contracts generally may be terminated for convenience by either party. We perform certain due diligence procedures on prospective new lenders, including screening against a national anti-fraud database maintained by the Mortgage Asset Research Institute, which helps manage our risk exposure. The data is utilized to determine whether a lender and its principals are eligible to participate on our marketplace and have not been convicted of and/or penalized for fraudulent activity.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Consumers seeking purchase or refinance mortgages through our loan marketplace can receive multiple conditional loan offers from participating lenders in response to a single consumer request form. We refer to the process by which we match consumers and Network Partners as the “matching process”. This matching process consists of the following steps:</w:t>
      </w:r>
    </w:p>
    <w:p>
      <w:pPr>
        <w:pStyle w:val="TextBody"/>
        <w:bidi w:val="0"/>
        <w:spacing w:lineRule="auto" w:line="288" w:before="0" w:after="120"/>
        <w:ind w:left="0" w:right="0" w:hanging="360"/>
        <w:jc w:val="both"/>
        <w:rPr/>
      </w:pPr>
      <w:r>
        <w:rPr>
          <w:rFonts w:ascii="Times New Roman;sans-serif" w:hAnsi="Times New Roman;sans-serif"/>
          <w:b/>
          <w:color w:val="000000"/>
          <w:sz w:val="20"/>
        </w:rPr>
        <w:t>(1)Consumer Request.</w:t>
      </w:r>
      <w:r>
        <w:rPr>
          <w:color w:val="000000"/>
        </w:rPr>
        <w:t>  </w:t>
      </w:r>
      <w:r>
        <w:rPr>
          <w:rFonts w:ascii="Times New Roman;sans-serif" w:hAnsi="Times New Roman;sans-serif"/>
          <w:b w:val="false"/>
          <w:color w:val="000000"/>
          <w:sz w:val="20"/>
        </w:rPr>
        <w:t>Consumers complete a single request form with information regarding the type of mortgage loan product they are seeking, loan preferences and other data. Consumers also consent to a soft inquiry regarding their credit and to have lenders contact them.</w:t>
      </w:r>
    </w:p>
    <w:p>
      <w:pPr>
        <w:pStyle w:val="TextBody"/>
        <w:bidi w:val="0"/>
        <w:spacing w:lineRule="auto" w:line="288" w:before="0" w:after="120"/>
        <w:ind w:left="0" w:right="0" w:hanging="360"/>
        <w:jc w:val="both"/>
        <w:rPr/>
      </w:pPr>
      <w:r>
        <w:rPr>
          <w:rFonts w:ascii="Times New Roman;sans-serif" w:hAnsi="Times New Roman;sans-serif"/>
          <w:b/>
          <w:color w:val="000000"/>
          <w:sz w:val="20"/>
        </w:rPr>
        <w:t>(2)Consumer Request Form Matching and Transmission.</w:t>
      </w:r>
      <w:r>
        <w:rPr>
          <w:color w:val="000000"/>
        </w:rPr>
        <w:t>  </w:t>
      </w:r>
      <w:r>
        <w:rPr>
          <w:rFonts w:ascii="Times New Roman;sans-serif" w:hAnsi="Times New Roman;sans-serif"/>
          <w:b w:val="false"/>
          <w:color w:val="000000"/>
          <w:sz w:val="20"/>
        </w:rPr>
        <w:t>Our proprietary systems and technology match a given consumer’s request form data, credit profile and geographic location against certain pre-established criteria of Network Partners, which may be modified from time to time. Once a given request passes through the matching process, the request is automatically transmitted to up to five participating Network Partners.</w:t>
      </w:r>
    </w:p>
    <w:p>
      <w:pPr>
        <w:pStyle w:val="TextBody"/>
        <w:bidi w:val="0"/>
        <w:spacing w:lineRule="auto" w:line="288" w:before="0" w:after="120"/>
        <w:ind w:left="0" w:right="0" w:hanging="360"/>
        <w:jc w:val="both"/>
        <w:rPr/>
      </w:pPr>
      <w:r>
        <w:rPr>
          <w:rFonts w:ascii="Times New Roman;sans-serif" w:hAnsi="Times New Roman;sans-serif"/>
          <w:b/>
          <w:color w:val="000000"/>
          <w:sz w:val="20"/>
        </w:rPr>
        <w:t>(3)Lender Evaluation and Response.</w:t>
      </w:r>
      <w:r>
        <w:rPr>
          <w:color w:val="000000"/>
        </w:rPr>
        <w:t>  </w:t>
      </w:r>
      <w:r>
        <w:rPr>
          <w:rFonts w:ascii="Times New Roman;sans-serif" w:hAnsi="Times New Roman;sans-serif"/>
          <w:b w:val="false"/>
          <w:color w:val="000000"/>
          <w:sz w:val="20"/>
        </w:rPr>
        <w:t xml:space="preserve">Network Partners that receive a consumer request form evaluate the information contained in it to determine whether to make a conditional loan offer. </w:t>
      </w:r>
    </w:p>
    <w:p>
      <w:pPr>
        <w:pStyle w:val="TextBody"/>
        <w:bidi w:val="0"/>
        <w:spacing w:lineRule="auto" w:line="288" w:before="0" w:after="120"/>
        <w:ind w:left="0" w:right="0" w:hanging="360"/>
        <w:jc w:val="both"/>
        <w:rPr/>
      </w:pPr>
      <w:r>
        <w:rPr>
          <w:rFonts w:ascii="Times New Roman;sans-serif" w:hAnsi="Times New Roman;sans-serif"/>
          <w:b/>
          <w:color w:val="000000"/>
          <w:sz w:val="20"/>
        </w:rPr>
        <w:t>(4)Communication of a Conditional Offer.</w:t>
      </w:r>
      <w:r>
        <w:rPr>
          <w:color w:val="000000"/>
        </w:rPr>
        <w:t>  </w:t>
      </w:r>
      <w:r>
        <w:rPr>
          <w:rFonts w:ascii="Times New Roman;sans-serif" w:hAnsi="Times New Roman;sans-serif"/>
          <w:b w:val="false"/>
          <w:color w:val="000000"/>
          <w:sz w:val="20"/>
        </w:rPr>
        <w:t xml:space="preserve">All matched Network Partners and any conditional offers are presented to the consumer upon completion of the consumer request form. Consumers can return to the site and view their offer(s) at any time by logging in to their Spring profile. Additionally, matched lenders and offers are also sent to the email address associated with the consumer request.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offer matches to providers of other Home lending products on our online marketplace include the following: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Home equity loans and lines of credit, which enable home owners to borrow against the equity in their home, as measured by the difference between the market value of the home and any existing loans secured by the home. Home equity loans are one-time lump sum loans, whereas a home equity line of credit reflects a line of revolving credit where the borrower has flexibility to draw down and repay the line over time.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Reverse mortgage loans, which were loan products available to qualifying homeowners age 62 or older. We ceased offering matches to providers of reverse mortgage loans in the fourth quarter of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Consumer Segment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Consumer lending products on our online marketplace include information, tools and access to multiple conditional loan offers for the following: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Auto, which includes our auto refinance and purchase loan products. Auto loans enable consumers to purchase new or used vehicles or refinance an existing loan secured by an automobile.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Credit cards, which include offerings from most major card issuers.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Personal loans, which are typically unsecured obligations generally carrying shorter terms and smaller loan amounts than home mortgages.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Small business loans, which include a broad array of financing types including, but not limited to, loans secured by working capital, equipment, real estate and other forms of financing, provided to small and medium-sized businesses.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Student loans, which includes both new loans to finance education and related expenses, as well as refinancing of existing loans.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Non-lending Consumer products also includes information, tools and access to the following: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Deposit accounts, through which consumers can access depository deals and analysis covering all major deposit product categories.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Credit repair, through which consumers can obtain assistance improving their credit profiles, in order to expand and improve loan and other financial product opportunities available to them. We ceased offering credit repair products at the end of the second quarter of 2023 when we shut-down our Ovation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Debt relief services, through which consumers can obtain assistance negotiating existing loans.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refer to the various purchasers of leads from our other marketplaces as lead purchasers. We generate revenue from the deposit account product when a consumer clicks from our website through to a financial institution's website. We generate revenue from debt relief services through a fee for a customer referral to a service provider partner or through a fee at the time a consumer enrolls in a program with one of our Network Partners.</w:t>
      </w:r>
    </w:p>
    <w:p>
      <w:pPr>
        <w:pStyle w:val="TextBody"/>
        <w:bidi w:val="0"/>
        <w:spacing w:lineRule="auto" w:line="288" w:before="24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Insurance Segment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segment includes information, tools and access to insurance quote products, including automobile, home, health and Medicare, through which consumers are matched with insurance lead aggregators to obtain insurance offers, as well as insurance policies in our agency businesses. Our QuoteWizard business is one of the largest insurance comparison marketplaces in the growing online insurance advertising market. ValuePenguin, a personal finance website that offers consumers objective analysis on a variety of financial topics from insurance to credit cards, is also part of our Insurance segment.</w:t>
      </w:r>
    </w:p>
    <w:p>
      <w:pPr>
        <w:pStyle w:val="TextBody"/>
        <w:bidi w:val="0"/>
        <w:spacing w:lineRule="auto" w:line="288" w:before="2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adding new offerings for consumers, small businesses and Network Partners on our online marketplace, in order to grow and diversify our sources of revenue. We may develop such new offerings through internal product development efforts, strategic business relationships with third parties and/or acquisitions.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our Home segment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 However, in certain historical periods additional factors affecting the mortgage and real estate markets, such as the current high interest rate economic period, the 2008-2009 financial crisis and related recession as well as the economic conditions related to the COVID-19 pandemic, have impacted customary seasonal trends.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personal loan product experiences less consumer demand during the fourth and first quarters of each year. We also anticipate less consumer demand for credit cards in the fourth quarter of each year, and we anticipate higher consumer demand for deposit accounts in the first quarter of each year. The majority of consumer demand for in-school student loan products occurs in the third quarter coinciding with collegiate enrollment in late summer. Other factors affecting our businesses include macro factors such as credit availability in the market, interest rates, inflation, the strength of the economy and employment.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compete with other online marketing companies, including online intermediaries that operate network-type arrangements. We also face competition from lenders and insurance agents that source consumers directly. These companies typically operate consumer-branded websites and attract consumers via online banner ads, keyword placement on search engines, direct mail, television ads, retail branches, realtors, brokers, radio and other sources, partnerships with affiliates and business development arrangements with others, including major online portals.</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Corporate History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LendingTree, Inc. is the parent of LT Intermediate Company, LLC, which holds all of the outstanding ownership interests of LendingTree, LLC. LendingTree, LLC also owns several companies. LendingTree, Inc. was incorporated in the state of Delaware in June 1996 and commenced nationwide operations in July 1998.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May 2003, IAC/InterActiveCorp (“IAC”) acquired LendingTree, LLC, which at the time of the acquisition was known as LendingTree, Inc. Following the acquisition, in December 2004, IAC converted LendingTree, Inc. to a Delaware limited liability company, LendingTree, LLC.</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2008, IAC formed Tree.com, Inc. (now known as LendingTree, Inc.), a Delaware corporation, which held all of the ownership interests of LendingTree, LLC. In August 2008, Tree.com Inc., including its wholly-owned subsidiary, LendingTree, LLC, was spun off from IAC and became the separately publicly-traded company that we are today.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2015, we changed our name from Tree.com, Inc. to LendingTree, Inc.</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Regulation and Legal Compliance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provide services in heavily regulated industries through a number of different online and offline channels across the United States. As a result, we are subject to a variety of federal and state laws and regulations, including: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Truth-in-Lending Act, the Equal Credit Opportunity Act, the Fair Credit Reporting Act, Fair and Accurate Credit Transactions Act of 2003 (“FACTA”), the Fair Housing Act, the Real Estate Settlement Procedures Act (“RESPA”), and similar state laws, all of which place certain restrictions on the manner in which consumer loans are marketed and originated, and some of which impose restrictions on the amount and nature of fees that may be charged to lenders and real estate professionals for providing or obtaining consumer loan requests.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Dodd-Frank Wall Street Reform and Consumer Protection Act, which imposes, among other things, limitations on fees charged by mortgage lenders, and requirements related to mortgage disclosures.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Federal and state licensing laws.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Federal and state laws, which impose restrictions on activities conducted through telephone, mail, email, mobile device or the Internet, including the Telemarketing Sales Rule (“TSR”), the Telephone Consumer Protection Act (“TCPA”), the Controlling the Assault of Non-Solicited Pornography and Marketing Act of 2003 (“CAN-SPAM”) and the Federal Trade Commission Act.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Federal and state laws and regulations relating to data privacy and security, including the Gramm-Leach-Bliley Act (“GLBA”), which may impact how we collect, use, store, share and otherwise process personal information of consumers and other individuals.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See “Risk Factors—Risks Related to Legal, Compliance and Regulations” for additional information and a discussion of our regulatory risks.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intellectual property and proprietary rights are vital to our success. To protect our intellectual property and proprietary rights in our brand, technology, products, services, data, improvements and inventions, we rely on a combination of patent, trademark, copyright, trade secret, and other laws, as well as contractual restrictions on disclosure, such as confidentiality agreements with strategic partners, employees, consultants and other third parties. However, we cannot guarantee that such laws or contractual restrictions will provide us with sufficient protection or that we have entered into confidentiality agreements with each party that has or may have had access to our confidential or proprietary information, know-how or trade secrets.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develop or identify new or improved proprietary technologies, we seek patent protection in the United States and abroad, as appropriate. As of December 31, 2023, we owned one (1) issued U.S. patent related to the system and method for collecting financial information over a global communications network, that expires in 2032. We also owned one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provisional U.S. patent related to systems and methods for optimizing software development and testing that expired on January 30,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services are offered under proprietary trademarks and service marks. We believe that our LendingTree trademark, which is applied to all of our services, including our acquired businesses, creates positive responses in network partners and consumers. We generally apply to register or secure by contract our principal trademarks and service marks as they are developed and used. As of December 31, 2023, we owned 60 trademarks and service marks, 53 of which are registered with the United States Patent and Trademark Office (“USPTO”), and seven of which have applications pending with the USPTO but have not yet been registered. These registrations can typically be renewed at 10-year intervals.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reserve and register domain names when and where we deem appropriate. As of December 31, 2023, we owned approximately 1,550 registered domain names. We also have agreements with third parties that provide for the licensing of patented, copyrighted and other proprietary technology used in 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significantly depends on our ability to obtain, maintain, enforce and protect our intellectual property and proprietary rights and operate our business without infringing, misappropriating or otherwise violating any intellectual property or proprietary rights of third parties. However, there can be no assurance that our efforts will be successful. Even if our efforts are successful, we may incur significant costs in defending our intellectual property and proprietary rights or combatting allegations by third parties. From time to time, we may be subject to legal proceedings or claims, or threatened legal proceedings or claims, including allegations of infringement, misappropriation or other violations of third-party patents, trademarks, copyrights, trade secrets or other intellectual property or proprietary rights of third parties. In addition, the use of litigation and other dispute resolution processes, such as Uniform Domain Name Dispute Resolution, may be necessary for us to enforce our intellectual property rights, including our trade secrets, or to determine the validity and scope of intellectual property or proprietary rights claimed by others. See “Risk Factors” for a more comprehensive description of risks related to our intellectual property.</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investing in our employees, and nurturing an entrepreneurial and dynamic work environment. We achieve this through dedication to our core principles which include: building truly outstanding products, being open and candid, acting with urgency and creativity, taking charge, setting goals and being accountable, and committing to excellence. Employees are stockholders of the Company, allowing them to take charge and have a direct impact on company choices. We provide individual, career and leadership development opportunities to strengthen skills. We have implemented strong policies and practices to foster a safe and inclusive workplace allowing employees to develop and reach their full potential, and although our employees hold many values in common, our leadership team actively works to attract, develop, and retain talent from a range of backgrounds and experiences in order to benefit from diverse perspectives. The Company and our employees are committed to helping our communities thrive through a variety of Company-sponsored annual and ongoing community outreach efforts.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870 employees, of which approximately 860 are full-time and 10 are temporary or part-time. None of our employees are represented under collective bargaining agreements and we consider our relations with employees and independent contractors to be good.</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Website and Public Filings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We maintain a corporate website at </w:t>
      </w:r>
      <w:r>
        <w:rPr>
          <w:rFonts w:ascii="Times New Roman;sans-serif" w:hAnsi="Times New Roman;sans-serif"/>
          <w:b w:val="false"/>
          <w:i/>
          <w:color w:val="000000"/>
          <w:sz w:val="20"/>
        </w:rPr>
        <w:t>www.lendingtree.com</w:t>
      </w:r>
      <w:r>
        <w:rPr>
          <w:color w:val="000000"/>
        </w:rPr>
        <w:t xml:space="preserve"> </w:t>
      </w:r>
      <w:r>
        <w:rPr>
          <w:rFonts w:ascii="Times New Roman;sans-serif" w:hAnsi="Times New Roman;sans-serif"/>
          <w:b w:val="false"/>
          <w:color w:val="000000"/>
          <w:sz w:val="20"/>
        </w:rPr>
        <w:t xml:space="preserve">and an investor relations website at </w:t>
      </w:r>
      <w:r>
        <w:rPr>
          <w:rFonts w:ascii="Times New Roman;sans-serif" w:hAnsi="Times New Roman;sans-serif"/>
          <w:b w:val="false"/>
          <w:i/>
          <w:color w:val="000000"/>
          <w:sz w:val="20"/>
        </w:rPr>
        <w:t>investors.lendingtree.com</w:t>
      </w:r>
      <w:r>
        <w:rPr>
          <w:rFonts w:ascii="Times New Roman;sans-serif" w:hAnsi="Times New Roman;sans-serif"/>
          <w:b w:val="false"/>
          <w:color w:val="000000"/>
          <w:sz w:val="20"/>
        </w:rPr>
        <w:t>. None of the information on or accessible through our websites is incorporated by reference in this report, or in any other filings with, or in any information furnished or submitted to, the Securities and Exchange Commission (the “SEC”).</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We make available, free of charge through our website, our Annual Reports on Form 10-K, our Quarterly Reports on Form 10-Q, our Current Reports on Form 8-K, our proxy statement for our annual shareholders' meeting and beneficial ownership reports on Forms 3, 4 and 5 as soon as reasonably practicable after we file such material with, or furnish such material to, the SEC. Our filings with the SEC are available to the public at the SEC's website at </w:t>
      </w:r>
      <w:r>
        <w:rPr>
          <w:rFonts w:ascii="Times New Roman;sans-serif" w:hAnsi="Times New Roman;sans-serif"/>
          <w:b w:val="false"/>
          <w:i/>
          <w:color w:val="000000"/>
          <w:sz w:val="20"/>
        </w:rPr>
        <w:t>www.sec.gov</w:t>
      </w:r>
      <w:r>
        <w:rPr>
          <w:rFonts w:ascii="Times New Roman;sans-serif" w:hAnsi="Times New Roman;sans-serif"/>
          <w:b w:val="false"/>
          <w:color w:val="000000"/>
          <w:sz w:val="20"/>
        </w:rPr>
        <w:t>.</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code of business conduct and ethics, which applies to all employees, including all executive officers and senior financial officers and directors, is posted on the investor relations section of our website. Any amendments to or waivers of the code of business conduct and ethics that are of the type described in Item 406(b) and (d) of Regulation S-K will be disclosed on our website or in public filings to the extent required by the applicable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120"/>
        <w:jc w:val="left"/>
        <w:rPr/>
      </w:pPr>
      <w:r>
        <w:rPr>
          <w:rFonts w:ascii="Times New Roman;sans-serif" w:hAnsi="Times New Roman;sans-serif"/>
          <w:b/>
          <w:color w:val="000000"/>
          <w:sz w:val="20"/>
        </w:rPr>
        <w:t>ITEM 1A.  </w:t>
      </w:r>
      <w:r>
        <w:rPr>
          <w:rFonts w:ascii="Times New Roman;sans-serif" w:hAnsi="Times New Roman;sans-serif"/>
          <w:b/>
          <w:i/>
          <w:color w:val="000000"/>
          <w:sz w:val="20"/>
        </w:rPr>
        <w:t>Risk Factors</w:t>
      </w:r>
    </w:p>
    <w:p>
      <w:pPr>
        <w:pStyle w:val="TextBody"/>
        <w:bidi w:val="0"/>
        <w:spacing w:lineRule="auto" w:line="288" w:before="24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 Factors</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Before making an investment decision, you should carefully consider the risks described below, together with all of the other information included in this annual report and the information incorporated by reference herein. If any of the risks described below, or incorporated by reference into this annual report actually occur, our business, financial condition or results of operations could suffer. In that case, the trading price of our common stock may decline and you may lose all or part of your investment. The risks and uncertainties we have described are not the only ones we face. Additional risks and uncertainties not presently known to us or that we currently deem immaterial may also affect our business, financial condition and results of operations. Certain statements below are forward-looking statements. See the information included under the heading “Cautionary Statement Regarding Forward-Looking Information” included elsewhere in this annual report.</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Adverse conditions in the primary and secondary mortgage markets, as well as the general economy, have had and could continue to have a material adverse effect on our business, financial condition and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Constraints in the primary and secondary mortgage markets in the past have had, and may continue to have, an adverse effect on our business, financial condition and results of operations. Generally, increases in interest rates adversely affect the ability of our mortgage Network Partners to close loans, and adverse economic trends limit the ability of our mortgage Network Partners to offer home loans other than low-margin conforming loans. Our businesses have experienced, and will likely continue to experience a decline in demand for their offerings due to decreased consumer demand as a result of the conditions described above, now or in the future. The high interest rates in 2022 and 2023 and home affordability significantly impacted our mortgage business and continue to do so. The decreased consumer demand for mortgage refinancing typically leads to decreased traffic to our website and higher associated selling and marketing efforts associated with that traffic. While higher lender demand during these periods often leads to an increase in the amount lenders will pay per matched lead and higher revenue earned per consumer, increases in the amount lenders will pay per matched lead in this situation is limited by the overall cost models of our lenders, and our revenue earned per consumer can be adversely affected by the overall reduced demand for refinancing in a rising interest rate environment. Conversely, during periods with decreased interest rates, mortgage Network Partners have less incentive to use our marketplaces, or in the case of sudden increases in consumer demand, our mortgage Network Partners may lack the ability to support sudden increases in volume. Situations like this could have a material adverse effect on our business, financial condition and results of operations.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We depend on the financial strength of our Network Partners and our relationships with them, and any adverse changes in these relationships could adversely affect our business, financial condition and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significant part on the financial strength of lenders, insurers and lead purchasers participating on our marketplaces and continuing relationships with such lenders, insurers and lead purchases. Network Partners could, for any reason, experience financial difficulties and cease participating on our marketplaces, fail to pay match and/or closing fees when due, determine to temporarily suspend or terminate their relationship with us and/or drop the quality of their services to consumers. We could also have commercial or other disputes with such Network Partners from time to time. The occurrence of one or more of these events with a significant number of Network Partners could, alone or in combination, have a material and adverse effect on our business, financial condition and results of operations.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Any adverse changes in relationships with our Network Partners, or failure to meet certain metrics required by Network Partners, could adversely affect 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compete against other online marketing companies in significant part based on the quality and convertibility of the leads we generate. Network Partners have expectations as to the quality and conversion rate of the leads that we generate and such expectations could change over time. The leads that we supply to Network Partners may not meet the expectations that they have for such leads. Conversion rates for leads may be impacted by factors other than the lead quality, many of which are outside our control. Such factors include competition in lending and insurance markets and sales and marketing practices of Network Partners. Failure to meet the expectations of Network Partners in terms of quality and convertibility of leads may result in reduced fees paid to us by such Network Partners, or in extreme cases, the loss of one or more Network Partners, which could materially and adversely affect our business, financial condition and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because our businesses do not have exclusive relationships with Network Partners, consumers may obtain loans, insurance and other financial products from these third-party service providers without having to use our marketplaces. Network Partners can offer loans, insurance and other financial products directly to consumers through their own marketing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campaigns or other traditional methods of distribution, such as referral arrangements, physical store-front operations or broker agreements. Network Partners may also offer loans, insurance and other financial products and services to prospective customers online directly, through one or more online competitors or other business, or both. If a significant number of consumers seek loans, insurance and other financial products and services directly from Network Partners or through our competitors as opposed to through our marketplaces, our business, financial condition and results of operations could be materially and adversely affected. </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Failure to maintain our reputation and brand recognition and attract and retain consumers in a cost-effective manner could materially and adversely affect our business and results of operations. As such, adverse publicity from litigation or governmental investigations could impact our business and financial condition and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attract visitors to our websites, convert these visitors into loan or other financial product requests for our Network Partners and lead purchasers and generate repeat visits from consumers, our businesses must promote and maintain their reputations and various brands. Brand promotion and maintenance requires the expenditure of considerable money and resources for online and offline advertising, marketing and related efforts, as well as the continued provision and introduction of high-quality products and services that meet the needs of consumers at competitive prices, the ability to maintain consumers' trust, and the ability to successfully differentiate our brand, products and services from those of our competitors.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Brand recognition is a key differentiating factor among providers of online services. We believe that continuing to build and maintain the recognition of our various brands is critical to achieving increased demand for the services provided by our businesses. Accordingly, we have spent, and expect to continue to spend, significant amounts on, and devote significant resources to, branding, advertising and other marketing initiatives, which may not be successful or cost-effective. Our brand promotion activities may not generate consumer awareness or yield increased revenue, and even if they do, any increased revenue may not offset the expenses we incur in building our brand.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publicity and the potential corresponding impact on our reputation may be accelerated and amplified by the widespread use of social media platforms. Furthermore, adverse publicity, from legal proceedings against us or our businesses, including governmental proceedings and consumer class action or other litigation, or the disclosure of information from security breaches or other incidents, could negatively impact our reputation and our various brands, which could materially and adversely affect our business and financial condition and results of operations. In addition, the actions of our third-party marketing partners who engage in advertising on our behalf could negatively impact our reputation and our various brands.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of our businesses to maintain or enhance the reputation and recognition of their respective brands and attract and retain consumers in a cost-effective manner could materially and adversely affect our business, financial condition and results of operations.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We depend on search engines, online advertising and other online sources to attract visitors to our websites, and if we are unable to attract these visitors and convert them into consumer requests for our Network Partners in a cost-effective manner, our business and financial results may be harmed.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attract online consumers to our websites and convert them into customers in a cost-effective manner. We depend, in part, on search engines, online advertising and other online sources for our website traffic. We are included in search results as a result of both paid search listings, where we purchase specific search terms that result in the inclusion of our advertisement, and, separately, organic searches, that depend upon the searchable content on our sites. Search engines and other online sources revise their algorithms, and introduce new advertising products, from time to time in an attempt to optimize their search results.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one or more of the search engines or other online sources on which we rely for website traffic were to modify its general methodology for how it displays our websites, resulting in fewer consumers clicking through to our websites, our business could suffer. If our online advertisements are not able to reach certain consumers due to consumers' use of ad-blocking software or other ad-blocking capabilities, our business could suffer. Any required changes in targeting and other related consumer acquisition practices and techniques, such as the upcoming deprecation of third-party cookies, could impair our ability to acquire consumers efficiently and our business could suffer. Furthermore, if any free search engine traffic on which we rely begins charging fees for listing or placement, or if one or more of the search engines or other online sources on which we rely for purchased listings, modifies or terminates its relationship with us, our expenses could rise, we could lose customers, and traffic to our websites could decrease, all of which could have a material adverse effect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We rely on technology to operate our business and continue to implement substantial changes to our information systems. Any changes in our systems or failure to appropriately balance between the introduction of new capabilities and managing of existing systems present risk of interruption in our systems, which could result in disruptions to our information systems that could materially adversely affect our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dependent on the use of technology systems like our Spring platform as well as backend systems to support our strategic objectives. Implementation and integration of complex systems and technology present significant challenges in terms of costs, human resources, and development of effective internal controls. Implementation and integration require a balancing between the introduction of new capabilities and the managing of existing systems, and present the risk of operational or security inadequacy or interruption, which could materially affect our ability to effectively operate our business and/or could negatively impact our results of operations.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our systems continue to require modification and refinements to address operational reliability, growth, and changing business requirements. In addition, our systems may require modification to enable us to comply with changing regulatory requirements. Our operations could be adversely affected, or we could face imposition of regulatory penalties, if it were unable to timely or effectively modify our systems as necessary or appropriately balance the introduction of new capabilities with the management of existing systems.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directly or through our third-party provided information technology systems or software may incorporate artificial intelligence (“AI”) capabilities into our business. As with many innovations, AI presents risks, challenges, and unintended consequences that could affect its adoption, and therefore our business. AI algorithms and training methodologies may be flawed, ineffective or inadequate. AI development or deployment practices by us or third-party providers could result in incidents that could increase the resources we need to implement cybersecurity measures to protect the security of our data. These deficiencies and other failures of any potential AI systems could subject us to competitive harm, regulatory action, legal liability, and brand or reputational harm.</w:t>
      </w:r>
    </w:p>
    <w:p>
      <w:pPr>
        <w:pStyle w:val="TextBody"/>
        <w:bidi w:val="0"/>
        <w:spacing w:before="0" w:after="0"/>
        <w:ind w:left="0" w:right="0" w:firstLine="36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Trends in the credit card industry, as well as the impact of the general economy on the ability of users to qualify for credit cards, could harm our business, financial condition and results of operations.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credit card product offering is subject to particular risks, including, but not limited to: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adverse conditions in the economy may affect credit card issuers and their willingness to issue new credit which would negatively affect revenue;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credit losses among credit card issuers may increase beyond normal and budgeted levels which could cause a reduction in credit card issuers' ability to extend credit;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interest rate increases may make balance transfer cards less profitable for issuers;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credit card issuers and other advertisers in the business verticals in which we operate may be unwilling to advertise on our websites or mobile applications;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application approval rates by credit card issuer customers;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increased competition and its effect on our website traffic, click-through rates, advertising rates, revenue, margins, and market share;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ability to provide competitive service to credit card issuers and to consumers using our online offerings and other platforms;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credit card issuers may determine that the online digital marketing channel is no longer a viable marketing platform for generating new credit card customers;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decreases in consumer interest in credit card products;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brand recognition for both LendingTree and CompareCards and to effectively leverage the LendingTree brand with the CompareCards brand;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develop new products and services and enhance existing ones.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credit card product is impacted by the risks described above, then our results of operations and future growth prospects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Economic conditions, including changes in the consumer lending and insurance markets could harm our business, financial condition and results of operations.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dependent on the products offered by our Network Partners across the consumer financial services and personal insurance industries. Changes in economic conditions, including general factors such as a slower pace of economic growth or recessionary periods, could negatively impact these industries and our business. Additionally, the lending products our Network partners offer within our Home and Consumer segments are dependent upon, among other things, the overall level of interest rates, home prices, availability of credit in the financial market and changes in underwriting standards. Our Insurance segment is dependent on the personal auto and home insurance industry, which can be negatively impacted by inflation, supply chain issues, rising car accident severity and frequency, as well as natural disasters such as hurricanes.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health of the lending markets our Network Partners operate in, including purchase and refinance mortgages, home equity, business loans, personal loans, and credit card, are important to our business. Fluctuations and constraints in these markets in the past have harmed, and may in the future, harm our business, financial condition and results of operations. Economic factors such as increased interest rates, slow economic growth or recessionary conditions, the pace of home price appreciation or outright depreciation, changes in household debt levels, and increased unemployment or stagnant or declining wages can affect the lending markets broadly. National or global events, such as the COVID-19 pandemic, can also affect such macroeconomic conditions. These factors can affect the number of consumers applying for loans and overall loan approval rates, which can adversely affect our business. Increases in interest rates driven by the Federal Reserve Board’s Federal Open Market Committee to combat a historically high rate of inflation may continue or decreases in interest rates may be delayed. Additional rate increases could pressure consumer demand for mortgage products, as well as our business, personal and credit card products, and thus could negatively impact our business.</w:t>
      </w:r>
    </w:p>
    <w:p>
      <w:pPr>
        <w:pStyle w:val="TextBody"/>
        <w:bidi w:val="0"/>
        <w:spacing w:lineRule="auto" w:line="268" w:before="24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Our insurance business, QuoteWizard, is significant to our revenue, and operational issues in this business could have a material impact on our results of operations.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QuoteWizard business poses risks for our ongoing operations, including, but not limited to:</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adverse conditions in the economy may affect insurance carriers and their willingness to issue policies;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covered losses among insurance carriers may increase beyond normal and budgeted levels which could cause a reduction in demand for leads;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insurance carriers and other advertisers in the business verticals in which we or QuoteWizard operate may be unwilling to advertise on our or QuoteWizard’s websites or mobile applications;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concentration of customers with large insurance carriers may cause significant budget reductions from these customers and may impact our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major publishers may determine they no longer want QuoteWizard as an advertising partner;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changes in underwriting approval rates by insurance carrier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increased competition and its effect on our or QuoteWizard’s website traffic, click-through rates, advertising rates, revenue, margins, and market share;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cost of media may rise at a faster pace than QuoteWizard's monetization of traffic;</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ability to provide competitive service to insurance carriers and to consumers using QuoteWizard’s and our online offerings and other platforms;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insurance carriers may determine that the online digital marketing channel is no longer a viable marketing platform for generating new insurance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government regulatory agencies may hinder or disallow the operation of QuoteWizard's marketplace;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new government regulations and/or laws that affect the ability of private insurance carriers to market products directly to the consumer;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new government regulations and/or laws that would replace private insurance programs with government run programs;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maintain brand recognition for both LendingTree and QuoteWizard and to effectively leverage the LendingTree brand with the QuoteWizard brand;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ability to develop new products and services and enhance existing ones;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retain key employees of QuoteWizard;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costs and expenses associated with any undisclosed or potential liabilities;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that the business acquired in the acquisition may not continue to perform as well as anticipated; and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ongoing operating risks, including liabilities arising from data privacy and security laws and regulations or security breaches.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the QuoteWizard business is impacted by the risks described above, then our results of operations and future growth prospects could be materially and adversely affected.</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Our insurance agency businesses pose unique risks that may have a material adverse impact on our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Property and Casualty insurance agency businesses employ a different business model than the rest of our businesses and are subject to unique risks because of our role in selling insurance policies direct to consumers. In that role, we act as agents of insurance carriers or of other insurance agents, known as uplines, that we contract with. We must secure and maintain contracts with those carriers and agents and our individual agents must be state-licensed. Our revenues are generated from sales commissions, which are based upon the insurance premiums of policies sold, and our models to determine the appropriate policies for consumers. Our models could be incorrect and we could generate less revenue than expected. We could also lose appointments with carriers or uplines that affect our ability to sell policies and generate revenue. Carrier losses, which could result from increased repair time and costs due to inflation and supply chain issues in the automotive and housing industries, among other issues, could cause carriers to reduce commissions or increase premiums, both of which would have a negative effect on us. Insurance carriers could increase premiums to the point where we cannot profitably sell policies or consumers forego the purchase of insurance. Our licensed insurance agents are critical to our agency business and our inability to attract and retain effective agents or for them to obtain or retain their licenses to sell policies could have a negative impact on our results of operation. </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Our personal loan product is a key product within our Consumer segment. If lenders participating on our marketplace decide to reduce their offerings of personal loans or if such loans become unattractive to consumers because of higher interest rates demanded by lenders or other reasons, then our results of operations and future growth prospects could be materially and adversely affected.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Personal loans are typically unsecured obligations and generally carry shorter terms and smaller loan amounts than mortgages. Because they are unsecured, they are generally riskier assets for lenders than mortgages or other secured loans. Consumer demand for unsecured loans offered on our marketplace is often for refinancing of higher interest credit card debt or for a lower interest alternative to credit card debt for a contemplated large purchase that would otherwise be purchased with a credit card. Lenders participating on our marketplace may reduce their willingness to make personal loans at more attractive interest rates than credit card debt and may, for that reason or for any other reason, reduce their demand for requests generated from our personal loan marketplace. Reasons that lenders might reduce their willingness to make personal loans at attractive interest rates may include regulatory changes, stricter institutional lending criteria, a lack of adequate funding sources or capital for loan originations, or increased borrower default levels, which may occur upon adverse changes in regional, national or global economic conditions. Additionally, lenders may tighten their underwriting standards, making it more difficult for consumers to qualify for personal loans. Personal loan lenders are increasingly focused on profitability and are attempting to reduce their acquisition costs of new customers. If lenders participating on our marketplace decide to reduce their offerings of personal loans, tighten their underwriting standards, or if personal loans become unattractive to consumers because of higher interest rates demanded by lenders or other reasons, then our results of operations and future growth prospects could be materially and adversely affected. </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Our financial condition and results of operations have been and may continue to be adversely affected by public health issues, including epidemics or pandemics such as COVID-19.</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various risks related to public health issues, including epidemics, pandemics, and other outbreaks, including the global outbreak of COVID-19. The COVID-19 pandemic negatively impacted the global economy, disrupted global supply chains, created significant volatility and disruption in financial markets, and, at times, increased unemployment levels. In addition, the pandemic resulted in temporary closures of many businesses and the institution of various lockdown orders and sheltering in place requirements in many states and communities. As a result, the demand for our products, in particular in our Consumer segment, was significantly impacted. The full impact of COVID-19 or any widespread public health issue on our financial condition and results of operations will depend on the duration and scope of an outbreak (including any potential future waves, the emergence or re-emergence of variants and their transmissibility, and the success of vaccination programs and treatments), its impact on our consumers and our Network Partners, how quickly normal economic conditions, operations, and the demand for our services and products can resume, and any permanent behavioral changes that the pandemic may cause. The extent to which the COVID-19 pandemic or any widespread public health issue impacts our business,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and results of operations, as well as our regulatory capital and liquidity ratios, will depend on future developments, which are highly uncertain and cannot be predicted.</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Some of our products are new to the market and may fail to achieve or maintain customer acceptance and profitability.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 the past, launched a number of new products and may, in the future, launch new products. We do not have as much experience with new products as with the other more mature products. Accordingly, new products may be subject to greater risks than our more mature products.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new products will depend on a number of factors, including, but not limited to:</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implementing, at an acceptable cost, product features offered by our competitors and/or expected by consumers, lenders and lead purchasers;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market acceptance by consumers, lenders and lead purchasers;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offerings by current and future competitors;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attract and retain management and other skilled personnel for these businesses;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collect amounts owed to us from third parties;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develop successful and cost-effective marketing campaigns;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timely adjust marketing expenditures in relation to changes in demand for the underlying products and services offered by our Network Partners.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may suffer if we fail to successfully anticipate and manage these issues associated with new products.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If we are unable to continually enhance our products and services and adapt them to technological changes and consumer and lender, insurer and/or lead purchaser needs, we may lose market share and revenue and our business could suffer.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need to anticipate, develop and introduce new products, services and applications on a timely and cost-effective basis that keep pace with technological developments and changing consumer and customer needs. We are continually working to improve our consumer experience through enhancements to our products and services. However, we may not be able to develop products and services that are equivalent to or better than our competitors or that successfully meet our consumer needs. We may not be successful, or as successful as our competitors, in developing technologies and systems that operate effectively across multiple devices and platforms in a way that is appealing to our consumers.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interaction with our Network Partners is dependent on the technology and services we offer to these customers. Our inability to offer competitive technology solutions to support our lenders could have a negative impact on our business.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develop our websites or apps to respond to technological developments and changing consumer and customer needs cost effectively, or if consumers and customers respond negatively to changes, we may lose market share, which could materially and adversely affect our business, financial condition and results of operations.</w:t>
      </w:r>
    </w:p>
    <w:p>
      <w:pPr>
        <w:pStyle w:val="TextBody"/>
        <w:bidi w:val="0"/>
        <w:spacing w:lineRule="auto" w:line="288" w:before="0" w:after="0"/>
        <w:jc w:val="both"/>
        <w:rPr/>
      </w:pPr>
      <w:r>
        <w:rPr>
          <w:rFonts w:ascii="Times New Roman;sans-serif" w:hAnsi="Times New Roman;sans-serif"/>
          <w:b/>
          <w:i/>
          <w:color w:val="000000"/>
          <w:sz w:val="20"/>
        </w:rPr>
        <w:t>If consumers do not find value in our Spring platform or other platforms, or do not like the consumer experience on the platforms, the number of matches on our platform may decline, which would harm our business, financial condition and resul</w:t>
      </w:r>
      <w:r>
        <w:rPr>
          <w:rFonts w:ascii="Times New Roman;sans-serif" w:hAnsi="Times New Roman;sans-serif"/>
          <w:b/>
          <w:i/>
          <w:color w:val="000000"/>
          <w:sz w:val="20"/>
          <w:shd w:fill="FFFFFF" w:val="clear"/>
        </w:rPr>
        <w:t>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growth of our business and revenue depends upon our ability to engage our existing users on the Spring and other platforms and to add new users. If we lose users or user engagement diminishes, our business and financial condition will be negatively impacted. If we fail to remain competitive on customer experience, editorial articles and product offerings, our ability to grow our business may also be adversely affected.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Factors that could negatively affect our ability to grow our user base and engagement include, among others: </w:t>
      </w:r>
    </w:p>
    <w:p>
      <w:pPr>
        <w:pStyle w:val="TextBody"/>
        <w:bidi w:val="0"/>
        <w:spacing w:before="0" w:after="0"/>
        <w:ind w:left="0" w:right="0" w:firstLine="360"/>
        <w:jc w:val="both"/>
        <w:rPr/>
      </w:pPr>
      <w:r>
        <w:rPr/>
      </w:r>
    </w:p>
    <w:p>
      <w:pPr>
        <w:pStyle w:val="TextBody"/>
        <w:bidi w:val="0"/>
        <w:spacing w:lineRule="auto" w:line="288" w:before="0" w:after="120"/>
        <w:ind w:left="0" w:right="0" w:hanging="360"/>
        <w:jc w:val="both"/>
        <w:rPr>
          <w:color w:val="000000"/>
        </w:rPr>
      </w:pPr>
      <w:r>
        <w:rPr>
          <w:color w:val="000000"/>
        </w:rPr>
        <w:t xml:space="preserve">• </w:t>
      </w:r>
      <w:r>
        <w:rPr>
          <w:rFonts w:ascii="Times New Roman;sans-serif" w:hAnsi="Times New Roman;sans-serif"/>
          <w:b w:val="false"/>
          <w:color w:val="000000"/>
          <w:sz w:val="20"/>
        </w:rPr>
        <w:t xml:space="preserve">we lose users to new market entrants and/or existing competitors; </w:t>
      </w:r>
    </w:p>
    <w:p>
      <w:pPr>
        <w:pStyle w:val="TextBody"/>
        <w:bidi w:val="0"/>
        <w:spacing w:lineRule="auto" w:line="288" w:before="0" w:after="120"/>
        <w:ind w:left="0" w:right="0" w:hanging="360"/>
        <w:jc w:val="both"/>
        <w:rPr>
          <w:color w:val="000000"/>
        </w:rPr>
      </w:pPr>
      <w:r>
        <w:rPr>
          <w:color w:val="000000"/>
        </w:rPr>
        <w:t xml:space="preserve">• </w:t>
      </w:r>
      <w:r>
        <w:rPr>
          <w:rFonts w:ascii="Times New Roman;sans-serif" w:hAnsi="Times New Roman;sans-serif"/>
          <w:b w:val="false"/>
          <w:color w:val="000000"/>
          <w:sz w:val="20"/>
        </w:rPr>
        <w:t xml:space="preserve">we do not obtain regulatory approvals necessary for expansion into new verticals, or to launch new products, product features or tools; </w:t>
      </w:r>
    </w:p>
    <w:p>
      <w:pPr>
        <w:pStyle w:val="TextBody"/>
        <w:bidi w:val="0"/>
        <w:spacing w:lineRule="auto" w:line="288" w:before="0" w:after="120"/>
        <w:ind w:left="0" w:right="0" w:hanging="360"/>
        <w:jc w:val="both"/>
        <w:rPr>
          <w:color w:val="000000"/>
        </w:rPr>
      </w:pPr>
      <w:r>
        <w:rPr>
          <w:color w:val="000000"/>
        </w:rPr>
        <w:t xml:space="preserve">• </w:t>
      </w:r>
      <w:r>
        <w:rPr>
          <w:rFonts w:ascii="Times New Roman;sans-serif" w:hAnsi="Times New Roman;sans-serif"/>
          <w:b w:val="false"/>
          <w:color w:val="000000"/>
          <w:sz w:val="20"/>
        </w:rPr>
        <w:t xml:space="preserve">we fail to effectively use search engines, social media platforms, digital app stores, content-based online advertising, and other online sources for generating traffic to our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ind w:left="0" w:right="0" w:hanging="360"/>
        <w:jc w:val="both"/>
        <w:rPr>
          <w:color w:val="000000"/>
        </w:rPr>
      </w:pPr>
      <w:r>
        <w:rPr>
          <w:color w:val="000000"/>
        </w:rPr>
        <w:t xml:space="preserve">• </w:t>
      </w:r>
      <w:r>
        <w:rPr>
          <w:rFonts w:ascii="Times New Roman;sans-serif" w:hAnsi="Times New Roman;sans-serif"/>
          <w:b w:val="false"/>
          <w:color w:val="000000"/>
          <w:sz w:val="20"/>
        </w:rPr>
        <w:t xml:space="preserve">our platform experiences disruptions or outages; </w:t>
      </w:r>
    </w:p>
    <w:p>
      <w:pPr>
        <w:pStyle w:val="TextBody"/>
        <w:bidi w:val="0"/>
        <w:spacing w:lineRule="auto" w:line="288" w:before="0" w:after="120"/>
        <w:ind w:left="0" w:right="0" w:hanging="360"/>
        <w:jc w:val="both"/>
        <w:rPr>
          <w:color w:val="000000"/>
        </w:rPr>
      </w:pPr>
      <w:r>
        <w:rPr>
          <w:color w:val="000000"/>
        </w:rPr>
        <w:t xml:space="preserve">• </w:t>
      </w:r>
      <w:r>
        <w:rPr>
          <w:rFonts w:ascii="Times New Roman;sans-serif" w:hAnsi="Times New Roman;sans-serif"/>
          <w:b w:val="false"/>
          <w:color w:val="000000"/>
          <w:sz w:val="20"/>
        </w:rPr>
        <w:t xml:space="preserve">we suffer reputational harm to our brand including from negative publicity, whether accurate or inaccurate; </w:t>
      </w:r>
    </w:p>
    <w:p>
      <w:pPr>
        <w:pStyle w:val="TextBody"/>
        <w:bidi w:val="0"/>
        <w:spacing w:lineRule="auto" w:line="288" w:before="0" w:after="120"/>
        <w:ind w:left="0" w:right="0" w:hanging="360"/>
        <w:jc w:val="both"/>
        <w:rPr>
          <w:color w:val="000000"/>
        </w:rPr>
      </w:pPr>
      <w:r>
        <w:rPr>
          <w:color w:val="000000"/>
        </w:rPr>
        <w:t xml:space="preserve">• </w:t>
      </w:r>
      <w:r>
        <w:rPr>
          <w:rFonts w:ascii="Times New Roman;sans-serif" w:hAnsi="Times New Roman;sans-serif"/>
          <w:b w:val="false"/>
          <w:color w:val="000000"/>
          <w:sz w:val="20"/>
        </w:rPr>
        <w:t>we fail to offer new and competitive products, to provide effective updates to our existing products or to keep pace with technological improvements in our industry;</w:t>
      </w:r>
    </w:p>
    <w:p>
      <w:pPr>
        <w:pStyle w:val="TextBody"/>
        <w:bidi w:val="0"/>
        <w:spacing w:lineRule="auto" w:line="288" w:before="0" w:after="120"/>
        <w:ind w:left="0" w:right="0" w:hanging="360"/>
        <w:jc w:val="both"/>
        <w:rPr>
          <w:color w:val="000000"/>
        </w:rPr>
      </w:pPr>
      <w:r>
        <w:rPr>
          <w:color w:val="000000"/>
        </w:rPr>
        <w:t xml:space="preserve">• </w:t>
      </w:r>
      <w:r>
        <w:rPr>
          <w:rFonts w:ascii="Times New Roman;sans-serif" w:hAnsi="Times New Roman;sans-serif"/>
          <w:b w:val="false"/>
          <w:color w:val="000000"/>
          <w:sz w:val="20"/>
        </w:rPr>
        <w:t xml:space="preserve">technical or other problems frustrate the user experience; </w:t>
      </w:r>
    </w:p>
    <w:p>
      <w:pPr>
        <w:pStyle w:val="TextBody"/>
        <w:bidi w:val="0"/>
        <w:spacing w:lineRule="auto" w:line="288" w:before="0" w:after="120"/>
        <w:ind w:left="0" w:right="0" w:hanging="360"/>
        <w:jc w:val="both"/>
        <w:rPr>
          <w:color w:val="000000"/>
        </w:rPr>
      </w:pPr>
      <w:r>
        <w:rPr>
          <w:color w:val="000000"/>
        </w:rPr>
        <w:t xml:space="preserve">• </w:t>
      </w:r>
      <w:r>
        <w:rPr>
          <w:rFonts w:ascii="Times New Roman;sans-serif" w:hAnsi="Times New Roman;sans-serif"/>
          <w:b w:val="false"/>
          <w:color w:val="000000"/>
          <w:sz w:val="20"/>
        </w:rPr>
        <w:t xml:space="preserve">we are unable to address user concerns regarding the content, privacy, and security of our digital platform;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are unable to continue to innovate and improve our platform by generating compelling content and tools; 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existing or new financial services providers use incentives to directly cross-sell their products, reducing consumer benefits of using multiple providers.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inability to overcome these challenges could impair our ability to engage users on our platforms, and could harm our business, operating results and financial condition.</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We improve our products and services in ways that forego short-term gains.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constantly striving to improve the user experience for our consumers who use our websites and applications and for our Network Partners. Some of our changes may have the effect of reducing our short-term revenue or profitability if we believe that the benefits will ultimately improve our financial performance over the long-term. Any short-term reductions in revenue or profitability could be more severe than we anticipate or these decisions may not produce the long-term benefits that we expect, in which case our business and results of operations could be adversely affected.</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We may be unable to make acquisitions, successfully integrate acquired companies into our business, or our acquisitions may not meet our expectations, any of which would adversely affect our business, financial condition, and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in the future acquire or invest in businesses, offerings, technologies, or talent that we believe could complement or expand our existing product offerings, enhance our technical capabilities, or otherwise offer growth opportunities. The pursuit of future potential acquisitions may divert the attention of management and cause us to incur significant expenses related to identifying, investigating, and pursuing suitable acquisitions, whether or not they are consummated. Even if we successfully acquire additional businesses or technologies, we may not achieve the anticipated benefits or synergies due to a number of factors, including but not limited to:</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senior management’s attention may be diverted from the management of daily operations to the integration of the businesses acquired in the acquisition;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inability to generate sufficient revenue to offset acquisition costs;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inability to maintain relationships with customers and partners of the acquired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challenges maintaining quality and security standards consistent with our brand;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inability to achieve anticipated synergies or unanticipated difficulty with integration into our corporate culture;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need to integrate or implement additional controls, procedures, and policies;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harm to our existing business relationships with business partners as a result of the acquisition;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use of substantial portions of our available cash or the incurrence of debt to consummate the acquisition;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inability to retain key employees of businesses acquired;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inability to fully integrate the businesses acquired;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costs and expenses associated with any undisclosed or potential liabilities;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that the businesses acquired in the acquisition may not perform as well as anticipated;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adverse conditions in the economy may affect the lenders or insurance carriers or other customers of the acquired businesses and their willingness to issue new credit, write new policies or otherwise expand their businesses;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advertisers in the business verticals in which we, or the acquired businesses we operate, may be unwilling to advertise on our websites or mobile applications;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increased competition and its effect on our or the acquired businesses' website traffic, click-through rates, submitted consumer requests, advertising rates, revenue, margins, and market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brand recognition for both us and the acquired businesses and to effectively leverage the LendingTree brand with the newly acquired brands;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develop new products and services and enhance existing ones;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assumed liabilities associated with the historical operations of the acquired businesses, including as a result of data privacy and security laws and regulations or security breaches.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foregoing, our acquisitions may not be accretive to us in the near term, or at all. Furthermore, if we fail to realize the intended benefits of the business acquired in the acquisition, the market price of our common stock could decline to the extent that the market price reflects an expectation of those benefits. </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Other acquisitions or strategic investments that we pursue may not be successful and could disrupt our business and harm our financial condition.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consider or undertake strategic acquisitions of, or material investments in, businesses, products or technologies, such as our January 2022 acquisition of an equity interest in EarnUp or our February 2020 acquisition of an equity interest in Stash. We may not be able to identify suitable acquisition or investment candidates, or even if we do identify suitable candidates, they may be difficult to finance, expensive to fund and there is no guarantee that we can obtain any necessary regulatory approvals or complete such transactions on terms that are favorable to us. To the extent we pay the purchase price of any acquisition or investment in cash or through borrowings under our Credit Facility (as defined herein), it would reduce our cash balances and/or result in indebtedness we must service, which may have a material and adverse effect on our business and financial condition. If the purchase price is paid with our stock, it would be dilutive to our stockholders. In addition, we may assume liabilities associated with a business acquisition or investment, including unrecorded liabilities that are not discovered at the time of the transaction, and the repayment of those liabilities may have a material and adverse effect on our financial condition. There may also be litigation or other claims arising in connection with an acquisition itself.</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could impair our relationships with our current employees, customers and strategic partners and disrupt our operations. Acquisitions and investments also may not perform to our expectations for various reasons, including the loss of key personnel and/or customers. If we fail to integrate acquisitions or investments or realize the expected benefits, we may lose the return on these acquisitions or investments or incur additional transaction costs and our business and financial condition may be harmed as a result.</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If we fail to manage our people through the changes caused by the economic challenges, our business and results of operations could be harmed.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a reduction in our headcount as a result of both elevated turnover caused by the market as well as planned severances, which places substantial demand on remaining management and our operational infrastructure. As we manage through this change, we must effectively transition work and train, develop and motivate a large number of both existing and new employees, all while maintaining the beneficial aspects of our company culture. If we do not manage the changing employee base effectively, the quality of our services and efficiency of our operations could suffer, which could harm our business and results of operations.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We rely on the performance of highly skilled personnel and if we are unable to attract, retain, develop and motivate well-qualified employees, our business and results of operations could be harmed.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success has depended, continues to depend and in the future will depend on the efforts and talents of our management team and our highly skilled employees and workers, including our software engineers, analysts, marketing professionals and sales staff. Our future success depends on our continuing ability to attract, develop, motivate and retain highly qualified and skilled employees. The loss of any of our senior management or key employees could materially and adversely affect our ability to build on the efforts that they have undertaken and to execute our business plan, and we may not be able to find adequate replacements. Despite our current efforts, we cannot ensure that we will be able to retain the services of any members of our senior management or other key employees. If we do not succeed in attracting well-qualified employees or developing, retaining and motivating existing employees, our business and results of operations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Network Partners on our marketplaces may not provide competitive levels of service to consumers, which could materially and adversely affect our brands and businesses and their ability to attract consumers.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our businesses to provide consumers with a high-quality experience depends, in part, on consumers receiving competitive levels of convenience, customer service, price and responsiveness from Network Partners participating on our marketplaces with whom they are matched. If these providers do not provide consumers with competitive levels of convenience, customer service, price and responsiveness, the value of our various brands may be harmed, the ability of our businesses to attract consumers to our websites may be limited and the number of consumers matched through our marketplaces may decline, which could have a material and adverse effect on our business, financial condition and results of operations.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A significant portion of our total revenue has, in the past, been derived from one Network Partner, and our results of operations could be adversely affected if we lose significant business from this Network Partner.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for the years ended December 31, 2023, 2022 and 2021, no Network Partners accounted for more than 10% of total consolidated revenue, in the past, a significant portion of our total revenue has been derived from one Network Partner. This particular Network Partner remains a significant contributor to our total revenue. If this significant Network Partner were to cease purchasing consumer requests and we were unable to replace the associated demand, the loss could have a material adverse effect on our results of operations in the short term and potentially also the longer term. Also, if this Network Partner reduces its volume of consumer requests for any reason, our business could be adversely affected.</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We have incurred significant operating losses in the past and we may not be able to generate sufficient revenue to be profitable over the long term.</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operating losses from continuing operations at times in our history and we have an accumulated deficit of $837.7 million at December 31, 2023. If we fail to maintain or grow our revenue and manage our expenses, we may incur significant losses in the future and not be able to maintain or increase our profitability.</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Our Credit Facility contains financial covenants and other restrictions on our actions and it could therefore limit our operational flexibility or otherwise adversely affect our financial condition. Failure to comply with the terms of any such facility could impair our rights to the assets that have been pledged as collateral under the facility.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15, 2021, we entered into a $200.0 million five-year senior secured revolving credit facility (the “Revolving Facility”) and a $250.0 million seven-year senior secured delayed draw term loan facility (the “Term Loan Facility” and together with the Revolving Facility, the “Credit Facility”). The Revolving Facility matures on September 15, 2026, and the Term Loan Facility matures on September 15, 2028. On May 31, 2022, we borrowed $250.0 million under the Term Loan Facility. Borrowings under the Credit Facility can be used to finance working capital needs, capital expenditures, and general corporate purposes, including to finance permitted acquisitions. As of December 31, 2023, we have outstanding a $0.2 million letter of credit under the Revolving Facility. As of December 31, 2023, we have $246.9 million borrowings outstanding under the Term Loan Facility.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a restrictive financial covenant, which limits the amount of first lien consolidated debt to an EBITDA ratio subject to a step up following a material acquisition. In addition, the Credit Facility contains customary affirmative and negative covenants, including, subject to certain exceptions, restrictions on our ability to, among other things: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incur additional indebtedness;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grant liens;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make loans and investments;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enter into mergers or make certain fundamental changes;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make certain restricted payments, including dividends, distributions, stock repurchases or redemptions;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sell assets;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enter into transactions with affiliates;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enter into restrictive transactions.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requires us to pledge as collateral, subject to certain customary exclusions, substantially all of our assets. The obligations under this facility are unconditionally guaranteed, subject to certain customary exclusions, on a senior basis by our material domestic subsidiaries. The guaranties are secured, subject to certain customary exclusions, by substantially all of each such guarantor's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If an event of default occurs or if we otherwise fail to comply with any of the negative or affirmative covenants of the Credit Facility, the lenders may declare all of the obligations and indebtedness under such facility due and payable. In such a scenario, the lenders could exercise their lien on the pledged collateral, which would have a material adverse effect on our business, operations, financial condition and liquidity. For additional information on the Credit Facility,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15—Debt, in the notes to the consolidated financial statements included elsewhere in this annual report.</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Risks Related to our Industry</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We participate in a highly competitive market and pressure from existing and new competitors may materially and adversely affect our business, results of operations and financial condition. If any of our competitors are more successful than we are at attracting and retaining customers or Network Partners, our business, financial condition and results of operations could be materially and adversely affected.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compete with a number of other online marketing companies and we expect that competition will intensify. We also face the possibility of new competitors. Some of these existing competitors may have more capital or complementary products or services than we do and they may leverage their greater capital or diversification in a manner that adversely affects our competitive position, including by making strategic acquisitions, such as acquiring other competitors, new products, or our advertising partners. In addition, new competitors may enter the market and may be able to innovate and bring products and services to market faster, or anticipate and meet consumer or Network Partner demand before we do. Other newcomers, including major search engines and content aggregators, may be able to leverage their existing products and services or access to data to our disadvantage. We may be forced to expend significant resources to remain competitive with current and potential competitors. If any of our competitors are more successful than we are at attracting and retaining customers or Network Partners, our business, financial condition and results of operations could be materially and adversely affected.</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Risks Related to our Operations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Our success depends, in part, on the integrity of our systems and infrastructures. System interruption and the lack of integration and redundancy in these systems and infrastructures may have a material and adverse impact on our business, financial condition and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maintain the integrity of our systems and infrastructures, including websites, information and related systems, call centers and distribution and fulfillment facilities. System interruption and the lack of integration and redundancy in our information systems and infrastructures may materially and adversely affect our ability to operate websites, process and fulfill transactions, respond to customer inquiries and generally maintain cost-efficient operations. We may experience occasional system interruptions that make some or all systems or data unavailable or prevent our businesses from efficiently providing services or fulfilling orders. We also rely on affiliate and third-party computer systems, broadband and other communications systems and service providers in connection with the provision of services generally, as well as to facilitate, process and fulfill transactions. Any interruptions, outages or delays in our systems and infrastructures, our businesses, our affiliates and/or third parties, or deterioration in the performance of these systems and infrastructures, could impair the ability of our businesses to provide services, fulfill orders and/or process transactions. Fire, flood, power loss, telecommunications failure, hurricanes, tornadoes, earthquakes, acts of war or terrorism, acts of God, unauthorized intrusions or computer viruses, and similar events or disruptions may damage or interrupt computer, broadband or other communications systems and infrastructures at any time. Any of these events could cause system interruption, delays and loss of critical data, and could prevent our businesses from providing services, fulfilling orders and/or processing transactions. While our businesses have backup systems and other resiliency measures in place for certain aspects of their operations, these systems are not fully redundant and disaster recovery planning is not sufficient for all eventualities. In addition, we may not have adequate insurance coverage to compensate for losses from a major interruption. If any of these events were to occur, it could materially and adversely affect our business, financial condition and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continuously developing, updating, and rewriting critical platforms that support our business. The risks associated with this work include, but are not limited to, operational implementation, downtimes, and diversion of management and technical resources. If the work is more challenging or time consuming than expected, then our business, financial condition and results of operations could be materially and adversely affected.</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Breaches or failures of our systems or website security, the theft, unauthorized access, acquisition, use, disclosure, modification or misappropriation of personal information, the occurrence of fraudulent activity, or other data security-related incidents may have a material and adverse impact on our business, financial condition and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processing of consumer transactions, our businesses collect, use, store, disclose, transfer, and otherwise process a large volume of personal information and other confidential, proprietary and sensitive data. Breaches or failures of security involving our systems or website or those of any of our affiliates, Network Partners or external service providers have occurred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and may occur in the future, and have in the past resulted in, and could in the future result in, the theft, unauthorized access, acquisition, use, disclosure, modification or misappropriation of personal information of our consumers, employees or third parties with whom we conduct business, or other confidential, proprietary and sensitive data, fraudulent activity, or system disruptions or shutdowns. The occurrence of any actual or attempted breach, failure of security or fraudulent activity, the reporting of such an incident, whether accurate or not, or our failure to make adequate or timely disclosures to the public or law enforcement agencies following any such event, whether due to delayed discovery or a failure to follow existing protocols, could result in claims made against us or our affiliates, Network Partners or external service providers. Such claims could result in state and/or federal litigation and related financial liabilities, as well as criminal penalties or civil liabilities, regulatory actions from state and/or federal governmental authorities, and significant fines, orders, sanctions, litigation and claims against us by consumers or third parties and related indemnification obligations. Actual or perceived security breaches or failures also have in the past caused, and may in the future cause, financial losses, increased costs, interruptions in the operations of our business, misappropriation of assets, significant damage to our brand and reputation with consumers and third parties with whom we do business and result in adverse publicity, loss of consumer confidence, distraction to our management, and reduced sales and profits, any or all of which could have a material and adverse impact on our business, financial condition and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Such breaches, failures and fraudulent activity may take many forms, including check fraud, fraudulent inducement, electronic fraud, wire fraud, computer viruses, phishing, social engineering, denial or degradation of service attacks, malware, ransomware or other cyber-attacks, and other dishonest acts, any of which could be the result of a circumvention or failure of our data security processes, procedures, tools, and controls. Our systems are also subject to compromise from internal threats, such as theft, misuse, unauthorized access or other improper actions by employees, external service providers and other third parties with otherwise legitimate access to our systems and website. Data security-related incidents and fraudulent activity are increasing in frequency and evolving in nature. We rely on a framework of security, processes, procedures, tools, and controls designed to protect our information and assets but, given the unpredictability of the timing, nature and scope of data security-related incidents and fraudulent activity, there can be no assurance that any security procedures and controls that we or our external service providers have implemented will be sufficient to prevent data security-related incidents or other fraudulent activity from occurring. Furthermore, because the methods of attack and deception change frequently, are increasingly complex and sophisticated, and can originate from a wide variety of sources, including third parties such as external service providers and even nation-state actors, despite our reasonable efforts to ensure the integrity of our systems and website, it is possible that we may not be able to anticipate, detect, appropriately react and respond to, or implement effective preventative measures against, all security breaches and failures and fraudulent activity. As a result, our business, financial condition or results of operations could be materially and adversely affected.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face risks associated with security breaches affecting third parties and their suppliers or partners (fourth parties) with whom we are affiliated or otherwise conduct business. Due to applicable laws and regulations or contractual obligations, we may be held responsible for any breach, failure or fraudulent activity attributed to our affiliates, Network Partners or external service providers as they relate to the information we share with them. In addition, because we do not control our Network Partners or external service providers and our ability to monitor their data security is limited, we cannot ensure the security measures they take will be sufficient to protect our information. We may be required to expend significant capital and other resources to protect against, respond to, and recover from any potential, attempted, or existing security breaches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In addition, our remediation efforts may not be successful. The inability to implement, maintain and upgrade adequate safeguards could have a material and adverse impact on our business, financial condition and results of operations. Moreover, there could be public announcements regarding any data security-related incidents and any steps we take to respond to or remediate such incidents. If securities analysts or investors perceive these announcements to be negative, it could, among other things, have a substantial adverse effect on the price of our common stock. Consumers are generally concerned with security and privacy of the internet and any publicized security problems affecting our businesses or those of third parties with whom we are affiliated or otherwise conduct business may discourage consumers from doing business with us, which could have a material and adverse effect on our business, financial condition and results of operations.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currently maintain cybersecurity insurance, such insurance may not be sufficient in type or amount to cover us against claims related to breaches, failures or other data security-related incidents, and we cannot be certain that cyber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Risks Related to Legal, Compliance and Regulation</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Failure to comply with past, existing or new laws, rules and regulations, or to obtain and maintain required licenses, could materially and adversely affect our business, financial condition and results of operations.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provide services in heavily regulated industries through a number of different channels across the United States. As a result, our businesses have been and remain subject to a variety of laws, rules, regulations, statutes, standards, policies and procedures in various jurisdictions in the United States and abroad, which are subject to change at any time. The failure of our businesses to comply with past, existing or new laws, rules and regulations, or to obtain and maintain required licenses, could result in administrative fines or proceedings against us or our businesses by governmental agencies and/or litigation by consumers, which could materially and adversely affect our business, financial condition and results of operations and our brand.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conduct marketing activities via telephone, mail and/or through online marketing channels, and these general marketing activities are governed by numerous federal regulations, such as the TSR, the CAN-SPAM Act, the TCPA, the Federal Trade Commission Act, the Dodd-Frank Wall Street Reform and Consumer Protection Act, RESPA, and various state telemarketing laws, federal and state data privacy and security laws and their accompanying regulations and guidelines, among others. Additionally, increased regulation by the Bureau of Consumer Financial Protection (“CFPB”), the U.S. Federal Trade Commission (“FTC”) and Federal Communications Commission (“FCC”) has resulted in restrictions on our marketing activities.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federal, state and in some instances, local laws regulate secured and unsecured lending, and insurance brokerage activities, which impacts our marketplace, partners and consumers. These laws generally regulate the manner in which lending and lending-related activities, as well as insurance brokerage activities, are marketed or made available, including advertising and other consumer disclosures, payments for services and record keeping requirements. These laws include RESPA, the Fair Credit Reporting Act, the Truth-in-Lending Act, the Equal Credit Opportunity Act, the Fair Housing Act and various state laws. State laws often restrict the amount (and nature) of interest and fees that may be charged by a lender or mortgage broker, or otherwise regulate the manner in which lenders or mortgage brokers operate or advertise.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and federal lending laws and regulations generally require accurate disclosure of the critical components of credit costs so that consumers can readily compare credit terms from various lenders. These laws and regulations also impose certain restrictions on the marketing and advertisement of these credit terms. Because we are an aggregator of rate and other information regarding many financial products, including mortgages, loans, deposits and credit cards, we may be subject to some of these laws and regulations and we may be held liable under these laws and regulations for information provided through our online services.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businesses are also subject to various state, federal and/or local laws, rules and regulations limiting or prohibiting inducements, cash rebates and gifts to consumers, which impacts our lead generation business, as well as the manner in which these businesses may offer, advertise or promote transactions. For example, RESPA generally prohibits the payment or receipt of referral fees and fee shares or splits in connection with residential mortgage loan transactions, subject to certain exceptions. Pursuant to the Dodd-Frank Act, the CFPB administers and enforces RESPA, and from time to time issues guidance related to various RESPA compliance topics (see, e.g. CFPB Advisory Opinion “Real Estate Settlement Procedures Act (Regulation X); Digital Mortgage Comparison-Shopping Platforms and Related Payments to Operators” (February 7, 2023)). Some state authorities have also asserted enforcement rights.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applicability of referral fee and fee sharing prohibitions to lenders and real estate providers, including online networks, may have the effect of reducing the types and amounts of fees that may be charged or paid in connection with real estate-secured loan offerings or activities, including mortgage brokerage, lending and real estate brokerage services, or otherwise limiting our and our Network Partners' ability to conduct marketing and referral activities. RESPA and related regulations do, however, contain a number of provisions that allow for payments between unaffiliated entities, including market-based fees for the provision of non-referral goods, services or facilities and advertising arrangements. In addition, RESPA allows for referrals to affiliated entities, including joint ventures, when specific requirements have been met. We rely on these provisions in conducting our business activities.</w:t>
      </w:r>
    </w:p>
    <w:p>
      <w:pPr>
        <w:pStyle w:val="TextBody"/>
        <w:bidi w:val="0"/>
        <w:spacing w:lineRule="auto" w:line="288" w:before="0" w:after="120"/>
        <w:ind w:left="0" w:right="0" w:firstLine="360"/>
        <w:jc w:val="both"/>
        <w:rPr/>
      </w:pPr>
      <w:r>
        <w:rPr>
          <w:rFonts w:ascii="Times New Roman;sans-serif" w:hAnsi="Times New Roman;sans-serif"/>
          <w:b w:val="false"/>
          <w:color w:val="231F20"/>
          <w:sz w:val="20"/>
        </w:rPr>
        <w:t xml:space="preserve">Violations of </w:t>
      </w:r>
      <w:r>
        <w:rPr>
          <w:rFonts w:ascii="Times New Roman;sans-serif" w:hAnsi="Times New Roman;sans-serif"/>
          <w:b w:val="false"/>
          <w:color w:val="000000"/>
          <w:sz w:val="20"/>
        </w:rPr>
        <w:t>RESPA</w:t>
      </w:r>
      <w:r>
        <w:rPr>
          <w:color w:val="231F20"/>
        </w:rPr>
        <w:t xml:space="preserve"> </w:t>
      </w:r>
      <w:r>
        <w:rPr>
          <w:rFonts w:ascii="Times New Roman;sans-serif" w:hAnsi="Times New Roman;sans-serif"/>
          <w:b w:val="false"/>
          <w:color w:val="231F20"/>
          <w:sz w:val="20"/>
        </w:rPr>
        <w:t xml:space="preserve">or similar state statutes can lead to claims of substantial damages, which may include (but are not limited to) fines, treble damages and attorneys' fees, government enforcement actions, civil and criminal liability, or other remedies. </w:t>
      </w:r>
      <w:r>
        <w:rPr>
          <w:rFonts w:ascii="Times New Roman;sans-serif" w:hAnsi="Times New Roman;sans-serif"/>
          <w:b w:val="false"/>
          <w:color w:val="000000"/>
          <w:sz w:val="20"/>
        </w:rPr>
        <w:t>We diligently monitor and assess new regulatory guidance, enforcement actions and court interpretations of RESPA as part of our ongoing compliance management program and devote substantial resources and management attention to regulatory compliance in light of such developments</w:t>
      </w:r>
      <w:r>
        <w:rPr>
          <w:rFonts w:ascii="Times New Roman;sans-serif" w:hAnsi="Times New Roman;sans-serif"/>
          <w:b w:val="false"/>
          <w:color w:val="231F20"/>
          <w:sz w:val="20"/>
        </w:rPr>
        <w: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Various federal, state and, in some instances, local, laws also prohibit unfair, deceptive and abusive marketing and sales practices. We have adopted appropriate policies and procedures to address these requirements (such as appropriate consumer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disclosures and call scripting, call monitoring and other quality assurance and compliance measures), but it is not possible to ensure that all employees comply with our policies and procedures at all times.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authorities and private plaintiffs may allege that we failed to comply with applicable laws, rules and regulations where we believe we have complied. These allegations may relate to past conduct and/or past business operations. Even allegations that our activities have not complied or do not comply with all applicable laws and regulations may have a material and adverse effect on our business, financial condition and results of operations. The alleged violation of such laws, rules or regulations may entitle an individual plaintiff to seek monetary damages, or may entitle an enforcing government agency to seek significant civil or criminal penalties, costs and attorneys' fees. Regardless of its merit, an allegation typically requires legal fee expenditures to defend against. We have in the past, and may in the future, decide to settle allegations of non-compliance with laws, rules and regulations when we determine that the cost of settlement is less than the cost and risk of continuing to defend against an allegation. Settlements may require us to pay monetary fines and may require us to adopt new procedures and practices, which may render it more difficult to operate or may raise our internal costs. The future occurrence of one or more of these events could have a material and adverse effect on our business, financial condition and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these laws, rules and regulations is a significant component of our internal costs and new laws, rules and regulations are frequently proposed and adopted, requiring us to adopt new procedures and practices. Changes to existing laws, rules and regulations or changes to interpretation of existing laws, rules and regulations could result in further restriction of activities incidental to our business and could have a material and adverse effect on our business, results of operation and financial condition. Failure to comply with applicable laws and regulatory requirements may result in, among other things, revocation of or inability to renew required licenses or registrations, loss of approval status, termination of contracts without compensation, administrative enforcement actions and fines, private lawsuits, including those styled as class actions, cease and desist orders and civil and criminal liability.</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Our collection, use, storage, disclosure, transfer and other processing of personal information could give rise to significant costs and liabilities, including as a result of governmental regulation, conflicting legal requirements or differing views of personal privacy rights, which may have a material and adverse impact on our business, financial condition and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course of our operations and the processing of consumer transactions, our businesses collect, use, store, disclose, transfer and otherwise process a large volume of personal information, including from our consumers, employees and third parties with whom we conduct business, and other user data. The collection, use, storage, disclosure, transfer and other processing of personal information is increasingly subject to a wide array of federal and state laws and regulations regarding data privacy and security, including the GLBA, that are intended to protect the privacy of personal information that is collected, used, stored, disclosed, transferred and otherwise processed in or from the governing jurisdiction. Some countries also are considering or have passed legislation requiring local storage and processing of data, or similar requirements, which could increase the cost and complexity of delivering our products and services. As we seek to expand our business, we are, and may increasingly become, subject to various laws, regulations and standards, as well as contractual obligations, relating to data use, privacy and security in the jurisdictions in which we operate. In many cases, these laws and regulations apply not only to third-party transactions, but also to transfers of information between or among us, our affiliates and other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regulatory framework for data privacy and security worldwide is continuously evolving and developing and, as a result, interpretation and implementation standards and enforcement practices are likely to remain uncertain for the foreseeable future.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various federal and state regulators, including governmental agencies, like the CFPB and FTC, have adopted, or are considering adopting, laws and regulations concerning personal information and data privacy and security. This patchwork of legislation and regulation may give rise to conflicts or differing views of personal privacy rights. For example, certain state laws may be more stringent or broader in scope, or offer greater individual rights, with respect to personal information than federal, international or other state laws, and such laws may differ from each other, all of which may complicate compliance efforts. At the federal level, we are subject to the GLBA, which restricts certain collection, storage, use, disclosure and other processing by covered companies of certain personal information, requires notice to individuals of privacy practices and provides individuals with certain rights to prevent the use and disclosure of certain non-public or otherwise legally protected personal information. The GLBA also imposes requirements regarding the safeguarding and proper destruction of personal information through the issuance of data security standards or guidelines. In addition, many states in which we operate have laws that protect the privacy and security of personal information. For example, the California Consumer Privacy Act (the “CCPA”), as amended by the California Privacy Rights Act ("CPRA"), requires covered companies to, among other things, provide certain disclosures to California residents and provide such residents with certain data protection and privacy rights, including the ability to opt-out of certain sales of personal information. The CCPA provides for civil penalties for violations,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well as a private right of action for certain data breaches that result in the loss of certain personal information. This private right of action may increase the likelihood of, and risks associated with, data breach litigation. The CCPA and the CPRA contain several exemptions, including a provision to the effect that the CCPA and CPRA do not apply where the personal information is collected, processed, sold or disclosed pursuant to the GLBA. It is possible that further amendments to the CCPA and the CPRA will be enacted, but even in their current forms it remains unclear how various provisions of the CCPA and CPRA will be interpreted and enforced. Numerous other states also have enacted or are in the process of enacting state-level data privacy and security laws and regulations and there is discussion in Congress of a new federal data protection and privacy law to which we may become subject if it is enacted. All of these evolving compliance and operational requirements impose significant costs that are likely to increase over time, may require us to modify our data processing practices and policies, divert resources from other initiatives and projects, and could restrict the way products and services involving data are offered, all of which may have a material and adverse impact on our business, financial condition and results of operations.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regulatory and statutory requirements, both in the United States and abroad, include obligations for companies to notify individuals of data breaches involving certain personal information, which have in the past resulted from, and may in the future result from, breaches experienced by us or our external service providers. For example, laws in all 50 U.S. states require businesses to provide notice to consumers whose personal information has been disclosed as a result of a data breach. These laws are not consistent and compliance in the event of a widespread data breach is difficult and costly. Moreover, states have been frequently amending existing laws, requiring attention to changing regulatory requirements. We also may be contractually required to notify consumers or other third parties of a security breach. Although we may have contractual protections with our external service providers, actual or perceived security breaches have in the past resulted in, and may in the future result in, harm to our reputation and brand, exposure to potential liability or a need to expend significant resources on data security and in responding to any such actual or perceived breach. Any contractual protections we may have from our external service providers may not be sufficient to adequately protect us from any such liabilities and losses, and we may be unable to enforce any such contractual protections.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products and services. If so,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We may be unable to make such changes and modifications in a commercially reasonable manner, or at all.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consumers and have a material and adverse impact on our business, financial condition and results of operations.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make public statements about our use and disclosure of personal information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Moreover, from time to time, concerns may be expressed about whether our products and services compromise the privacy of consumers and others. Any concerns about our data privacy and security practices, even if unfounded, could damage the reputation of our businesses, discourage potential users from our products and services and have a material and adverse impact on our business, financial condition and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failure or perceived failure by us or our Network Partners or external service providers to comply with our posted privacy policies or with any applicable federal, state or foreign laws, regulations, standards, certifications or orders relating to data privacy or security or consumer protection, or any compromise of security that results in the theft, unauthorized access, acquisition, use, disclosure, or misappropriation of personal information or other user data, could result in fines or proceedings or litigation by governmental agencies or consumers, including class action privacy litigation in certain jurisdictions, which would subject us to significant awards, penalties or judgments, one or all of which could materially and adversely affect our business, financial condition and results of operations. In addition, if our practices are not consistent, or viewed as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severe criminal or civil sanctions, all of which may affect our financial condition, operating results and our reputation.</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Failure to obtain proper business licenses or other documentation or to otherwise comply with local laws and requirements regarding marketing, sales or services, may result in civil or criminal penalties and restrictions on our ability to conduct business in that jurisdiction.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states require licenses to solicit, broker or make loans secured by residential mortgages and other consumer loans to residents of those states, as well as to operate real estate referral and brokerage services, and in many cases require the licensure or registration of individual employees engaged in aspects of these businesses. Further, as mandated by the federal Secure and Fair Enforcement of Mortgage Licensing Act of 2008 (the “SAFE Act”), states adopted certain minimum standards for the licensing of individuals involved in mortgage lending or loan brokering. States also require licenses to undertake certain insurance brokerage activities. Compliance with these requirements may render it more difficult for us and our Network Partners to operate or may raise our internal costs or the costs of our Network Partners, which may be passed on to us through less favorable commercial arrangements. While our businesses have endeavored to comply with applicable requirements, the application of these requirements to our business and to persons operating online is not always clear. Moreover, any of the licenses or rights currently held by our businesses or our employees may be revoked prior to, or may not be renewed upon, their expiration. In addition, our businesses or our employees may not be granted new licenses or rights for which they may be required to apply from time to time in the future.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Regulations promulgated by some states may also impose compliance obligations on directors, executive officers, and any person who acquires a certain percentage (for example, 10% or more) of the equity in a licensed entity, including requiring such persons to periodically file financial and other personal and business information with state regulators. If any such person refuses or fails to comply with these requirements, we may be unable to obtain certain licenses and existing licensing arrangements may be jeopardized. The inability to obtain, or the loss of, required licenses could have a material and adverse effect on our business, financial condition and results of operations.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Unanticipated changes in effective tax rates or adverse outcomes resulting from examination of our income or other tax returns could adversely affect our operating results and financial condition.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the changes in tax legislation on future years may be material to our consolidated financial statements. Similarly, changes in tax laws and regulations that impact our Network Partners or the economy generally may also impact our financial condition and results of operations. In addition, tax laws and regulations are complex and subject to varying interpretations and any significant failure to comply with applicable tax laws and regulations in all relevant jurisdictions could give rise to substantial penalties and liabilities. Any changes in enacted tax laws, rules or regulatory or judicial interpretations (including any attempt to tax online services such as those offered by us); any adverse outcome in connection with tax audits in any jurisdiction; or any change in the pronouncements relating to accounting for income taxes could materially and adversely impact our effective tax rate, tax payments, financial condition and results of operations.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Our ability to use our net operating loss carryforwards and certain other tax attributes may be limited.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pre-tax consolidated federal net operating losses (“NOLs”) of $139.0 million. The federal NOLs no longer expire under the Tax Cuts and Jobs Act (“TCJA”). Our NOLs will be available to offset taxable income subject to the limitations found in Internal Revenue Code Sections 382 and 383. In addition, we have state NOLs of approximately $466.4 million at December 31, 2023, some of which will expire at various times between 2024 and 2043. The state NOLs could expire before we are able to utilize them. If we experience one or more ownership changes in the future as a result of future transactions in our stock, our ability to utilize NOLs could be limited. Our ability to use our federal NOLs was limited on an annual basis by the TCJA. This limitation was deferred for tax years 2019 and 2020 by the 2020 Coronavirus Aid, Relief, and Economic Security (“CARES”) Act. Our ability to use certain of our state NOLs was limited on an annual basis in various jurisdictions by legislative updates specific to the individual jurisdictions.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become subject to intellectual property disputes, which are costly and may subject us to significant liability and increased costs of doing business.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in the ordinary course of business we are subjected to actual and threatened legal proceedings, claims and counterclaims, including allegations relating to infringement of the patents, trademarks, copyrights and other intellectual property and similar proprietary rights, and misappropriation of trade secrets, of third parties. Our success depends, in part, on our ability to develop and commercialize our products and services without infringing, misappropriating or otherwise violating the intellectual property rights of third parties. However, we may not be aware or we may disagree that our products or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are infringing, misappropriating or otherwise violating third-party intellectual property rights and such third parties may bring claims alleging such infringement, misappropriation or violation. Lawsuits are often time-consuming and expensive to resolve and they may divert management’s time and attention. Patent litigation tends to be particularly protracted and expensive. Our technologies may not be able to withstand any third-party claims against their use.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many companies may have the capability to dedicate substantially greater resources to enforce their intellectual property rights and to defend claims that may be brought against them. If a third party is able to obtain an injunction preventing us from accessing third-party intellectual property rights, or if we cannot license or develop alternative technology for any infringing aspect of our business, we may be forced to limit or stop sales of our products and services or cease business activities related to such intellectual property. Our insurance may not cover potential claims of this type or may not be adequate to indemnify us for all liability that may be imposed. We cannot predict the outcome of lawsuits and cannot ensure that the results of any such actions will not have an adverse impact on our business, financial condition or results of operations. Uncertainties resulting from the initiation and continuation of intellectual property-related litigation or proceedings could adversely affect our ability to compete in the marketplace. Any intellectual property litigation to which we might become a party, or for which we are required to provide indemnification, may require us to do one or more of the following: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cease selling or using products or services that incorporate the intellectual property rights that we allegedly infringe, misappropriate or violate;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make substantial payments for legal fees, settlement payments or other costs or damages;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obtain a license, which may not be available on reasonable terms or at all, to sell or use the relevant technology; or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redesign or rebrand the allegedly infringing products or services to avoid infringement, misappropriation or violation, which could be costly, time-consuming or impossible.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litigation of this nature, regardless of outcome or merit, could result in substantial costs and diversion of management and technical resources, any of which could materially and adversely impact our business, financial condition and results of operations.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or other adverse consequences. </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We may fail to adequately obtain, maintain, enforce and protect our intellectual property and similar proprietary rights or may be accused of infringing, misappropriating or otherwise violating intellectual property or similar proprietary rights of third parties.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regard our intellectual property rights, including our patents, trademarks, service marks, copyrights, domain names, trade secrets and similar intellectual property and proprietary rights (as applicable) as critical to our success. Our businesses also rely heavily upon software, informational databases and other components that make up their products and services.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laws, confidentiality procedures and contractual restrictions with employees, consumers, suppliers, affiliates and others to establish and protect our intellectual property and similar proprietary rights. However, the steps we take to obtain, maintain, enforce and protect our intellectual property and similar proprietary rights may be inadequate. We may not be able to protect our intellectual property and similar proprietary rights if we are unable to enforce our rights or if we do not detect unauthorized use of our intellectual property or similar proprietary rights. If we fail to protect our intellectual property and similar proprietary rights adequately, third parties, including our competitors, may gain access to our intellectual property and proprietary technology and develop and commercialize substantially identical products, services or technologies, which would harm our business, financial condition and results of operations. Despite the precautions we have in place, it may be possible for a third party to copy or otherwise obtain and use our intellectual property, including our trade secrets, without authorization. In addition, third parties may independently and lawfully develop substantially similar intellectual property.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some cases, litigation or other actions may be necessary to protect or enforce our intellectual property and similar proprietary rights or to determine the validity and scope of intellectual or proprietary rights claimed by others. Defending, protecting and enforcing our intellectual property and similar proprietary rights might entail significant expense or be time-consuming or distracting to management.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Furthermore, because of the substantial amount of discovery required in connection with intellectual property litigation, there is a risk that some of our confidential or sensitive information could be compromised by disclosure in the event of litigation.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generally registered and continue to apply to register, or secure by contract when appropriate, our principal trademarks and service marks as they are developed and used, and reserve and register domain names when and where we deem appropriate. We generally consider the protection of our trademarks to be important for purposes of brand maintenance and reputation. While we strive to protect our trademarks, service marks and domain names, effective trademark protection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 available and contractual disputes may affect the use of marks governed by private contract. Similarly, not every variation of a domain name may be available or be registered, even if available. Our failure to protect our intellectual property rights in a meaningful manner or challenges to related contractual rights could result in erosion of our brand names and reputation and limit our ability to control marketing on or through the Internet using our various domain names or otherwise, which could materially and adversely impact our business, financial condition and results of operations.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granted one U.S. patent and from time to time we may have patent applications pending with the USPTO and various foreign patent authorities for various proprietary technologies and other inventions. The status of any patent involves complex legal and factual questions and the breadth of claims allowed is uncertain. Accordingly, any patent application filed may not result in a patent being issued, or existing or future patents may not be adjudicated valid by a court or be afforded adequate protection against competitors with similar technology.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Likewise, the issuance of a patent to us does not mean that our processes or inventions will be found not to infringe upon patents or other intellectual property rights of third parties. There may be issued patents of which we are not aware, held by third parties that, if found to be valid and enforceable, could be alleged to be infringed by our current or future processes or inventions. There also may be pending patent applications of which we are not aware that may result in issued patents, which could be alleged to be infringed by our current or future processes or inventions. Moreover, third parties may create new products or methods that achieve similar results without infringing upon patents that we own.</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Any patents, trademarks or other intellectual property rights that we have or may obtain may be challenged or circumvented by others or invalidated or held unenforceable through administrative process, including re-examination,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interference and derivation proceedings and equivalent proceedings in foreign jurisdictions (e.g., opposition proceedings) or litigation. Furthermore, legal standards relating to the validity, enforceability, and scope of protection of intellectual property rights are often uncertain. Patent, trademark, copyright, and trade secret protection may not be available to us. In addition, the laws of some foreign countries may not be as protective of intellectual property rights as those in the United States, and mechanisms for enforcement of intellectual property rights may be inadequate. As we expand our activities, our exposure to unauthorized copying and use of our intellectual property and similar proprietary rights will likely increase. Moreover, policing unauthorized use of our intellectual property and similar proprietary rights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misappropriating or otherwise violating our intellectual property or similar proprietary rights.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ensure that all persons and entities contributing to our intellectual property have validly assigned to us all applicable intellectual property rights they may have or that we will be able to enforce our rights under any such agreements. Moreover, we cannot guarantee that we have entered into confidentiality agreements with each party that has or may have had access to our confidential or proprietary information, know-how and trade secrets, or that any such confidentiality agreements will be effective in controlling access to, and distribution, use, misuse, misappropriation, reverse engineering or disclosure of, our confidential or proprietary information, know-how and trade secrets. These agreements may be breached and we may not have adequate remedies for any such breach.</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In the ordinary course of business, we are party to litigation involving contract, intellectual property and a variety of other claims, which could adversely affect our business and financial condition.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and claims which have involved and may in the future involve taxes, contract, alleged infringement of third-party intellectual property rights, consumer protection, securities laws, and other claims, including, but not limited to, the legal proceedings described in Part I, Item 3, Legal Proceedings. These matters could involve claims for substantial amounts of money or for other relief that might necessitate changes to our business or operations. The defense of these actions has been, and will likely continue to be, both time consuming and expensive, and the outcomes of these actions cannot be predicted with certainty. Determining reserves for pending litigation is a complex, fact-intensive process that requires significant legal judgment. It is possible that unfavorable outcomes in one or more such proceedings could result in substantial payments that could adversely affect our business, consolidated financial position, results of operations, or cash flows in a particular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Our reputation, ability to do business and consolidated financial statements may be harmed by improper conduct by our business partners.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partners (or businesses we acquire or partner with) may violate U.S. and/or non-U.S. laws, including the laws governing payments to government officials, bribery, fraud, kickbacks and false claims, pricing, sales and marketing practices, conflicts of interest, competition, employment practices and workplace behavior, export and import compliance, money laundering and data privacy and security. Our business partners typically act as independent contractors and not as agents in their solicitations and transactions with consumers, and we cannot ensure that these entities will comply with applicable laws and regulations at all times. Failure on the part of a lender, insurer, website operator or other third party to comply with applicable laws or regulations could result in, among other things, claims of liability against us, claims of vicarious liability or a negative impact on our reputation and business.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If our Network Partners fail to produce required documents for examination by, or other affiliated parties fail to make certain filings with, state regulators, we may be subject to fines, forfeitures and the revocation of required licenses.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states in which our businesses maintain licenses require us to collect various loan documents from our Network Partners and produce these documents for examination by state regulators. While our Network Partners are contractually obligated to provide these documents upon request, these measures may be insufficient. Failure to produce required documents for examination could result in fines, as well as the revocation of our licenses to operate in certain states, which could have a material and adverse effect on our business, financial condition and results of operations.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disclosure controls and internal control over financial reporting, our ability to produce timely and accurate consolidated financial statements or comply with applicable regulations could be impaired.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our chief executive officer, chief financial officer, or independent registered public accounting firm determines in the future that our internal control over financial reporting is not effective as defined under Section 404 of the Sarbanes-Oxley Act, we could be subject to one or more investigations or enforcement actions by state or federal regulatory agencies, stockholder lawsuits or other adverse actions requiring us to incur defense costs, pay fines, settlements or judgments, thereby causing investor perceptions to be adversely affected and potentially resulting in restatement of our consolidated financial statements for prior periods and a decline in the market price of our stock.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current internal controls and any new controls we implement may become inadequate because of changes in conditions in our business or information technology systems or changes in the applicable laws, regulations and standards. We may, in the future, acquire or invest in companies that were not subject to the Sarbanes-Oxley regulations prior to acquisition and accordingly were not required to establish and maintain an internal control infrastructure meeting the standards promulgated under the Sarbanes-Oxley Act. Any failure to design or operate effective controls, any difficulties encountered in their implementation or improvement, or any failure to implement adequate internal controls for certain investments or our acquired companies could harm our operating results or cause us to fail to meet our reporting obligations. Not correctly designing controls nor fully recognizing, understanding or testing the state of, or changes in, our internal control environment could also adversely affect the results of management evaluations and independent registered public accounting firm audits of our internal control over financial reporting, about which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stock market in the future.</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We may be exposed to liabilities under the Foreign Corrupt Practices Act (“FCPA”), which could have a material adverse effect on 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in India may subject us to compliance with various laws and regulations, including the FCPA and similar anti-bribery and anti-corruption laws, which generally prohibit companies and their intermediaries from engaging in bribery or making other improper payments to private or public parties for the purpose of obtaining or retaining business or gaining an unfair business advantage. The FCPA also requires proper record keeping and characterization of such payments in our reports filed with the SEC. Violations of these laws could result in severe criminal or civil sanctions and financial penalties and other consequences that may have a material adverse effect on our business, reputation, financial condition or results of operations.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Changes in the regulation of the Internet, mobile carriers and their partners could negatively affect 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dependent on the continued growth and maintenance of the Internet’s infrastructure, as well as our ability to market products through channels such as e-mail and voice and text messaging. There can be no assurance that the Internet’s infrastructure will continue to be able to support the demands placed on it by sustained growth in the number of users and amount of traffic. To the extent that the Internet’s infrastructure is unable to support the demands placed on it, our business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 impacted. We may also be disadvantaged by the adverse effect of any delays or cancellations of private sector or government initiatives designed to expand broadband access. The reduction in the growth of, or a decline in, broadband and Internet access poses a risk to us.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federal, state and international government bodies and agencies have in the past adopted, and may in the future adopt, laws and regulations affecting the use of the Internet as a commercial medium. Changes in these laws or regulations could adversely affect the demand for our products and services or require us to modify our products and services in order to comply with these changes. Laws, rules and regulations governing advertising and e-commerce through Internet communications and mobile carriers and their partners are dynamic and the extent of future government regulation is uncertain. Federal and state regulations govern various aspects of our online business, including intellectual property ownership, infringement and misappropriation, including with respect to trade secrets, the distribution of electronic communications, marketing and advertising, data privacy and security, search engines and Internet tracking technologies. Future taxation on the use of the Internet or e-commerce transactions could also be imposed. Existing or future regulation or taxation could hinder growth in or negatively impact the use of the Internet generally, including the viability of Internet e-commerce, which could reduce our revenue, increase our operating expenses and expose us to significant liabilities.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The possibility of additional future regulations, changing rule interpretations and examinations by regulatory agencies may result in more stringent compliance standards and could adversely affect the results of our operations.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conditions in the U.S. financial markets and economy, as well as a heightened regulatory and Congressional focus on consumer and small business lending and consumer investing, regulators have increased their scrutiny of the financial services industry, the result of which has included new regulations and guidance. We are unable to predict the long-term impact of this enhanced scrutiny. We are also unable to predict whether any additional or similar changes to statutes or regulations, including the interpretation or implementation thereof, will occur in the future. Likewise, states or municipalities may adopt statutes or regulations making it unattractive, impracticable or infeasible for our businesses to continue to conduct business in such jurisdictions. The impact of additional future regulations and/or withdrawal from any jurisdiction due to emerging legal requirements could materially and adversely affect our business, financial condition and results of operations.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Risks Related to an Investment in our Common Stock</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Fluctuations in our operating results, quarter-to-quarter earnings and other factors may result in significant decreases in the price of our common stock.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for our common stock has been volatile. From when we became a publicly-traded company to as of December 31, 2023, the price per share of our common stock has fluctuated from an intraday low of $1.42 per share to an intraday high of $434.94 per share. The market price of our common stock may fluctuate or decline significantly in the future. Some of the factors that could negatively affect the price of our common stock or result in fluctuations in the price or trading volume of our common stock include: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attract new customers and retain existing customers;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timing and success of introductions of new products and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rapid technological change, frequent new product introductions and evolving industry standards;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variations in our quarterly operating and financial results or our projected operating and financial results;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failure to meet analysts' earnings estimates;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publication of research reports about us, our Network Partners or our industry;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additions or departures of key management personnel;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adverse market reaction to any indebtedness we may incur or preferred or common stock we may issue in the future;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actions by stockholders, including “activist” investors;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market valuations of other companies in our industry, including our Network Partners and competitors;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announcements by us or our competitors of significant contracts, acquisitions, dispositions, strategic partnerships, joint ventures or capital commitments;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increased competition from one or more large, well-established technology companies;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systems, data center, website and internet failures, breaches and service interruptions;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speculation in the press or investment community, including the short selling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or proposed changes in laws or regulations affecting our industry or enforcement of these laws and regulations, or announcements relating to these matters;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threatened or actual ligation;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loss of key employees;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general economic or market conditions.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stock market is subject to frequent price and volume fluctuations. These market fluctuations could result in extreme volatility in the trading price of our common stock, which could cause a decline in the value of your investment in our common shares. In addition, the trading price of our common stock could decline for reasons unrelated to our business or financial results, including in reaction to events that affect other companies in our industry even if those events do not directly affect us. You should also be aware that price volatility may be greater if the public float and trading volume of our common stock are low. These factors may result in short-term or long-term negative pressure on the value of our common stock.</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publish inaccurate or unfavorable research about our business, our stock price and trading volume could decline.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internet marketplace operators and lead-generation companies depends, in part, on the research and reports that securities or industry analysts publish about the industry and specific companies. If one or more analysts covering us currently or in the future fail to publish reports on us regularly, demand for our common stock could decline, which could cause our stock price and trading volume to decline. If one or more recognized securities or industry analysts that cover our Company or our industry in the future downgrades our common stock or publishes inaccurate or unfavorable research about our business or industry, our stock price would likely decline.</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One holder of our common stock owns a substantial portion of our outstanding common stock, which concentrates voting control and limits your ability to influence corporate matters.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28, 2024, Douglas Lebda, our Chairman and Chief Executive Officer, beneficially owned approximately 21% of our outstanding common stock. Additionally, Mr. Lebda holds options to purchase up to 426,392 shares of our common stock that are not included in beneficial ownership because Mr. Lebda does not have the right to acquire them within 60 days of February 28, 2024. If these options were exercisable, they would represent additional beneficial ownership of approximately 2% of our outstanding common stock.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Therefore, for the foreseeable future, Mr. Lebda will have influence over our management and affairs and all matters requiring stockholder approval, including the election or removal (with or without cause) of directors and approval of any significant corporate transaction, such as a merger or other sale of us or our assets. The interests of Mr. Lebda may not necessarily align with the interests of our other stockholders. Mr. Lebda could elect to sell a significant interest in us and you may receive less than the then-current fair market value or the price you paid for your shares as a result of such transaction. This concentrated control could delay, defer or prevent a change of control, merger, consolidation, takeover or other business combination involving us that other stockholders may otherwise support. This concentrated control could also discourage a potential investor from acquiring our common stock and might harm the market price of our common stock.</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Future sales of common stock by our existing stockholders may cause our stock price to fall.</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could decline as a result of sales by our existing stockholders in the market, or the perception that these sales could occur. These sales might also make it more difficult for us to sell equity securities at a time and price that we deem appropriate.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additional shares of our common stock in the future pursuant to current or future equity incentive plans, or in connection with current or future acquisitions or financings. If we were to raise capital in the future by selling shares of our common stock, or securities that are convertible into our common stock or issuing shares of our common stock in a business acquisition, their issuance would have a dilutive effect on the percentage ownership of our stockholders and, depending on the prices at which such shares or convertible securities are sold or issued, on their investment in our common stock and, therefore, could have a material adverse effect on the market prices of our common stock.</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Anti-takeover provisions in our charter documents and under Delaware law could make an acquisition of us more difficult, limit attempts by stockholders to replace or remove our management and affect the market price of our common stock.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in our certificate of incorporation and bylaws, as amended and restated (“bylaws”), may have the effect of delaying or preventing a change of control or changes in our management. Our amended and restated certificate of incorporation and/or bylaws include provisions that: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authorize our board of directors to issue, without further action by our stockholders, up to 5,000,000 shares of undesignated preferred stock, sometimes referred to as “blank check preferred”;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prohibit cumulative voting in the election of directors;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provide that vacancies on our board of directors may be filled only by the affirmative vote of a majority of directors then in office or by the sole remaining director;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provide that only our board of directors may change the size of our board of directors;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specify that special meetings of our stockholders may be called only by or at the direction of our board of directors or by a person specifically designated with such authority by the board;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prohibit stockholders from taking action by written consent.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provisions described above may frustrate or prevent any attempts by our stockholders to replace or remove our current management by making it more difficult for stockholders to replace members of our board of directors, which is responsible for appointing our management. These provisions may also have the effect of delaying or preventing a change of control of our company, even if stockholders support such a change of control.</w:t>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bylaws provide that the Court of Chancery of the State of Delaware will be the sole and exclusive forum for substantially all disputes between the Company and its stockholders, which could limit stockholders’ ability to obtain a favorable judicial forum for disputes with our Company or our directors, officers or employees.</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bylaws provide that unless we consent in writing to the selection of an alternative forum, the Court of Chancery of the State of Delaware is the sole and exclusive forum for: (i) any derivative action or proceeding brought on behalf of us, (ii) any action asserting a claim of breach of a fiduciary duty owed by any director, officer or other employee of our Company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except as to each of (i) through (iv) above, for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choice of forum provisions may limit a stockholder’s ability to bring a claim in a judicial forum that it finds favorable for disputes with us or our directors, officers or other employees and may result in increased costs to our stockholders, which may discourage such lawsuits against us and our directors, officers and other employees. Alternatively, if a court were to find our choice of forum provisions contained in our bylaws to be inapplicable or unenforceable in an action, we may incur additional costs associated with resolving such action in other jurisdictions, which could harm our business, results of operations, and financial condition.</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We do not intend to pay any cash dividends on our common stock in the foreseeable future.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We have not declared or paid a cash dividend on our common stock in over ten years. We have no current intention to declare or pay cash dividends on our common stock in the foreseeable future. In addition, the Credit Facility contains certain restrictions on our ability to pay dividends.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15—Debt, in the notes to the consolidated financial statements included elsewhere in this annual report. The declaration, payment and amount of future cash dividends, if any, will be at the discretion of our board of directors. As a result, capital appreciation, if any, of our common stock will be the sole source of gain for the foreseeable future for holders of our common stock.</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Our financial results fluctuate as a result of seasonality, which may make it difficult to predict our future performance and may adversely affect our common stock price.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Several of our products are subject to seasonal trends. Products in our Home segment have seasonal trends that reflect the general patterns of the mortgage industry and housing sales, which typically peak in the spring and summer seasons and decline in the winter. Our quarterly operating results may fluctuate as a result of these seasonal trends. In certain historical periods, broader cyclical trends in interest rates, as well as the mortgage and real estate markets, have upset the customary seasonal trends. Our Consumer and Insurance segments also have certain products with various seasonality trends which may create further uncertainty in our quarterly operating results.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Item 1. Business—Seasonality included elsewhere in this annual report for more information. Any of these seasonal trends, or the combination of them, may negatively impact the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The conditional conversion feature of our outstanding convertible senior notes, if triggered, may adversely affect our financial condition and operating results.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conditional conversion feature of our 0.50% Convertible Senior Notes due July 15, 2025 (the “Notes”) is triggered, holders of Notes will be entitled to convert the Notes at any time during specified periods at their option. Convertibility for each quarter will be determined based on whether the last reported sales price of our common stock, for at least 20 trading days (whether or not consecutive) during the period of 30 consecutive trading days ending on, and including, the last trading day of the immediately preceding calendar quarter, is greater than or equal to 130% of the conversion price under the Notes on each applicable trading day. If so, then the Notes will be convertible during that calendar quarter. The Notes will also be convertible at any time during the five business day period immediately following any five consecutive trading day period in which the trading price per $1,000 principal amount of Notes for each trading Day of such five trading day period is less than 98% of the product of the last reported sale price of our common stock on each such trading day and the conversion ratio under the Notes, as more fully described in the respective indentures governing the Notes, which are incorporated by reference as an exhibit to this annual report.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respective Notes as a current rather than long-term liability, which would result in a material reduction of our net working capital.</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Notes will have the right to require us to repurchase all or a portion of their Notes upon the occurrence of a fundamental change at a repurchase price equal to 100% of the principal amount of the Notes to be repurchased, plus accrued and unpaid special interest, if any. We may not have enough available cash or be able to obtain financing at the time we are required to make repurchases of Notes surrendered therefore, or pay cash with respect to Notes being converted if we elect not to issue shares, which could harm our reputation and affect the trading price of our common stock.</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have the ability to pay off the Notes with our current cash and future cash flow, combined with our borrowing capacity under our current Credit Facility, or raise the funds necessary to pay off the Notes upon their maturity in July 2025.</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Our Notes mature on July 15, 2025, unless earlier repurchased, redeemed or converted.</w:t>
      </w:r>
      <w:r>
        <w:rPr>
          <w:color w:val="000000"/>
        </w:rPr>
        <w:t xml:space="preserve"> </w:t>
      </w:r>
      <w:r>
        <w:rPr>
          <w:rFonts w:ascii="Times New Roman;sans-serif" w:hAnsi="Times New Roman;sans-serif"/>
          <w:b w:val="false"/>
          <w:color w:val="000000"/>
          <w:sz w:val="20"/>
        </w:rPr>
        <w:t>As of December 31, 2023, $284 million of the Notes were outstanding.</w:t>
      </w:r>
      <w:r>
        <w:rPr>
          <w:color w:val="000000"/>
        </w:rPr>
        <w:t xml:space="preserve"> </w:t>
      </w:r>
      <w:r>
        <w:rPr>
          <w:rFonts w:ascii="Times New Roman;sans-serif" w:hAnsi="Times New Roman;sans-serif"/>
          <w:b w:val="false"/>
          <w:color w:val="000000"/>
          <w:sz w:val="20"/>
        </w:rPr>
        <w:t>We may not have enough available cash or availability under our Credit Facility or be able to obtain financing at the time the Notes mature, which could harm our reputation and affect the trading price of our common stock. Additional funding may not be available to us on acceptable terms or at all.</w:t>
      </w:r>
      <w:r>
        <w:rPr>
          <w:color w:val="000000"/>
        </w:rPr>
        <w:t xml:space="preserve"> </w:t>
      </w:r>
      <w:r>
        <w:rPr>
          <w:rFonts w:ascii="Times New Roman;sans-serif" w:hAnsi="Times New Roman;sans-serif"/>
          <w:b w:val="false"/>
          <w:color w:val="000000"/>
          <w:sz w:val="20"/>
        </w:rPr>
        <w:t xml:space="preserve">Our ability to obtain additional debt will depend on a number of factors, including market conditions, interest rates, our operating performance, our credit rating and lender or investor interest.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elect to settle the Notes in shares, then existing stockholders could experience substantial dilution.</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Our hedge and warrant transactions may affect the value of the Notes and our common stock.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pricing of the Notes, we entered into convertible note hedge transactions with certain counterparties. The hedge transactions are generally expected to reduce the potential dilution upon conversion of the Notes and/or offset any cash payments we are required to make in excess of the principal amount of converted Notes, as the case may be. We also entered into warrant transactions with such counterparties. However, the warrant transactions could separately have a dilutive effect to the extent that the market price per share of our common stock exceeds the applicable strike price of the warrants. The initial strike price of the warrants is $709.52 for the warrants associated with the Notes.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establishing their initial hedge of the hedge and warrant transactions, the counterparties or their respective affiliates may have purchased shares of our common stock and/or entered into various derivative transactions with respect to our common stock concurrently with or shortly after the pricing of the Notes. In addition,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or following any repurchase of Notes by us on any fundamental repurchase date or otherwise). This activity could cause or avoid an increase or a decrease in the market price of our common stock or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We may need additional equity, debt or other financing in the future, which we may not be able to obtain on acceptable terms, or at all, and any additional financing may result in restrictions on our operations or substantial dilution to our stockholders.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need to raise funds in the future, for example, to develop new technologies, expand our business, respond to competitive pressures and make acquisitions. We may try to raise additional funds through public or private financings, strategic relationships or other arrangements. Although our existing Credit Facility limits our ability to incur additional indebtedness, these restrictions are subject to a number of qualifications and exceptions and may be amended with the consent of our lenders. Accordingly, under certain circumstances, we may incur substantial additional debt.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obtain debt or equity funding will depend on a number of factors, including market conditions, interest rates, our operating performance, our credit rating and investor interest. Additional funding may not be available to us on acceptable terms or at all. If adequate funds are not available, we may be required to reduce expenditures, including curtailing our growth strategies, foregoing acquisitions or reducing our business development efforts. If we succeed in raising additional funds through the issuance of equity or equity-linked securities, then existing stockholders could experience substantial dilution. If we raise additional funds through the issuance of debt securities or preferred stock, these new securities would have rights, preferences and privileges senior to those of the holders of our common stock. In addition, any such issuance could subject us to restrictive covenants relating to our capital raising activities and other financial and operational matters, which may make it more difficult for us to obtain additional capital and to pursue business opportunities, including potential acquisitions. Further, to the extent we incur additional indebtedness or such other obligations, the risks associated with our existing debt, including our possible inability to service our existing debt, would increase.</w:t>
      </w:r>
    </w:p>
    <w:p>
      <w:pPr>
        <w:pStyle w:val="TextBody"/>
        <w:bidi w:val="0"/>
        <w:spacing w:lineRule="auto" w:line="288" w:before="240" w:after="120"/>
        <w:jc w:val="both"/>
        <w:rPr/>
      </w:pPr>
      <w:r>
        <w:rPr>
          <w:rFonts w:ascii="Times New Roman;sans-serif" w:hAnsi="Times New Roman;sans-serif"/>
          <w:b/>
          <w:i/>
          <w:color w:val="000000"/>
          <w:sz w:val="20"/>
        </w:rPr>
        <w:t>We cannot guarantee that our stock repurchase program will be fully consummated or that it will enhance long-term stockholder value</w:t>
      </w:r>
      <w:r>
        <w:rPr>
          <w:rFonts w:ascii="Times New Roman;sans-serif" w:hAnsi="Times New Roman;sans-serif"/>
          <w:b w:val="false"/>
          <w:color w:val="000000"/>
          <w:sz w:val="20"/>
        </w:rPr>
        <w:t>.</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in each of February 2018 and February 2019, our board of directors authorized us to repurchase of up to $100.0 million and $150.0 million shares of our common stock, respectively, we cannot guarantee that the stock repurchase program will be fully consummated or that it will enhance long-term stockholder value. Our ability to repurchase stock is limited by our Credit Facility. The program could affect the trading price of our stock and increase volatility, and any announcement of a termination or change of this program may result in a decrease in the trading price of our stock. In addition, any purchases made under this program may diminish our cash reserves. There were no repurchases during the year ended December 31, 2023. During the years ended December 31, 2022 and 2021, we purchased 379,895 and 334,253 shares of our common stock, respectively, for $43.0 million and $40.0 million, respectively. At December 31, 2023, $96.7 million remains authorized for share repurchase.</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If our goodwill or indefinite-lived intangible assets become impaired, we may be required to record a significant charge to earnings.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accounting principles generally accepted in the United States of America (“GAAP”), we review the carrying value of goodwill and indefinite-lived intangible assets on an annual basis as of October 1, or more frequently if an event occurs or circumstances change that would more likely than not reduce the fair value of a reporting unit below its carrying value. Factors that may be considered a change in circumstances, indicating that the carrying value of our goodwill or indefinite-lived intangible assets may not be recoverable, include a decline in stock price and market capitalization, reduced future cash flow estimates and slower growth rates in our industry or our customers’ industries. We may be required to record a significant charge in our consolidated financial statements during a period in which any impairment of our goodwill or indefinite-lived intangible assets is determined, negatively impacting our results of operations.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If the fair value of our equity investments decrease, we will be required to record a significant charge to earnings.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equity investments do not have readily determinable fair values and, upon acquisition, we elected the measurement alternative to value these securities. These equity securities are carried at cost less impairment, if any, and subsequently measured to fair value upon observable price changes in an orderly transaction for the identical or similar investments with any gains or losses recorded in operating income in the consolidated statement of operations. If there is an observable price change that indicates a decrease in the fair value of our equity investments, we will be required to record a significant charge in our consolidated financial statements, negatively impacting our results of operations.</w:t>
      </w:r>
    </w:p>
    <w:p>
      <w:pPr>
        <w:pStyle w:val="TextBody"/>
        <w:bidi w:val="0"/>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Charges to earnings resulting from acquisitions may adversely affect our operating results.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GAAP, when we acquire businesses, we allocate the purchase price to tangible assets and liabilities and identifiable intangible assets acquired at their acquisition date fair values. Any residual purchase price is recorded as goodwill. We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estimate the fair value of any contingent consideration. Our estimates of fair value are based upon assumptions believed to be reasonable but which are uncertain and involve significant judgments by management. After we complete an acquisition, the following factors could result in material charges and adversely affect our operating results and may adversely affect our cash flows: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costs incurred to combine the operations of companies we acquire, such as transitional employee expenses and employee retention or relocation expenses;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impairment of goodwill or intangible assets;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reduction in the useful lives of intangible assets acquired;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impairment of long-lived assets;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identification of, or changes to, assumed contingent liabilities;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the fair value of any contingent consideration;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charges to our operating results due to duplicative pre-merger activities;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charges to our operating results from expenses incurred to effect the acquisition;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charges to our operating results due to the expensing of certain stock awards assumed in an acquisition.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these potential charges would be accounted for as expenses that would decrease our net income and earnings per share for the periods in which those costs are incurred. Charges to our operating results in any given period could differ substantially from other periods based on the timing and size of our acquisitions and the extent of acquisition accounting adjustments.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acquisitions with potential future contingent consideration payments, we assign a fair value to the contingent consideration and reassess this fair value quarterly. Increases or decreases based on the actual performance of the acquired company against the contingent consideration targets or other factors will cause decreases or increases, respectively, in our results of operations. These quarterly adjustments could have a material adverse effect on our results of operations. During 2021, we incurred $8.2 million of contingent consideration income due to the change in estimated fair value of the earnout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pPr>
      <w:r>
        <w:rPr>
          <w:rFonts w:ascii="Times New Roman;sans-serif" w:hAnsi="Times New Roman;sans-serif"/>
          <w:b/>
          <w:color w:val="000000"/>
          <w:sz w:val="20"/>
        </w:rPr>
        <w:t>ITEM 1B.  </w:t>
      </w:r>
      <w:r>
        <w:rPr>
          <w:rFonts w:ascii="Times New Roman;sans-serif" w:hAnsi="Times New Roman;sans-serif"/>
          <w:b/>
          <w:i/>
          <w:color w:val="000000"/>
          <w:sz w:val="20"/>
        </w:rPr>
        <w:t>Unresolved Staff Comments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12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ans-serif" w:hAnsi="Times New Roman;sans-serif"/>
          <w:b/>
          <w:color w:val="000000"/>
          <w:sz w:val="20"/>
        </w:rPr>
        <w:t>ITEM 1C.</w:t>
      </w:r>
      <w:r>
        <w:rPr>
          <w:color w:val="000000"/>
        </w:rPr>
        <w:t xml:space="preserve"> </w:t>
      </w:r>
      <w:r>
        <w:rPr>
          <w:rFonts w:ascii="Times New Roman;sans-serif" w:hAnsi="Times New Roman;sans-serif"/>
          <w:b/>
          <w:i/>
          <w:color w:val="000000"/>
          <w:sz w:val="20"/>
        </w:rPr>
        <w:t>Cybersecurity</w:t>
      </w:r>
    </w:p>
    <w:p>
      <w:pPr>
        <w:pStyle w:val="TextBody"/>
        <w:bidi w:val="0"/>
        <w:spacing w:lineRule="auto" w:line="288" w:before="240" w:after="120"/>
        <w:jc w:val="left"/>
        <w:rPr>
          <w:rFonts w:ascii="Times New Roman;sans-serif" w:hAnsi="Times New Roman;sans-serif"/>
          <w:b/>
          <w:i/>
          <w:color w:val="000000"/>
          <w:sz w:val="20"/>
        </w:rPr>
      </w:pPr>
      <w:r>
        <w:rPr>
          <w:rFonts w:ascii="Times New Roman;sans-serif" w:hAnsi="Times New Roman;sans-serif"/>
          <w:b/>
          <w:i/>
          <w:color w:val="000000"/>
          <w:sz w:val="20"/>
        </w:rPr>
        <w:t>Governance Related to Cybersecurity Risks</w:t>
      </w:r>
    </w:p>
    <w:p>
      <w:pPr>
        <w:pStyle w:val="TextBody"/>
        <w:bidi w:val="0"/>
        <w:spacing w:lineRule="auto" w:line="288" w:before="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risk oversight is a top priority for management and our board of directors. Management is responsible for the day-to-day management of cybersecurity risks we face, while our board of directors, as a whole and through committees, is responsible for the oversight of risk management.</w:t>
      </w:r>
    </w:p>
    <w:p>
      <w:pPr>
        <w:pStyle w:val="TextBody"/>
        <w:bidi w:val="0"/>
        <w:spacing w:lineRule="auto" w:line="288" w:before="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Chief Information Security Officer (“CISO”) is responsible for the assessment and management of cybersecurity risk. The individual currently serving as our CISO has over twenty-five years of experience in cybersecurity, information security, and risk management within the financial services industry. The CISO reports to our Chief Executive Officer (“CEO”) and provides updates to him on a regular basis of any cybersecurity matters. </w:t>
      </w:r>
    </w:p>
    <w:p>
      <w:pPr>
        <w:pStyle w:val="TextBody"/>
        <w:bidi w:val="0"/>
        <w:spacing w:lineRule="auto" w:line="288" w:before="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oversees the management of our risks from cybersecurity threats. The board of directors has delegated the responsibility for the oversight of our cybersecurity risks program to the Audit Committee. The CISO provides cybersecurity updates to our Audit Committee as needed but at least on a quarterly basis covering cybersecurity matters, including a security scorecard, updates on policies, significant incidents or new developments in our cybersecurity risk profile. Our incident response process contemplates that management will notify the audit committee of a material cybersecurity incident.</w:t>
      </w:r>
    </w:p>
    <w:p>
      <w:pPr>
        <w:pStyle w:val="TextBody"/>
        <w:bidi w:val="0"/>
        <w:spacing w:lineRule="auto" w:line="288" w:before="240" w:after="120"/>
        <w:jc w:val="left"/>
        <w:rPr>
          <w:rFonts w:ascii="Times New Roman;sans-serif" w:hAnsi="Times New Roman;sans-serif"/>
          <w:b/>
          <w:i/>
          <w:color w:val="000000"/>
          <w:sz w:val="20"/>
        </w:rPr>
      </w:pPr>
      <w:r>
        <w:rPr>
          <w:rFonts w:ascii="Times New Roman;sans-serif" w:hAnsi="Times New Roman;sans-serif"/>
          <w:b/>
          <w:i/>
          <w:color w:val="000000"/>
          <w:sz w:val="20"/>
        </w:rPr>
        <w:t>Cybersecurity Risk Management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is critical to our ongoing business as a provider of online marketplaces where consumers shop for financial services. Securing our business information, intellectual property, consumer, customer and employee data and technology systems is essential for the continuity of our business, meeting applicable regulatory requirements and maintaining the trust of our stakeholders.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help protect the Company from a major cybersecurity incident that could have a material impact on operations or our financial results, we have implemented policies, procedures, programs and controls, including technology investments that focus on cybersecurity incident prevention, identification and mitigation. The steps we take to reduce our vulnerability to cyberattacks and to mitigate impacts from cybersecurity incidents include but are not limited to: establishing information security policies and standards, implementing information protection processes and technologies, monitoring our information technology systems for cybersecurity threats, assessing cybersecurity risk profiles of key third-parties, engaging third party experts and implementing cybersecurity training for our employees. Our cybersecurity risk management program leverages the National Institute of Standards and Technology (“NIST”) framework, which organizes cybersecurity risks into five categories: identify, protect, detect, respond and recover. We regularly assess the threat landscape and take a holistic view of cybersecurity risks, with a layered cybersecurity strategy based on prevention, detection and mitigation.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test defenses by performing simulations and drills at both a technical level (including through penetration tests) and by reviewing our operational policies and procedures. At the management level, our IT security team regularly monitors alerts and meets to discuss threat levels, trends and remediation. The team also prepares a monthly cyber scorecard, regularly collects data on cybersecurity threats and risk areas and conducts an annual cybersecurity risk assessment. Further, we conduct periodic external penetration tests to assess our processes and procedures and the threat landscape. These tests and assessments are useful tools for maintaining a cybersecurity program to protect our investors, consumers, customers, employees, vendors, and intellectual property.</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follow a cybersecurity incident response process that provides a framework for responding to cybersecurity incidents. The process identifies applicable requirements for incident disclosure and reporting and also provides protocols for incident evaluation, including the use of third-party service providers and partners, processes for notification and internal escalation of information to our senior management, the Board and the audit committee. It also addresses requirements for our external reporting obligations. The cybersecurity incident response process is reviewed and updated, as necessary, under the leadership of the Company’s Chief Information Security Officer (“CISO”) and General Counsel (“GC”).</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face a number of cybersecurity risks in connection with our business. Although we did not experience a material cybersecurity incident during the year ended December 31, 2023, the scope and impact of any future incident cannot be predicted. Notwithstanding the approach we take to cybersecurity, we may not be successful in preventing or mitigating a cybersecurity incident that could have a material adverse effect on our business, results of operations, or financial condition. See “Item 1A. Risk Factors” for more information on our cybersecurity-related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pPr>
      <w:r>
        <w:rPr>
          <w:rFonts w:ascii="Times New Roman;sans-serif" w:hAnsi="Times New Roman;sans-serif"/>
          <w:b/>
          <w:color w:val="000000"/>
          <w:sz w:val="20"/>
        </w:rPr>
        <w:t>ITEM 2.  </w:t>
      </w:r>
      <w:r>
        <w:rPr>
          <w:rFonts w:ascii="Times New Roman;sans-serif" w:hAnsi="Times New Roman;sans-serif"/>
          <w:b/>
          <w:i/>
          <w:color w:val="000000"/>
          <w:sz w:val="20"/>
        </w:rPr>
        <w:t>Properties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executive offices are located on approximately 161,000 square feet of office space in Charlotte, North Carolina under a lease that expires in 2036.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Primarily as a result of our acquisitions in recent years, we also operate offices in: Charleston, South Carolina; Denver, Colorado; Seattle, Washington; Beachwood, Ohio; Ahmedabad, India; and Hyderabad, India.</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Charlotte operations support all three of our segments: Home, Consumer and Insurance. The Consumer segment has personnel in the Charleston, Ahmedabad and Hyderabad offices. The Insurance segment has personnel in the Denver, Beachwood, and Seattle offices.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pPr>
      <w:r>
        <w:rPr>
          <w:rFonts w:ascii="Times New Roman;sans-serif" w:hAnsi="Times New Roman;sans-serif"/>
          <w:b/>
          <w:color w:val="000000"/>
          <w:sz w:val="20"/>
        </w:rPr>
        <w:t>ITEM 3.  </w:t>
      </w:r>
      <w:r>
        <w:rPr>
          <w:rFonts w:ascii="Times New Roman;sans-serif" w:hAnsi="Times New Roman;sans-serif"/>
          <w:b/>
          <w:i/>
          <w:color w:val="000000"/>
          <w:sz w:val="20"/>
        </w:rPr>
        <w:t>Legal Proceedings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 the ordinary course of business, we are party to litigation involving property, contract, intellectual property and a variety of other claims. The amounts that may be recovered in such matters may be subject to insurance coverage.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17</w:t>
      </w:r>
      <w:r>
        <w:rPr>
          <w:color w:val="000000"/>
        </w:rPr>
        <w:t>—</w:t>
      </w:r>
      <w:r>
        <w:rPr>
          <w:rFonts w:ascii="Times New Roman;sans-serif" w:hAnsi="Times New Roman;sans-serif"/>
          <w:b w:val="false"/>
          <w:color w:val="000000"/>
          <w:sz w:val="20"/>
        </w:rPr>
        <w:t>Contingencies and Note 21—Discontinued Operations in the notes to the consolidated financial statements included elsewhere in this report for a discussion of our current and recently settled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pPr>
      <w:r>
        <w:rPr>
          <w:rFonts w:ascii="Times New Roman;sans-serif" w:hAnsi="Times New Roman;sans-serif"/>
          <w:b/>
          <w:color w:val="000000"/>
          <w:sz w:val="20"/>
        </w:rPr>
        <w:t>ITEM 4.  </w:t>
      </w:r>
      <w:r>
        <w:rPr>
          <w:rFonts w:ascii="Times New Roman;sans-serif" w:hAnsi="Times New Roman;sans-serif"/>
          <w:b/>
          <w:i/>
          <w:color w:val="000000"/>
          <w:sz w:val="20"/>
        </w:rPr>
        <w:t>Mine Safety Disclosures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pPr>
      <w:r>
        <w:rPr>
          <w:rFonts w:ascii="Times New Roman;sans-serif" w:hAnsi="Times New Roman;sans-serif"/>
          <w:b/>
          <w:color w:val="000000"/>
          <w:sz w:val="20"/>
        </w:rPr>
        <w:t>ITEM 5.  </w:t>
      </w:r>
      <w:r>
        <w:rPr>
          <w:rFonts w:ascii="Times New Roman;sans-serif" w:hAnsi="Times New Roman;sans-serif"/>
          <w:b/>
          <w:i/>
          <w:color w:val="000000"/>
          <w:sz w:val="20"/>
        </w:rPr>
        <w:t>Market for Registrant's Common Equity, Related Stockholder Matters and Issuer Purchases of Equity Securities</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General Market Information, Holders and Dividends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has been listed on the Nasdaq Global Select Market under the ticker symbol “TREE” since August 2008.</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23, 2024, there were approximately 482 holders of record of our common stock. The actual number of holders of our common stock is greater than this number of record holders and includes stockholders who are beneficial owners, but whose shares are held in street name by brokers or held by other nominees.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 current intention to declare or pay cash dividends on our common stock in the foreseeable future. The declaration, payment and amount of future cash dividends, if any, will be at the discretion of our board of directors.</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performance graph shall not be deemed “filed” for purposes of Section 18 of the Exchange Act or incorporated by reference into any filings under the Securities Act or the Exchange Act, except as otherwise expressly set forth by specific reference in such filing.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Set forth below is a line graph, for the period from December 31, 2018 through December 31, 2023, comparing the cumulative total stockholder return of $100 invested (assuming that all dividends were reinvested) in (1) our common stock, (2) the cumulative return of all companies listed on the Nasdaq Composite Index and (3) the cumulative total return of the Research Development Group (“RDG”) Internet index. Returns over the indicated periods should not be considered indicative of future stock prices or stockholder returns.</w:t>
      </w:r>
    </w:p>
    <w:p>
      <w:pPr>
        <w:pStyle w:val="TextBody"/>
        <w:bidi w:val="0"/>
        <w:spacing w:before="0" w:after="120"/>
        <w:ind w:left="0" w:right="0" w:firstLine="360"/>
        <w:jc w:val="both"/>
        <w:rPr/>
      </w:pPr>
      <w:r>
        <w:rPr/>
        <w:drawing>
          <wp:inline distT="0" distB="0" distL="0" distR="0">
            <wp:extent cx="5962650" cy="5029200"/>
            <wp:effectExtent l="0" t="0" r="0" b="0"/>
            <wp:docPr id="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 descr=""/>
                    <pic:cNvPicPr>
                      <a:picLocks noChangeAspect="1" noChangeArrowheads="1"/>
                    </pic:cNvPicPr>
                  </pic:nvPicPr>
                  <pic:blipFill>
                    <a:blip r:embed="rId3"/>
                    <a:stretch>
                      <a:fillRect/>
                    </a:stretch>
                  </pic:blipFill>
                  <pic:spPr bwMode="auto">
                    <a:xfrm>
                      <a:off x="0" y="0"/>
                      <a:ext cx="5962650" cy="50292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before="0" w:after="120"/>
        <w:jc w:val="center"/>
        <w:rPr/>
      </w:pPr>
      <w:r>
        <w:rPr/>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did not issue or sell any shares of our common stock or other equity securities in transactions that were not registered under the Securities Act.</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each of February 2018 and February 2019, the board of directors authorized, and we announced, a stock repurchase program that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December 31, 2023, no shares of common stock were repurchased under the stock repurchase program. As of December 31, 2023 and February 23, 2024, approximately $96.7 million is authorized for future share repurchases.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LendingTree 2023 Stock Plan and LendingTree 2023 Inducement Grant Plan, approved by our stockholders on June 21, 2023, allows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December 31, 2023, 4,725 shares were purchased related to these obligations under the LendingTree 2023 Stock Plan. The withholding of those shares does not affect the dollar amount or number of shares that may be purchased under the stock repurchase program described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the Company's purchases of equity securities during the quarter ended December 31, 2023.</w:t>
      </w:r>
    </w:p>
    <w:tbl>
      <w:tblPr>
        <w:tblW w:w="9080" w:type="dxa"/>
        <w:jc w:val="left"/>
        <w:tblInd w:w="0" w:type="dxa"/>
        <w:tblLayout w:type="fixed"/>
        <w:tblCellMar>
          <w:top w:w="28" w:type="dxa"/>
          <w:left w:w="28" w:type="dxa"/>
          <w:bottom w:w="28" w:type="dxa"/>
          <w:right w:w="28" w:type="dxa"/>
        </w:tblCellMar>
      </w:tblPr>
      <w:tblGrid>
        <w:gridCol w:w="601"/>
        <w:gridCol w:w="529"/>
        <w:gridCol w:w="535"/>
        <w:gridCol w:w="109"/>
        <w:gridCol w:w="109"/>
        <w:gridCol w:w="109"/>
        <w:gridCol w:w="514"/>
        <w:gridCol w:w="514"/>
        <w:gridCol w:w="516"/>
        <w:gridCol w:w="109"/>
        <w:gridCol w:w="109"/>
        <w:gridCol w:w="109"/>
        <w:gridCol w:w="267"/>
        <w:gridCol w:w="780"/>
        <w:gridCol w:w="139"/>
        <w:gridCol w:w="109"/>
        <w:gridCol w:w="109"/>
        <w:gridCol w:w="109"/>
        <w:gridCol w:w="525"/>
        <w:gridCol w:w="525"/>
        <w:gridCol w:w="526"/>
        <w:gridCol w:w="109"/>
        <w:gridCol w:w="109"/>
        <w:gridCol w:w="109"/>
        <w:gridCol w:w="349"/>
        <w:gridCol w:w="1195"/>
        <w:gridCol w:w="257"/>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bidi w:val="0"/>
              <w:spacing w:lineRule="auto" w:line="240" w:before="0" w:after="0"/>
              <w:jc w:val="center"/>
              <w:rPr/>
            </w:pPr>
            <w:r>
              <w:rPr>
                <w:rFonts w:ascii="Times New Roman;sans-serif" w:hAnsi="Times New Roman;sans-serif"/>
                <w:b/>
                <w:color w:val="000000"/>
                <w:sz w:val="16"/>
              </w:rPr>
              <w:t xml:space="preserve">Shares Purchased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Purchased as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Part of Publicly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Announced Plans or</w:t>
            </w:r>
          </w:p>
          <w:p>
            <w:pPr>
              <w:pStyle w:val="TableContents"/>
              <w:bidi w:val="0"/>
              <w:spacing w:lineRule="auto" w:line="240" w:before="0" w:after="0"/>
              <w:jc w:val="center"/>
              <w:rPr/>
            </w:pPr>
            <w:r>
              <w:rPr>
                <w:rFonts w:ascii="Times New Roman;sans-serif" w:hAnsi="Times New Roman;sans-serif"/>
                <w:b/>
                <w:color w:val="000000"/>
                <w:sz w:val="16"/>
              </w:rPr>
              <w:t xml:space="preserve">Programs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w:t>
              <w:br/>
              <w:t>Dollar Value of Shares</w:t>
              <w:br/>
              <w:t>that May Yet be</w:t>
              <w:br/>
              <w:t>Purchased Under the</w:t>
              <w:br/>
              <w:t>Plans or Programs</w:t>
            </w:r>
          </w:p>
        </w:tc>
      </w:tr>
      <w:tr>
        <w:trPr/>
        <w:tc>
          <w:tcPr>
            <w:tcW w:w="1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10/1/23 - 10/31/23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11/1/23 - 11/30/23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12/1/23 - 12/31/23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4,725 </w:t>
            </w:r>
          </w:p>
        </w:tc>
        <w:tc>
          <w:tcPr>
            <w:tcW w:w="5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17.90 </w:t>
            </w:r>
          </w:p>
        </w:tc>
        <w:tc>
          <w:tcPr>
            <w:tcW w:w="13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96,655 </w:t>
            </w:r>
          </w:p>
        </w:tc>
        <w:tc>
          <w:tcPr>
            <w:tcW w:w="2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(1)During October 2023, November 2023, and December 2023, 303 shares, 1,772 shares, and 2,650 shares, respectively (totaling 4,725 shares), were purchased to satisfy federal and state withholding obligations of our employees upon the settlement of restricted stock units and restricted stock awards, all in accordance with our 2023 Stock Plan and 2023 Inducement Grant Plan, as described above.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(2)See the narrative disclosure above the table for further description of our publicly announced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pPr>
      <w:r>
        <w:rPr>
          <w:rFonts w:ascii="Times New Roman;sans-serif" w:hAnsi="Times New Roman;sans-serif"/>
          <w:b/>
          <w:color w:val="000000"/>
          <w:sz w:val="20"/>
        </w:rPr>
        <w:t>ITEM 6.  </w:t>
      </w:r>
      <w:r>
        <w:rPr>
          <w:rFonts w:ascii="Times New Roman;sans-serif" w:hAnsi="Times New Roman;sans-serif"/>
          <w:b/>
          <w:i/>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300" w:after="120"/>
        <w:jc w:val="left"/>
        <w:rPr/>
      </w:pPr>
      <w:r>
        <w:rPr>
          <w:rFonts w:ascii="Times New Roman;sans-serif" w:hAnsi="Times New Roman;sans-serif"/>
          <w:b/>
          <w:color w:val="000000"/>
          <w:sz w:val="20"/>
        </w:rPr>
        <w:t>ITEM 7.  </w:t>
      </w:r>
      <w:r>
        <w:rPr>
          <w:rFonts w:ascii="Times New Roman;sans-serif" w:hAnsi="Times New Roman;sans-serif"/>
          <w:b/>
          <w:i/>
          <w:color w:val="000000"/>
          <w:sz w:val="20"/>
        </w:rPr>
        <w:t>Management's Discussion and Analysis of Financial Condition and 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should be read in conjunction with our consolidated financial statements and accompanying notes included elsewhere within this report. This discussion includes both historical information and forward-looking information that involves risks, uncertainties and assumptions. Our actual results may differ materially from management's expectations as a result of various factors, including but not limited to those discussed in the sections entitled “Risk Factors” and “Cautionary Statement Regarding Forward-Looking Information.”</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 Inc. is the parent of LT Intermediate Company, LLC, which holds all of the outstanding ownership interests of LendingTree, LLC, and LendingTree, LLC owns several companies.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auto loans, credit cards, deposit accounts, personal loans, student loans, small business loans, insurance quotes, sales of insurance policies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Spring platform (previously MyLendingTree) offers a personalized comparison-shopping experience, financial health advice and credit simulations by providing free credit scores and credit score analysis. This authenticated, and secure platform enables us to monitor consumers' credit profiles, identify and alert them to changes in their financial health, and to recommend loans and other offerings on our marketplace that may be more favorable than the terms they may have at a given point in time. Customers can track the progress of their financial health over time based on actions they have taken, see recommended credit score improvement actions, and loans or other products offered by LendingTree.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developing new product offerings and enhancements to improve the experience of consumers and Network Partners as they interact with us. By expanding our portfolio of financial services offerings, we are growing and diversifying our business and sources of revenue. We intend to capitalize on our expertise in performance marketing, product development and technology by leveraging the widespread recognition of the LendingTree brand.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consumer and small business financial services industry is in the middle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Network Partners place us in a strong position to continue to benefit from this market shift.</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Economic Conditions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monitor the current global economic environment, specifically inflationary pressures and interest rates, and any resulting impacts on our financial position and results of operations.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During 2022, the challenging interest rate environment and persistent inflationary pressures presented challenges for many of our mortgage lending and insurance partners. We saw the most significant impact in our Home segment as mortgage rates nearly doubled in 2022, causing a sharp decline in refinance volumes and pressure on purchase activity. Although our Insurance segment rebounded from the trough in the fourth quarter of</w:t>
      </w:r>
      <w:r>
        <w:rPr>
          <w:color w:val="000000"/>
        </w:rPr>
        <w:t xml:space="preserve"> </w:t>
      </w:r>
      <w:r>
        <w:rPr>
          <w:rFonts w:ascii="Times New Roman;sans-serif" w:hAnsi="Times New Roman;sans-serif"/>
          <w:b w:val="false"/>
          <w:color w:val="000000"/>
          <w:sz w:val="20"/>
        </w:rPr>
        <w:t>2021, the recovery was slower than expected as demand from our carrier partners remained volatile as they continued to attempt to implement premium increases to offset the effect of inflation on claims. In addition, the auto and home insurance industry was impacted in 2022 by persistent industry headwinds, supply chain issues, rising accident severity and frequency, and hurricane losses.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challenging interest rate environment and inflationary pressures have continued to present challenges for many of our mortgage lending and insurance partners. In our Home segment, mortgage rates hit multi-decade highs of nearly 8% in October, then proceeded to drop below 7% by December, ending the year at 6.6%. The continued high mortgage rates in 2023 and home affordability issues continued to cause declines in refinance volumes and purchase activity. In our Insurance segment, demand from our carrier partners remained volatile for much of the year as they continued to deal with persistent industry headwinds. In the last months of 2023, we began to see advertising budgets from our carrier partners increase and we are optimistic about the prospect for continued increases into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three reportable segments: Home, Consumer, and Insurance. </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Recent Mortgage Interest Rate Trends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and market risks are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Typically, when interest rates decline, we see increased consumer demand for mortgage refinancings,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 and, accordingly, lenders receive more organic mortgage lead volume. Due to lower lender demand, our revenue earned per consumer typically decreases, but with correspondingly lower selling and marketing costs.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dynamically adjust selling and marketing expenditures in all interest rate environments to optimize our results against these variables.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Freddie Mac, 30-year mortgage interest rates steadily increased during 2021, from a monthly average of 2.74% in January 2021, ending at a monthly average of 3.10% in December 2021. During 2022, 30-year mortgage interest rates increased significantly from a monthly average of 3.45% in January 2022, ending at a monthly average of 6.36% in December 2022. During 2023, 30-year mortgage interest rates steadily increased from a monthly average of 6.27% in January 2023 to a high of 7.62% in October 2023 prior to decreasing at the end of the year, ending at a monthly average of 6.82% in December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 full-year basis, 30-year mortgage interest rates increased to an average 6.80% in 2023, compared to 5.33% and 2.96% in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before="0" w:after="120"/>
        <w:ind w:left="0" w:right="0" w:firstLine="360"/>
        <w:jc w:val="center"/>
        <w:rPr/>
      </w:pPr>
      <w:r>
        <w:rPr/>
        <w:drawing>
          <wp:inline distT="0" distB="0" distL="0" distR="0">
            <wp:extent cx="6286500" cy="4514850"/>
            <wp:effectExtent l="0" t="0" r="0" b="0"/>
            <wp:docPr id="4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 descr=""/>
                    <pic:cNvPicPr>
                      <a:picLocks noChangeAspect="1" noChangeArrowheads="1"/>
                    </pic:cNvPicPr>
                  </pic:nvPicPr>
                  <pic:blipFill>
                    <a:blip r:embed="rId4"/>
                    <a:stretch>
                      <a:fillRect/>
                    </a:stretch>
                  </pic:blipFill>
                  <pic:spPr bwMode="auto">
                    <a:xfrm>
                      <a:off x="0" y="0"/>
                      <a:ext cx="6286500" cy="4514850"/>
                    </a:xfrm>
                    <a:prstGeom prst="rect">
                      <a:avLst/>
                    </a:prstGeom>
                  </pic:spPr>
                </pic:pic>
              </a:graphicData>
            </a:graphic>
          </wp:inline>
        </w:drawing>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of total mortgage origination dollars decreased to 30% in 2022 from 59% of total 2021 mortgage origination dollars from refinance due to the increase in average mortgage rates. Total refinance original dollars decreased further to 19% of total mortgage origination dollars in 2023 due to the increase in average mortgage interest rates. Total refinance origination dollars decreased by 74% in 2022 over 2021 and 54% in 2023 over 2022. Industry-wide mortgage origination dollars decreased by 49% in 2022 over 2021 and 29% in 2023 over 2022.</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Looking forward, the MBA is projecting 30-year mortgage interest rates to decrease in 2024 to an average of 6.1%. According to MBA projections, the mix of mortgage origination dollars is expected to remain primarily with purchase mortgages with the refinance share representing just 24% for 2024.</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The U.S. Real Estate Market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Fannie Mae data, in 2021, existing home sales grew by 9% over 2020, fueled by increased competition for low inventory as well as an increase in first-time home buyers. In 2022, existing home sales decreased by 17% as compared to 2021 due to increased interest rates and limited inventory of homes. This trend continued into 2023 with existing home sales decreasing 19% over 2022. Fannie Mae expects a 4% increase in existing home sales in 2024 compared to 2023.</w:t>
      </w: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LendingTree Spring (previously MyLendingTree)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certain metrics related to Spring set forth below to help us evaluate our business and growth trends and assess operational efficiencies. The calculation of the metrics discussed below may differ from other similarly titled metrics used by other companies, securities analysts or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continued to grow our user base and added 3.4 million new users in 2023, bringing cumulative sign-ups to 28.2 million as of December 31, 2023. </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Convertible Senior Notes and Hedge and Warrant Transactions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24, 2020, we issued $575.0 million aggregate principal amount of our 0.50% Convertible Senior Notes due July 15, 2025 (the "2025 Notes") and, in connection therewith, entered into Convertible Note Hedge and Warrant transactions with respect to our common stock.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2017, we issued $300.0 million aggregate principal amount of our 0.625% Convertible Senior Notes due June 1, 2022 and, in connection therewith, entered into Convertible Note Hedge and Warrant transactions with respect to our common stock. On July 24, 2020, a portion of the net proceeds from the issuance of the 2025 Notes was used to repurchase approximately $130.3 million principal amount of the 2022 Notes. A portion of the call spread transactions associated with the 2022 Notes was also terminated on July 24, 2020 in notional amounts corresponding to the principal amount of the 2022 Notes repurchased.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2022, we drew $250.0 million on the Term Loan Facility. A portion of this was used to pay the outstanding balance of $169.7 million and interest on our 0.625% Convertible Senior Notes that matured on June 1, 2022. The remaining call spread transactions associated with the 2022 Notes terminated in 2022.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2023, we repurchased approximately $190.6 million in principal amount of our 2025 Notes, through separate transactions with certain holders of the 2025 Notes, for $156.3 million plus accrued and unpaid interest of approximately $0.1 million. On December 7, 2023, we repurchased approximately $100.2 million in principal amount of our 2025 Notes, through separate transactions with certain holders of the 2025 Notes, for $81.2 million plus accrued and unpaid interest of approximately $0.2 million. In 2023, we recognized a gain on the extinguishment of debt of $53.3 million, a loss on the write-off of unamortized debt issuance costs of $3.2 million and incurred debt repayment costs of $1.6 million, all of which are included in interest income/expense, net in the consolidated statement of operations and comprehensive income. </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For more information,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15—Debt, in the notes to the consolidated financial statements included elsewhere in this report.</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Cost Reductions and Simplification of Business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2023, we committed to a workforce reduction plan (the “Reduction Plan”), to reduce operating costs, which included the elimination of approximately 13% of the Company’s workforce. As a result of the Reduction Plan, we incurred approximately $5.3 million in severance charges in connection with the workforce reduction. Part of this Reduction Plan included the shut down of our LendingTree customer call center as well as our Medicare insurance agency operations within QuoteWizard. We anticipate the Reduction Plan will reduce annual compensation expense by approximately $14 million, comprised of $2 million in cost of revenue, $4 million in selling and marketing expense, $3 million in general and administrative expense, and $5 million in product development.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September 2023, we completed workforce reductions of 14 employees. We incurred $0.9 million in severance charges in connection with the workforce reductions, consisting of cash expenditures for employee separation costs of approximately $0.7 million and non-cash charges for the accelerated vesting of certain equity awards of approximately $0.2 million.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Separately, we made the decision to close our Ovation credit services business, an asset group within our Consumer segment, by mid- 2023. As a result, the Company recorded an asset impairment charge of $4.2 million in 2023 related to the write-off of certain long-term assets. Additionally, we incurred $2.1 million in severance charges in 2023 in connection with cash expenditures for employee separation costs. We acquired Ovation in 2018 to better serve those customers who come to LendingTree and receive suboptimal offers of credit. The business grew for a number of years before running into challenges in the wake of COVID-19, and more recently the industry has faced increased regulatory pressure. The business is capital-intensive, requires elevated overhead, and future prospects were becoming uncertain.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Ovation business accounted for approximately 3% of total revenue and 3% of total costs and expenses, with an immaterial impact to net income on the consolidated statement of operations and comprehensive income (loss)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 for the Years ended December 31, 2023 and 2022</w:t>
      </w:r>
    </w:p>
    <w:p>
      <w:pPr>
        <w:pStyle w:val="TextBody"/>
        <w:bidi w:val="0"/>
        <w:spacing w:lineRule="auto" w:line="288" w:before="240" w:after="120"/>
        <w:jc w:val="left"/>
        <w:rPr/>
      </w:pPr>
      <w:r>
        <w:rPr>
          <w:rFonts w:ascii="Times New Roman;sans-serif" w:hAnsi="Times New Roman;sans-serif"/>
          <w:b w:val="false"/>
          <w:color w:val="000000"/>
          <w:sz w:val="20"/>
        </w:rPr>
        <w:t xml:space="preserve">For information on fiscal 2021 results and similar comparisons,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Item 7. Management's Discussion and Analysis of Financial Condition and Results of Operations—Results of Operations for the Years ended December 31, 2022 and 2021 of our Form 10-K for the fiscal year ended December 31, 2022.</w:t>
      </w:r>
    </w:p>
    <w:tbl>
      <w:tblPr>
        <w:tblW w:w="10205" w:type="dxa"/>
        <w:jc w:val="left"/>
        <w:tblInd w:w="0" w:type="dxa"/>
        <w:tblLayout w:type="fixed"/>
        <w:tblCellMar>
          <w:top w:w="28" w:type="dxa"/>
          <w:left w:w="28" w:type="dxa"/>
          <w:bottom w:w="28" w:type="dxa"/>
          <w:right w:w="28" w:type="dxa"/>
        </w:tblCellMar>
      </w:tblPr>
      <w:tblGrid>
        <w:gridCol w:w="1854"/>
        <w:gridCol w:w="1475"/>
        <w:gridCol w:w="1501"/>
        <w:gridCol w:w="211"/>
        <w:gridCol w:w="877"/>
        <w:gridCol w:w="109"/>
        <w:gridCol w:w="109"/>
        <w:gridCol w:w="109"/>
        <w:gridCol w:w="109"/>
        <w:gridCol w:w="211"/>
        <w:gridCol w:w="877"/>
        <w:gridCol w:w="109"/>
        <w:gridCol w:w="109"/>
        <w:gridCol w:w="109"/>
        <w:gridCol w:w="109"/>
        <w:gridCol w:w="211"/>
        <w:gridCol w:w="877"/>
        <w:gridCol w:w="109"/>
        <w:gridCol w:w="357"/>
        <w:gridCol w:w="309"/>
        <w:gridCol w:w="464"/>
      </w:tblGrid>
      <w:tr>
        <w:trPr/>
        <w:tc>
          <w:tcPr>
            <w:tcW w:w="185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5"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(Dollars in thousands)</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672,502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984,992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(312,490)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revenue </w:t>
            </w:r>
            <w:r>
              <w:rPr>
                <w:rFonts w:ascii="Times New Roman;sans-serif" w:hAnsi="Times New Roman;sans-serif"/>
                <w:b w:val="false"/>
                <w:i/>
                <w:color w:val="000000"/>
                <w:sz w:val="20"/>
              </w:rPr>
              <w:t>(exclusive of depreciation and amortization shown separately below)</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severance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contingencies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costs and expenses</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713,113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1,017,754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(304,641)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(32,762)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(124,919)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(127)</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and comprehensive loss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(122,404)</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(187,952)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65,548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w:t>
            </w:r>
            <w:r>
              <w:rPr>
                <w:color w:val="000000"/>
              </w:rPr>
              <w:t> </w:t>
            </w:r>
          </w:p>
        </w:tc>
        <w:tc>
          <w:tcPr>
            <w:tcW w:w="4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240" w:after="12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decreased in 2023 compared to 2022 due to decreases in our Home, Consumer and Insurance segments.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decreased $117.2 million in 2023 from 2022, or 30%, primarily due to decreases in our personal loans, credit cards, small business loans products and other credit products. Several of our other products in the Consumer segment experienced decreases in revenue in 2023 from 2022.</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Revenue from our personal loans product decreased $44.0 million, or 31%, to $100.1 million in 2023 from $144.1 million in 2022 primarily</w:t>
      </w:r>
      <w:r>
        <w:rPr>
          <w:color w:val="000000"/>
          <w:shd w:fill="FFFFFF" w:val="clear"/>
        </w:rPr>
        <w:t xml:space="preserve"> </w:t>
      </w:r>
      <w:r>
        <w:rPr>
          <w:rFonts w:ascii="Times New Roman;sans-serif" w:hAnsi="Times New Roman;sans-serif"/>
          <w:b w:val="false"/>
          <w:color w:val="000000"/>
          <w:sz w:val="20"/>
          <w:shd w:fill="FFFFFF" w:val="clear"/>
        </w:rPr>
        <w:t>due to a decrease in the number of consumers completing request forms and in revenue earned per consumer.</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Revenue from our credit cards product decreased $38.2 million, or 38%, to $62.0 million in 2023 from $100.2 million in 2022 primarily due to a decrease in</w:t>
      </w:r>
      <w:r>
        <w:rPr>
          <w:color w:val="000000"/>
          <w:shd w:fill="FFFFFF" w:val="clear"/>
        </w:rPr>
        <w:t xml:space="preserve"> </w:t>
      </w:r>
      <w:r>
        <w:rPr>
          <w:rFonts w:ascii="Times New Roman;sans-serif" w:hAnsi="Times New Roman;sans-serif"/>
          <w:b w:val="false"/>
          <w:color w:val="000000"/>
          <w:sz w:val="20"/>
          <w:shd w:fill="FFFFFF" w:val="clear"/>
        </w:rPr>
        <w:t>the number of clicks and a decrease in revenue earned per click.</w:t>
      </w:r>
      <w:r>
        <w:rPr>
          <w:color w:val="000000"/>
        </w:rPr>
        <w:t xml:space="preserve"> </w:t>
      </w:r>
    </w:p>
    <w:p>
      <w:pPr>
        <w:pStyle w:val="TextBody"/>
        <w:bidi w:val="0"/>
        <w:spacing w:lineRule="auto" w:line="268" w:before="0" w:after="120"/>
        <w:ind w:left="0" w:right="0" w:firstLine="360"/>
        <w:jc w:val="both"/>
        <w:rPr/>
      </w:pPr>
      <w:r>
        <w:rPr>
          <w:rFonts w:ascii="Times New Roman;sans-serif" w:hAnsi="Times New Roman;sans-serif"/>
          <w:b w:val="false"/>
          <w:color w:val="000000"/>
          <w:sz w:val="20"/>
        </w:rPr>
        <w:t>For the periods presented, no other products in our Consumer segment represented more than 10% of revenue; however, certain other Consumer products experienced notable changes. Revenue from our small business loans product decreased $16.5 million, or 24%, in 2023 compared to 2022, due to a decrease</w:t>
      </w:r>
      <w:r>
        <w:rPr>
          <w:color w:val="000000"/>
          <w:shd w:fill="FFFFFF" w:val="clear"/>
        </w:rPr>
        <w:t xml:space="preserve"> </w:t>
      </w:r>
      <w:r>
        <w:rPr>
          <w:rFonts w:ascii="Times New Roman;sans-serif" w:hAnsi="Times New Roman;sans-serif"/>
          <w:b w:val="false"/>
          <w:color w:val="000000"/>
          <w:sz w:val="20"/>
          <w:shd w:fill="FFFFFF" w:val="clear"/>
        </w:rPr>
        <w:t xml:space="preserve">in revenue earned per consumer and a decrease in the number of consumers completing request forms. </w:t>
      </w:r>
      <w:r>
        <w:rPr>
          <w:rFonts w:ascii="Times New Roman;sans-serif" w:hAnsi="Times New Roman;sans-serif"/>
          <w:b w:val="false"/>
          <w:color w:val="000000"/>
          <w:sz w:val="20"/>
        </w:rPr>
        <w:t xml:space="preserve">Revenue from our credit products decreased $12.1 million, or 28%, in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68" w:before="0" w:after="120"/>
        <w:jc w:val="both"/>
        <w:rPr/>
      </w:pPr>
      <w:r>
        <w:rPr>
          <w:rFonts w:ascii="Times New Roman;sans-serif" w:hAnsi="Times New Roman;sans-serif"/>
          <w:b w:val="false"/>
          <w:color w:val="000000"/>
          <w:sz w:val="20"/>
        </w:rPr>
        <w:t>compared to 2022 primarily due to the closure of our Ovation credit services business at the end of the second quarter of 2023. Student loans decreased $5.7 million in 2023 compared to 2022, due to a d</w:t>
      </w:r>
      <w:r>
        <w:rPr>
          <w:rFonts w:ascii="Times New Roman;sans-serif" w:hAnsi="Times New Roman;sans-serif"/>
          <w:b w:val="false"/>
          <w:color w:val="000000"/>
          <w:sz w:val="20"/>
          <w:shd w:fill="FFFFFF" w:val="clear"/>
        </w:rPr>
        <w:t xml:space="preserve">ecrease in the number of consumers. </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Revenue from our Insurance segment decreased $49.5 million, or 17%, to $249.6 million in 2023 from $299.1 million in 2022 </w:t>
      </w:r>
      <w:r>
        <w:rPr>
          <w:rFonts w:ascii="Times New Roman;sans-serif" w:hAnsi="Times New Roman;sans-serif"/>
          <w:b w:val="false"/>
          <w:color w:val="000000"/>
          <w:sz w:val="20"/>
          <w:shd w:fill="FFFFFF" w:val="clear"/>
        </w:rPr>
        <w:t>primarily due to a decrease in the revenue earned per consumer, partially offset by an increase in the number of consumers completing request forms.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Home segment includes the following products: purchase mortgage, refinance mortgage, and home equity loans and lines of credit. We ceased offering reverse mortgage loans in the fourth quarter of 2022. Revenue from our Home segment decreased $145.6 million, or 50%, in 2023 from 2022 primarily due to a decrease in revenue from our mortgage products. </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Revenue from our mortgage products decreased $120.8 million, or 67%, to $58.7 million in 2023 from $179.4 million in 2022. Revenue from our refinance mortgage product decreased $82.9 million in 2023 compared to 2022, primarily </w:t>
      </w:r>
      <w:r>
        <w:rPr>
          <w:rFonts w:ascii="Times New Roman;sans-serif" w:hAnsi="Times New Roman;sans-serif"/>
          <w:b w:val="false"/>
          <w:color w:val="000000"/>
          <w:sz w:val="20"/>
          <w:shd w:fill="FFFFFF" w:val="clear"/>
        </w:rPr>
        <w:t xml:space="preserve">due to a decrease in the number of consumers completing request forms and a decrease in revenue earned per consumer as interest rates continued to increase in 2023. </w:t>
      </w:r>
      <w:r>
        <w:rPr>
          <w:rFonts w:ascii="Times New Roman;sans-serif" w:hAnsi="Times New Roman;sans-serif"/>
          <w:b w:val="false"/>
          <w:color w:val="000000"/>
          <w:sz w:val="20"/>
        </w:rPr>
        <w:t xml:space="preserve">Revenue from our purchase mortgage product decreased $37.9 million in 2023 compared to 2022 </w:t>
      </w:r>
      <w:r>
        <w:rPr>
          <w:rFonts w:ascii="Times New Roman;sans-serif" w:hAnsi="Times New Roman;sans-serif"/>
          <w:b w:val="false"/>
          <w:color w:val="000000"/>
          <w:sz w:val="20"/>
          <w:shd w:fill="FFFFFF" w:val="clear"/>
        </w:rPr>
        <w:t>primarily due to decreases in revenue earned per consumer and in the number of consumers completing request forms.</w:t>
      </w:r>
      <w:r>
        <w:rPr>
          <w:color w:val="000000"/>
        </w:rPr>
        <w:t xml:space="preserve"> </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Revenue from our home equity loans and lines of credit product decreased $20.7 million, or 20%, to $85.1 million in 2023 from $105.8 million in 2022 primarily due to a decrease the reven</w:t>
      </w:r>
      <w:r>
        <w:rPr>
          <w:rFonts w:ascii="Times New Roman;sans-serif" w:hAnsi="Times New Roman;sans-serif"/>
          <w:b w:val="false"/>
          <w:color w:val="000000"/>
          <w:sz w:val="20"/>
          <w:shd w:fill="FFFFFF" w:val="clear"/>
        </w:rPr>
        <w:t>ue earned per consumer, slightly offset by an increase in the number of consumers completing request forms.</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Cost of revenue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decreased in 2023 compared to 2022 primarily due to a decrease in compensation and benefits of $13.9 million, a decrease in website network hosting and server hosting fees of $2.4 million and a decrease in customer service fees of $1.5 million. The decreases are primarily due to the Reduction Plan at the end of the first quarter of 2023, including shutting down the LendingTree customer call center, and the closure of our Ovation credit services business at the end of the second quarter of 2023.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as a percentage of revenue remained consistent at 6% in 2023 compared to 2022.</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Selling and marketing expense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advertisement is first run.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decreased in 2023 compared to 2022 primarily due to the $255.8 million decrease in advertising and promotional expense discussed below. Additionally, compensation and benefits decreased $12.9 million in 2023 compared to 2022.</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and promotional expense is the largest component of selling and marketing expense, and is comprised of the following:</w:t>
      </w:r>
    </w:p>
    <w:tbl>
      <w:tblPr>
        <w:tblW w:w="8843" w:type="dxa"/>
        <w:jc w:val="left"/>
        <w:tblInd w:w="0" w:type="dxa"/>
        <w:tblLayout w:type="fixed"/>
        <w:tblCellMar>
          <w:top w:w="28" w:type="dxa"/>
          <w:left w:w="28" w:type="dxa"/>
          <w:bottom w:w="28" w:type="dxa"/>
          <w:right w:w="28" w:type="dxa"/>
        </w:tblCellMar>
      </w:tblPr>
      <w:tblGrid>
        <w:gridCol w:w="1362"/>
        <w:gridCol w:w="1197"/>
        <w:gridCol w:w="1206"/>
        <w:gridCol w:w="211"/>
        <w:gridCol w:w="841"/>
        <w:gridCol w:w="109"/>
        <w:gridCol w:w="109"/>
        <w:gridCol w:w="109"/>
        <w:gridCol w:w="109"/>
        <w:gridCol w:w="211"/>
        <w:gridCol w:w="841"/>
        <w:gridCol w:w="109"/>
        <w:gridCol w:w="109"/>
        <w:gridCol w:w="109"/>
        <w:gridCol w:w="109"/>
        <w:gridCol w:w="211"/>
        <w:gridCol w:w="901"/>
        <w:gridCol w:w="109"/>
        <w:gridCol w:w="218"/>
        <w:gridCol w:w="218"/>
        <w:gridCol w:w="445"/>
      </w:tblGrid>
      <w:tr>
        <w:trPr/>
        <w:tc>
          <w:tcPr>
            <w:tcW w:w="136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8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8"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(Dollars in thousands)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Online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Broadcast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6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advertising and promotional expense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391,557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647,324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(255,767)</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4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In the periods presented, advertising and promotional expenses are equivalent to the non-GAAP measure variable marketing expense.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 xml:space="preserve">Variable Marketing Expense and Variable Marketing Margin below for additional information.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met by a corresponding increase in marketing spend, and conversely a decrease in a product’s revenue is generally met by a corresponding decrease in marketing spend. This relationship exists for our Home, Consumer, and Insurance segments.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adjusted our advertising expenditures in 2023 compared to 2022 in response to changes in Network Partner demand on our marketplace. We will continue to adjust selling and marketing expenditures dynamically in response to anticipated revenue opportunities.</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General and administrative expense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in 2023 compared to 2022, primarily due to a decrease in compensation and benefits of $18.1 million. Additionally, professional fees, technology, facilities, and bad debt expense decreased $2.8 million, $2.6 million, $2.4 million, and $2.3 million, respectively. We incurred a $4.2 million loss on the impairment of assets for our Ovation business in the first quarter of 2023.</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Non-cash compensation expense, included in total compensation and benefits noted above, within general and administrative expense decreased in 2023, which resulted in an increase in net income in 2023 compared to 2022. For additional information,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 xml:space="preserve">Note—13-Stock-Based Compensation in the notes to the consolidated financial statements included elsewhere in this report. Non-cash compensation expense is excluded from Adjusted Earnings Before Interest, Taxes, Depreciation, and Amortization (“Adjusted EBITDA”), as discussed below.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as a percentage of revenue increased to 18% in 2023 from 15% in 2022. </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Product development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development expense decreased in 2023 compared to 2022 primarily due to the Reduction Plan at the end of the first quarter of 2023. We continued to invest in internal development of new and enhanced features, functionality and business opportunities that we believe will enable us to better and more fully serve consumers and Network Partners. </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Amortization of Intangibles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amortization of intangibles in 2023 compared to 2022 was due to certain intangible assets associated with our recent business acquisitions becoming fully amortized.</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Goodwill Impairment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We incurred a goodwill impairment charge of $38.6 million in 2023 in our Insurance reporting unit.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7 - Goodwill and Intangible Assets for additional information</w:t>
      </w:r>
      <w:r>
        <w:rPr>
          <w:rFonts w:ascii="Times New Roman;sans-serif" w:hAnsi="Times New Roman;sans-serif"/>
          <w:b w:val="false"/>
          <w:color w:val="EE2724"/>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Restructuring and severance</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September 2023, we initiated workforce reductions of 14 employees. We incurred $0.9 million in severance charges in 2023 in connection with the workforce reductions, consisting of cash expenditures for employee separation costs of approximately $0.7 million and non-cash charges for the accelerated vesting of certain equity awards of approximately $0.2 million. The cash payments are expected to be substantially completed by the third quarter of 2024.</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2023, we committed to the Reduction Plan to reduce operating costs. The Reduction Plan included the elimination of approximately 162 employees, or 13%, of the Company’s current workforce. As a result of the Reduction Plan, the Company incurred approximately $5.3 million in severance charges in connection with the workforce reduction, consisting of cash expenditures for employee separation costs of approximately $4.3 million and non-cash charges for the accelerated vesting of certain equity awards of approximately $1.0 million. The Reduction Plan, including cash payments, is expected to be substantially completed by the end of the second quarter of 2024.</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made the decision to close the Ovation credit services business ( the "Ovation Closure") by mid-2023 and all operations ceased in August 2023. The Ovation Closure includes the elimination of approximately 197 employees, or 18%, of the Company's current workforce. As a result of the Ovation Closure, we incurred $2.1 million in restructuring expense in connection with cash expenditures for employee separation costs. The Ovation Closure, including cash payments, is expected to be completed by the first quarter of 2024.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we completed workforce reductions in each of the first, second, and fourth quarters of approximately 75 employees, 25 employees, and 50 employees, respectively. We incurred total expense of $4.4 million consisting of employee separation costs of $3.3 million and non-cash compensation expense of $1.1 million due to the accelerated vesting of certain equity awards. All employee separation costs for 2022 actions were paid by the fourth quarter of 2023. </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In the first quarter of 2023, we repurchased approximately $190.6 million in principal amount of our 2025 Notes for $156.3 million plus accrued and unpaid interest of approximately $0.1 million. In the fourth quarter of 2023, we repurchased approximately $100.2 million in principal amount of our 2025 Notes, for $81.2 million in cash plus accrued and unpaid interest of approximately $0.2 million. As a result of the repurchases, we recognized a gain on the extinguishment of $53.3 million, a loss on the write-off of unamortized debt issuance costs of $3.2 million, and incurred debt repayment costs of $1.6 million, all of which are included in interest income/expense, net in the consolidated statements of operations and comprehensive income.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15—Debt for additional information.</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We incurred an impairment charge of $113.1 million in 2023 related to an investment in equity securities.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 xml:space="preserve">Note 8 - Equity Investments for additional information.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for 2022 primarily consisted of dividend income. </w:t>
      </w:r>
    </w:p>
    <w:p>
      <w:pPr>
        <w:pStyle w:val="TextBody"/>
        <w:bidi w:val="0"/>
        <w:spacing w:lineRule="auto" w:line="288" w:before="240" w:after="12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Income tax benefit (expense)</w:t>
      </w:r>
    </w:p>
    <w:tbl>
      <w:tblPr>
        <w:tblW w:w="5422" w:type="dxa"/>
        <w:jc w:val="left"/>
        <w:tblInd w:w="0" w:type="dxa"/>
        <w:tblLayout w:type="fixed"/>
        <w:tblCellMar>
          <w:top w:w="28" w:type="dxa"/>
          <w:left w:w="28" w:type="dxa"/>
          <w:bottom w:w="28" w:type="dxa"/>
          <w:right w:w="28" w:type="dxa"/>
        </w:tblCellMar>
      </w:tblPr>
      <w:tblGrid>
        <w:gridCol w:w="889"/>
        <w:gridCol w:w="784"/>
        <w:gridCol w:w="787"/>
        <w:gridCol w:w="211"/>
        <w:gridCol w:w="616"/>
        <w:gridCol w:w="271"/>
        <w:gridCol w:w="109"/>
        <w:gridCol w:w="109"/>
        <w:gridCol w:w="109"/>
        <w:gridCol w:w="211"/>
        <w:gridCol w:w="901"/>
        <w:gridCol w:w="271"/>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54" w:type="dxa"/>
            <w:tcBorders/>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percentages)</w:t>
            </w:r>
          </w:p>
        </w:tc>
        <w:tc>
          <w:tcPr>
            <w:tcW w:w="154" w:type="dxa"/>
            <w:tcBorders/>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Effective tax rate</w:t>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(242.2)</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2023, the effective tax rate varied from the federal statutory rate of 21% primarily due to the change in the valuation allowance, net of the current period change in tax effected net indefinite-lived intangibles. </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For 2022, the effective tax rate varied from the federal statutory rate of 21% primarily due to expense of $139.4 million to record a full valuation allowance against our net deferred tax assets.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Note—14 Income Taxes in the notes to the consolidated financial statements included elsewhere in this report for additional information on the valuation allowance.</w:t>
      </w:r>
    </w:p>
    <w:p>
      <w:pPr>
        <w:pStyle w:val="TextBody"/>
        <w:bidi w:val="0"/>
        <w:spacing w:before="24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12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Segment Profit</w:t>
      </w:r>
    </w:p>
    <w:tbl>
      <w:tblPr>
        <w:tblW w:w="6000" w:type="dxa"/>
        <w:jc w:val="left"/>
        <w:tblInd w:w="0" w:type="dxa"/>
        <w:tblLayout w:type="fixed"/>
        <w:tblCellMar>
          <w:top w:w="28" w:type="dxa"/>
          <w:left w:w="28" w:type="dxa"/>
          <w:bottom w:w="28" w:type="dxa"/>
          <w:right w:w="28" w:type="dxa"/>
        </w:tblCellMar>
      </w:tblPr>
      <w:tblGrid>
        <w:gridCol w:w="492"/>
        <w:gridCol w:w="433"/>
        <w:gridCol w:w="440"/>
        <w:gridCol w:w="211"/>
        <w:gridCol w:w="841"/>
        <w:gridCol w:w="109"/>
        <w:gridCol w:w="211"/>
        <w:gridCol w:w="841"/>
        <w:gridCol w:w="109"/>
        <w:gridCol w:w="109"/>
        <w:gridCol w:w="109"/>
        <w:gridCol w:w="109"/>
        <w:gridCol w:w="211"/>
        <w:gridCol w:w="796"/>
        <w:gridCol w:w="109"/>
        <w:gridCol w:w="218"/>
        <w:gridCol w:w="218"/>
        <w:gridCol w:w="434"/>
      </w:tblGrid>
      <w:tr>
        <w:trPr/>
        <w:tc>
          <w:tcPr>
            <w:tcW w:w="49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vs. 2022</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Change</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(Dollars in thousands)</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profit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289,754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368,941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(79,187)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w:t>
            </w:r>
          </w:p>
        </w:tc>
        <w:tc>
          <w:tcPr>
            <w:tcW w:w="4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22—Segment Information in the notes to the consolidated financial statements included elsewhere in this report for additional information on segments and a reconciliation of segment profit to pre-tax income from continuing operations.</w:t>
      </w:r>
    </w:p>
    <w:p>
      <w:pPr>
        <w:pStyle w:val="TextBody"/>
        <w:bidi w:val="0"/>
        <w:spacing w:lineRule="auto" w:line="288" w:before="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HOME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the Home segment decreased 50% to $143.8 million in 2023 from 2022, with segment profit of $47.9 million in 2023, a decrease of 54% from 2022. Our Home segment margin, which is segment profit divided by segment revenue, decreased slightly to 33% in 2023 compared to 36% in 2022.</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Within Home, our core mortgage business generated revenue of $58.7 million in 2023, down 67% from 2022, as demand for refinancing transactions diminished throughout the year, with few mortgages later in the year carrying a higher rate than current loan offerings. The 30-year mortgage interest rates increased from a monthly average of 6.36% in December 2022 to a monthly average of 6.82% in December 2023, according to Freddie Mac. Purchase transactions were negatively impacted by low for sale inventory and current homeowners resisting a move in favor of retaining a significantly lower rate on their existing loan. Existing home sales decreased 19% in 2023 compared to 2022. The volume mix in our mortgage business shifted to purchase at 55% and refinance at 45% of total volume in 2023 as compared to refinance at 54% and purchase at 46% of total volume in 2022.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our home equity loan product of $85.1 million in 2023 decreased 20% from 2022 as higher short-term interest rates broadly pressured demand from homeowners.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Mortgage Bankers Association expects overall mortgage originations to increase in 2024, although the first quarter of 2024 is expected to remain weak and below fourth quarter of 2023 levels. The forecast calls for a 22% growth in total loan originations over 2023, with purchase loans accounting for 77% of total volume. </w:t>
      </w:r>
    </w:p>
    <w:p>
      <w:pPr>
        <w:pStyle w:val="TextBody"/>
        <w:bidi w:val="0"/>
        <w:spacing w:lineRule="auto" w:line="288" w:before="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CONSUMER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our Consumer segment decreased 30% to $278.9 million in 2023 from 2022, with segment profit of $138.9 million in 2023, a decrease of 20% from 2022. Our Consumer segment margin increased to 50% in 2023 compared to 44% in 2022.</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our personal loan product of $100.1 million decreased 31% in 2023 compared to 2022 as our partners broadly tightened underwriting criteria in 2023, however there are indications for increased loan originations and wider credit appetite in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Credit card revenue decreased to $62.0 million or 38% in 2023 compared to 2022. We have begun onboarding credit card issuers onto TreeQual, the prequalification/preapproval platform for our customers to more easily shop offers available to them. TreeQual sits at the core of our strategy to drive improved credit card application conversion rates which will allow us to reinvest additional marketing spend to gain back share in this large consumer marketplace.</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Small business revenue declined 24% in 2023 from 2022. The highest quality customers continue to receive multiple loan offers from our partners, while lower credit quality and smaller revenue business owners receive few if any offers. We are serving partner demand for higher quality and larger revenue/loan amount effectively, as seen through a consistent increase in match rate for those customers.</w:t>
      </w:r>
    </w:p>
    <w:p>
      <w:pPr>
        <w:pStyle w:val="TextBody"/>
        <w:bidi w:val="0"/>
        <w:spacing w:before="0" w:after="0"/>
        <w:ind w:left="0" w:right="0" w:firstLine="360"/>
        <w:jc w:val="left"/>
        <w:rPr/>
      </w:pPr>
      <w:r>
        <w:rPr/>
      </w:r>
    </w:p>
    <w:p>
      <w:pPr>
        <w:pStyle w:val="TextBody"/>
        <w:bidi w:val="0"/>
        <w:spacing w:lineRule="auto" w:line="288" w:before="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INSURANCE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 revenue of $249.6 million in 2023 decreased 17% from 2022, while segment profit of $103.5 million in 2023 increased 13% from 2022 as we successfully matched higher levels of organic customer search volumes against lower overall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carrier demand for new policies. Consumer demand across all insurance products remained high, growing 8% in 2023 from 2022.</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auto carrier partners have been asking for and receiving successive price increases across most states over the last two years, as persistent cost inflation negatively impacted underwriting results. The positive impact from premium increases on loss ratios, combined with broad declines in used car prices and other components of auto loss cost, should help our record volume of customers searching for auto insurance find an increasingly competitive partner marketplace moving into next year.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experienced the beginning of a recovery in our auto insurance product at the end of the fourth quarter of 2023, with a number of key carrier partners unexpectedly adding budget over the holiday season and continuing to refine their product offering to target and write more profitable policies through our platforms.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Health insurance continued its strong growth trend, with revenue up 14% in 2023 compared to 2022. We have made great strides capturing a growing share of carrier budgets in these categories, and we are optimistic they will help drive incremental revenue growth in 2024.</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Insurance segment margin increased to 42% in 2023 compared to 31% in 2022.</w:t>
      </w:r>
      <w:r>
        <w:rPr>
          <w:color w:val="000000"/>
        </w:rPr>
        <w:t xml:space="preserve"> </w:t>
      </w:r>
      <w:r>
        <w:rPr>
          <w:rFonts w:ascii="Times New Roman;sans-serif" w:hAnsi="Times New Roman;sans-serif"/>
          <w:b w:val="false"/>
          <w:color w:val="000000"/>
          <w:sz w:val="20"/>
        </w:rPr>
        <w:t>We have maintained a focus on efficiency and adapting to changing carrier needs throughout this hard market cycle. These efforts helped us control costs and improve quality despite industry profitability challenges.</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Variable Marketing Expense and Variable Marketing Margin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 variable marketing expense and variable marketing margin as supplemental measures to GAAP. These related measures are the primary metrics by which we measure the effectiveness of our marketing efforts. Variable marketing expense represents the portion of selling and marketing expense attributable to variable costs paid for advertising, direct marketing, and related expenses, and excludes overhead, fixed costs, and personnel-related expenses. Variable marketing margin is a measure of the efficiency of our operating model, measuring revenue after subtracting variable marketing expense. Our operating model is highly sensitive to the amount and efficiency of variable marketing expenditures, and our proprietary systems are able to make rapidly changing decisions concerning the deployment of variable marketing expenditures (primarily but not exclusively online and mobile advertising placement) based on proprietary and sophisticated analytics.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our consolidated statements of operations and comprehensive income (loss). Variable marketing margin is defined as revenue less variable marketing expense.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shows the calculation of variable marketing margin:</w:t>
      </w:r>
    </w:p>
    <w:tbl>
      <w:tblPr>
        <w:tblW w:w="5168" w:type="dxa"/>
        <w:jc w:val="left"/>
        <w:tblInd w:w="0" w:type="dxa"/>
        <w:tblLayout w:type="fixed"/>
        <w:tblCellMar>
          <w:top w:w="28" w:type="dxa"/>
          <w:left w:w="28" w:type="dxa"/>
          <w:bottom w:w="28" w:type="dxa"/>
          <w:right w:w="28" w:type="dxa"/>
        </w:tblCellMar>
      </w:tblPr>
      <w:tblGrid>
        <w:gridCol w:w="892"/>
        <w:gridCol w:w="787"/>
        <w:gridCol w:w="795"/>
        <w:gridCol w:w="211"/>
        <w:gridCol w:w="841"/>
        <w:gridCol w:w="109"/>
        <w:gridCol w:w="109"/>
        <w:gridCol w:w="109"/>
        <w:gridCol w:w="109"/>
        <w:gridCol w:w="211"/>
        <w:gridCol w:w="84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marketing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Variable marketing margin</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280,945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337,668</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reconciliation of selling and marketing expense, the most directly comparable GAAP measure, to variable marketing expense:</w:t>
      </w:r>
    </w:p>
    <w:tbl>
      <w:tblPr>
        <w:tblW w:w="6398" w:type="dxa"/>
        <w:jc w:val="left"/>
        <w:tblInd w:w="0" w:type="dxa"/>
        <w:tblLayout w:type="fixed"/>
        <w:tblCellMar>
          <w:top w:w="28" w:type="dxa"/>
          <w:left w:w="28" w:type="dxa"/>
          <w:bottom w:w="28" w:type="dxa"/>
          <w:right w:w="28" w:type="dxa"/>
        </w:tblCellMar>
      </w:tblPr>
      <w:tblGrid>
        <w:gridCol w:w="1339"/>
        <w:gridCol w:w="1178"/>
        <w:gridCol w:w="1187"/>
        <w:gridCol w:w="211"/>
        <w:gridCol w:w="841"/>
        <w:gridCol w:w="109"/>
        <w:gridCol w:w="109"/>
        <w:gridCol w:w="109"/>
        <w:gridCol w:w="109"/>
        <w:gridCol w:w="211"/>
        <w:gridCol w:w="841"/>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Non-variable selling and marketing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Variable marketing expense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391,557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647,324</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loss, the most directly comparable GAAP measure, to variable marketing margin:</w:t>
      </w:r>
    </w:p>
    <w:tbl>
      <w:tblPr>
        <w:tblW w:w="7419" w:type="dxa"/>
        <w:jc w:val="left"/>
        <w:tblInd w:w="0" w:type="dxa"/>
        <w:tblLayout w:type="fixed"/>
        <w:tblCellMar>
          <w:top w:w="28" w:type="dxa"/>
          <w:left w:w="28" w:type="dxa"/>
          <w:bottom w:w="28" w:type="dxa"/>
          <w:right w:w="28" w:type="dxa"/>
        </w:tblCellMar>
      </w:tblPr>
      <w:tblGrid>
        <w:gridCol w:w="1667"/>
        <w:gridCol w:w="1457"/>
        <w:gridCol w:w="1481"/>
        <w:gridCol w:w="211"/>
        <w:gridCol w:w="901"/>
        <w:gridCol w:w="109"/>
        <w:gridCol w:w="109"/>
        <w:gridCol w:w="109"/>
        <w:gridCol w:w="109"/>
        <w:gridCol w:w="211"/>
        <w:gridCol w:w="901"/>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(187,952)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to variable marketing margin:</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Non-variable selling and marketing expense </w:t>
            </w:r>
            <w:r>
              <w:rPr>
                <w:rFonts w:ascii="Times New Roman;sans-serif" w:hAnsi="Times New Roman;sans-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severance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Litigation settlements and contingencies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Variable marketing margin</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280,945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337,668</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8"/>
        <w:gridCol w:w="148"/>
        <w:gridCol w:w="109"/>
        <w:gridCol w:w="2862"/>
        <w:gridCol w:w="2862"/>
        <w:gridCol w:w="4056"/>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Represents the portion of selling and marketing expense not attributable to variable costs paid for advertising, direct marketing and related expenses. Includes overhead, fixed costs and personnel-related expenses.</w:t>
            </w:r>
          </w:p>
        </w:tc>
      </w:tr>
    </w:tbl>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Adjusted Earnings Before Interest, Taxes, Depreciation and Amortization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Definition of Adjusted EBITDA</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report Adjusted EBITDA as net income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contributions to the LendingTree Foundation, (9) dividend income, and (10)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 </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One-Time Items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adjusted for one-time items, if applicable. Items are considered one-time in nature if they are non-recurring, infrequent or unusual and have not occurred in the past two years or are not expected to recur in the next two years, in accordance with SEC rules. There are no adjustments for one-time items for the year ended December 31, 2023. One-time items for the year ended December 31, 2022 consisted of the $1.5 million franchise tax caused by the equity investment gain in Stash. </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Non-Cash Expenses that are Excluded from Adjusted EBITDA</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compensation expense consists principally of expense associated with grants of restricted stock, restricted stock units and stock options, some of which awards have performance-based vesting conditions. These expenses are not paid in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reconciliation of net loss, the most directly comparable GAAP measure, to Adjusted EBITDA.</w:t>
      </w:r>
    </w:p>
    <w:tbl>
      <w:tblPr>
        <w:tblW w:w="6897" w:type="dxa"/>
        <w:jc w:val="left"/>
        <w:tblInd w:w="0" w:type="dxa"/>
        <w:tblLayout w:type="fixed"/>
        <w:tblCellMar>
          <w:top w:w="28" w:type="dxa"/>
          <w:left w:w="28" w:type="dxa"/>
          <w:bottom w:w="28" w:type="dxa"/>
          <w:right w:w="28" w:type="dxa"/>
        </w:tblCellMar>
      </w:tblPr>
      <w:tblGrid>
        <w:gridCol w:w="1439"/>
        <w:gridCol w:w="1257"/>
        <w:gridCol w:w="1278"/>
        <w:gridCol w:w="211"/>
        <w:gridCol w:w="901"/>
        <w:gridCol w:w="109"/>
        <w:gridCol w:w="109"/>
        <w:gridCol w:w="109"/>
        <w:gridCol w:w="109"/>
        <w:gridCol w:w="211"/>
        <w:gridCol w:w="901"/>
        <w:gridCol w:w="109"/>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(187,952)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to Adjusted EBITDA:</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severance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impairments and disposal of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investments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tax caused by equity investment gain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to LendingTree Foundation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contingencies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78,490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84,458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Financial Position, Liquidity and Capital Resources</w:t>
      </w:r>
    </w:p>
    <w:p>
      <w:pPr>
        <w:pStyle w:val="TextBody"/>
        <w:bidi w:val="0"/>
        <w:spacing w:lineRule="auto" w:line="288" w:before="240" w:after="120"/>
        <w:jc w:val="both"/>
        <w:rPr/>
      </w:pPr>
      <w:r>
        <w:rPr>
          <w:rFonts w:ascii="Times New Roman;sans-serif" w:hAnsi="Times New Roman;sans-serif"/>
          <w:b w:val="false"/>
          <w:color w:val="000000"/>
          <w:sz w:val="20"/>
        </w:rPr>
        <w:t xml:space="preserve">For information on fiscal 2021 results and similar comparisons,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Item 7. Management's Discussion and Analysis of Financial Condition and Results of Operations—Financial Position, Liquidity and Capital Resources of our Form 10-K for the fiscal year ended December 31, 2022.</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$112.1 million of cash and cash equivalents, compared to $298.8 million of cash and cash equivalents as of December 31, 2022.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cash and cash equivalents and cash flows from operations to be sufficient to fund our operating needs for the next twelve months and beyond. Our credit facility described below is an additional potential source of liquidity. We will continue to monitor economic impacts caused by the challenging interest rate environment and high levels of inflation on our liquidity and capital resources.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Notable transactions affecting cash and cash equivalents during the reported periods are as follows:</w:t>
      </w:r>
    </w:p>
    <w:p>
      <w:pPr>
        <w:pStyle w:val="TextBody"/>
        <w:bidi w:val="0"/>
        <w:spacing w:before="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2023, we repurchased approximately $190.6 million in principal amount of our 2025 Notes, through separate transactions with certain holders of the 2025 Notes, for $156.3 million plus accrued and unpaid interest of approximately $0.1 million. On December 7, 2023, we repurchased approximately $100.2 million in principal amount of our 2025 Notes, through separate transactions with certain holders of the 2025 Notes, for $81.2 million plus accrued and unpaid interest of approximately $0.2 million. In 2023, we recognized a gain on the extinguishment of debt of $53.3 million, a loss on the write-off of unamortized debt issuance costs of $3.2 million and incurred debt repayment costs of $1.6 million, all of which are included in interest income/expense, net in the consolidated statement of operations and comprehensive income. </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For more information</w:t>
      </w:r>
      <w:r>
        <w:rPr>
          <w:rFonts w:ascii="Times New Roman;sans-serif" w:hAnsi="Times New Roman;sans-serif"/>
          <w:b w:val="false"/>
          <w:i/>
          <w:color w:val="000000"/>
          <w:sz w:val="20"/>
        </w:rPr>
        <w:t>, see</w:t>
      </w:r>
      <w:r>
        <w:rPr>
          <w:color w:val="000000"/>
        </w:rPr>
        <w:t xml:space="preserve"> </w:t>
      </w:r>
      <w:r>
        <w:rPr>
          <w:rFonts w:ascii="Times New Roman;sans-serif" w:hAnsi="Times New Roman;sans-serif"/>
          <w:b w:val="false"/>
          <w:color w:val="000000"/>
          <w:sz w:val="20"/>
        </w:rPr>
        <w:t>Note 15—Debt, in the notes to the consolidated financial statements included elsewhere in this report.</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2022</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2022, we repurchased an aggregate of 379,895 shares of our common stock pursuant to a stock repurchase program for $43.0 million.</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In the first quarter of 2022, we acquired an equity interest in EarnUp for $15.0 million.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 xml:space="preserve">Note 8—Equity Investments in the notes to the consolidated financial statements included elsewhere in this report for additional information on the equity interest. </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Credit Facility</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15, 2021, we entered into a credit agreement (the “Credit Agreement”), consisting of a $200.0 million Revolving Facility, which matures on September 15, 2026, and a $250.0 million delayed draw Term Loan Facility, which matures on September 15, 2028. The proceeds of the Revolving Facility can be used to finance working capital, for general corporate purposes, and any other purpose not prohibited by the Credit Agreement. We drew $250.0 million under the Term Loan Facility on May 31, 2022 and used $170.2 million of the proceeds to settle the Company’s 2022 Notes, including interest. The remaining proceeds of $79.8 million may be used for general corporate purposes and any other purposes not prohibited by the Credit Agreement.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28, 2024, we have outstanding $246.3 million under the Term Loan Facility, a $0.2 million letter of credit under the Revolving Facility, and the remaining borrowing capacity is $199.8 million. We have $79.9 million available for borrowing under the Revolving Facility as of February 28, 2024. </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For additional information on the Credit Facility,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 xml:space="preserve">Note 15—Debt in the notes to the consolidated financial statements included elsewhere in this report. </w:t>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Operating Leases</w:t>
      </w:r>
    </w:p>
    <w:p>
      <w:pPr>
        <w:pStyle w:val="TextBody"/>
        <w:bidi w:val="0"/>
        <w:spacing w:lineRule="auto" w:line="288" w:before="180" w:after="120"/>
        <w:ind w:left="0" w:right="0" w:firstLine="360"/>
        <w:jc w:val="both"/>
        <w:rPr/>
      </w:pPr>
      <w:r>
        <w:rPr>
          <w:rFonts w:ascii="Times New Roman;sans-serif" w:hAnsi="Times New Roman;sans-serif"/>
          <w:b w:val="false"/>
          <w:color w:val="000000"/>
          <w:sz w:val="20"/>
        </w:rPr>
        <w:t xml:space="preserve">We have operating lease obligations associated with office space in various cities across the country and office equipment. Our principal executive office is located in Charlotte, North Carolina under an approximate 15-year lease that commenced in the second quarter of 2021. We anticipate cash payments under operating lease obligations of $11.4 million in 2024.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 xml:space="preserve">Note 11—Leases in the notes to the consolidated financial statements included elsewhere in this report for more information. </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flows are as follows:</w:t>
      </w:r>
    </w:p>
    <w:tbl>
      <w:tblPr>
        <w:tblW w:w="7142" w:type="dxa"/>
        <w:jc w:val="left"/>
        <w:tblInd w:w="0" w:type="dxa"/>
        <w:tblLayout w:type="fixed"/>
        <w:tblCellMar>
          <w:top w:w="28" w:type="dxa"/>
          <w:left w:w="28" w:type="dxa"/>
          <w:bottom w:w="28" w:type="dxa"/>
          <w:right w:w="28" w:type="dxa"/>
        </w:tblCellMar>
      </w:tblPr>
      <w:tblGrid>
        <w:gridCol w:w="1525"/>
        <w:gridCol w:w="1343"/>
        <w:gridCol w:w="1347"/>
        <w:gridCol w:w="211"/>
        <w:gridCol w:w="901"/>
        <w:gridCol w:w="109"/>
        <w:gridCol w:w="109"/>
        <w:gridCol w:w="109"/>
        <w:gridCol w:w="109"/>
        <w:gridCol w:w="211"/>
        <w:gridCol w:w="796"/>
        <w:gridCol w:w="109"/>
        <w:gridCol w:w="109"/>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(242,006)</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32,536 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source of cash provided by our operating activities is revenue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from changes in working capital increased primarily as a result of favorable changes in accounts receivable and accounts payable, accrued expenses and other current liabilities.</w:t>
      </w:r>
    </w:p>
    <w:p>
      <w:pPr>
        <w:pStyle w:val="TextBody"/>
        <w:bidi w:val="0"/>
        <w:spacing w:lineRule="auto" w:line="288" w:before="24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investing activities in 2023 of $12.5 million consisted of capital expenditures primarily related to internally developed software.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 2022 of $27.9 million consisted of the purchase of a $16.4 million equity investment in EarnUp and another small investment, as well as capital expenditures of $11.4 million primarily related to internally developed software.</w:t>
      </w:r>
    </w:p>
    <w:p>
      <w:pPr>
        <w:pStyle w:val="TextBody"/>
        <w:bidi w:val="0"/>
        <w:spacing w:lineRule="auto" w:line="288" w:before="24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in 2023 of $242.0 million consisted primarily of the repurchase of our 2025 Notes for $237.5 million and the related payment of debt issuance costs of $1.6 million, $1.1 million in withholding taxes paid upon surrender of shares to satisfy obligations on equity awards, net of proceeds from the exercise of stock options and $1.9 million repayment of the Term Loan Facility.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 2022 of $32.5 million consisted primarily of $250.0 million in proceeds from the term loan and the repayment of $169.7 million to settle our 2022 Notes discussed in the “Credit Facility” section above, $43.0 million for the repurchase of our stock, $3.4 million in withholding taxes paid upon surrender of shares to satisfy obligations on equity awards, net of proceeds from the exercise of stock options, and $1.3 million repayment of the term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disclosure is provided to supplement the description of our accounting policies contained in Note 2—Significant Accounting Policies in the notes to the consolidated financial statements included elsewhere in this report regarding significant areas of judgment. This disclosure includes accounting policies related to both continuing operations and discontinued operations. Management is required to make certain estimates and assumptions during the preparation of the consolidated financial statements in accordance with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Because of the size of the financial statement elements to which they relate, some of our accounting policies and estimates have a more significant impact on our consolidated financial statements than others. A discussion of some of our more significant accounting policies and estimates follows.</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Estimates of current and deferred income taxes and the significant items giving rise to the deferred assets and liabilities are shown in Note 14—Income Taxes in the notes to the consolidated financial statements included elsewhere in this report and reflect management's assessment of actual future taxes to be paid on items reflected in the consolidated financial statements, giving consideration to both timing and the probability of realization. Actual income taxes could vary from these estimates due to future changes in income tax law, state income tax apportionment or the outcome of any review of our tax returns by the IRS and/or state tax authorities, as well as actual operating results that may vary significantly from anticipated results.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recognize liabilities for uncertain tax positions based on the two-step process prescribed by the accounting guidance for uncertainty in income taxes.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 This measurement step is inherently difficult and requires subjective estimations of such amounts to determine the probability of various possible outcomes. We consider many factors when evaluating and estimating our tax positions and tax benefits, which may require periodic adjustments and which may not accurately anticipate actual outcomes. </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A valuation allowance is provided on deferred tax assets if it is determined that it is </w:t>
      </w:r>
      <w:r>
        <w:rPr>
          <w:color w:val="000000"/>
        </w:rPr>
        <w:t>“</w:t>
      </w:r>
      <w:r>
        <w:rPr>
          <w:rFonts w:ascii="Times New Roman;sans-serif" w:hAnsi="Times New Roman;sans-serif"/>
          <w:b w:val="false"/>
          <w:i/>
          <w:color w:val="000000"/>
          <w:sz w:val="20"/>
        </w:rPr>
        <w:t>more likely than not”</w:t>
      </w:r>
      <w:r>
        <w:rPr>
          <w:color w:val="000000"/>
        </w:rPr>
        <w:t xml:space="preserve"> </w:t>
      </w:r>
      <w:r>
        <w:rPr>
          <w:rFonts w:ascii="Times New Roman;sans-serif" w:hAnsi="Times New Roman;sans-serif"/>
          <w:b w:val="false"/>
          <w:color w:val="000000"/>
          <w:sz w:val="20"/>
        </w:rPr>
        <w:t xml:space="preserve">that the deferred tax asset will not be realized.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2022, we established a full valuation allowance against our net deferred tax assets due to historical cumulative pre-tax losses and continued pre-tax losses in the quarter. We regularly review our deferred tax assets for recoverability based on historical taxable income, projected future taxable income, the expected timing of the reversals of existing taxable temporary differences, and tax planning strategies. The ultimate realization of deferred tax assets is dependent upon the generation of future taxable income. In determining the amount of the valuation allowance, we considered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scheduled reversal of deferred tax liabilities. We will maintain a full valuation allowance on net deferred tax assets until there is sufficient evidence to support the reversal of some or all of the allowance. Should there be a change in the valuation allowance in the future, the income tax provision would increase or decrease in the period in which the allowance is changed.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indefinite carryforward period for certain deferred tax assets means that indefinite-lived deferred tax liabilities can be considered as support for realization of such deferred tax assets including post December 31, 2017 net operating loss carryovers, which can affect the need to record or maintain a valuation allowance for deferred tax assets.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we incurred income tax expense of $139.4 million related to the valuation allowance. At December 31, 2023 and 2022, we maintain a valuation allowance of $162.5 million and $145.4 million, respectively, against our net deferred tax assets.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we recorded a partial valuation allowance of $6.0 million primarily related to state net operating losses, which we do not expect to be able to utilize prior to expiration. </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forms of stock-based awards granted to our employees are principally restricted stock units (“RSUs”), RSUs with performance conditions, stock options, and employee stock purchases related to the Employee Stock Purchase Plan (“Employee Stock Purchase Rights”). Further, stock options with market conditions, restricted stock awards (“RSAs”) with performance conditions and RSAs with market conditions have been granted to our Chairman and Chief Executive Officer. The value of RSUs is measured at their grant dates as the fair value of common stock and amortized ratably as non-cash compensation expense over the vesting term. The value of stock options issued and Employee Stock Purchase Rights are generally estimated using a Black-Scholes option pricing model. The value of performance-based grants is measured at their grant dates and recognized as non-cash compensation expense, considering the probability of the targets being achieved. Performance-based grants with a market condition are generally valued using a Monte Carlo simulation model. If an award is modified, we determine if the modification requires a new calculation of fair value or change in the vesting term of the award. </w:t>
      </w:r>
      <w:r>
        <w:rPr>
          <w:rFonts w:ascii="Times New Roman;sans-serif" w:hAnsi="Times New Roman;sans-serif"/>
          <w:b w:val="false"/>
          <w:i/>
          <w:color w:val="000000"/>
          <w:sz w:val="20"/>
        </w:rPr>
        <w:t xml:space="preserve">See </w:t>
      </w:r>
      <w:r>
        <w:rPr>
          <w:rFonts w:ascii="Times New Roman;sans-serif" w:hAnsi="Times New Roman;sans-serif"/>
          <w:b w:val="false"/>
          <w:color w:val="000000"/>
          <w:sz w:val="20"/>
        </w:rPr>
        <w:t xml:space="preserve">Note 13—Stock-Based Compensation in the notes to the consolidated financial statements included elsewhere in this report for additional information on assumptions and inputs to the fair value determination of stock-based awards. </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Evaluation of Goodwill Impairment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test goodwill annually for impairment as of October 1, or more frequently upon the occurrence of certain events or substantive changes in circumstances. As part of our annual impairment testing of goodwill, we may elect to assess qualitative factors as a basis for determining whether it is necessary to perform the traditional quantitative impairment testing. If our assessment of these qualitative factors indicates that it is not more likely than not that the fair value of the reporting unit or indefinite-lived intangible asset is less than its carrying value, then no further testing is required. Otherwise, the goodwill reporting unit must be quantitatively tested for impairment.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Performing the quantitative test for goodwill impairment that compares the reporting unit fair value with its carrying value using a discounted cash flow and market analysis requires the exercise of significant judgments, including judgments about appropriate discount rates, revenue growth rates, marketing spend, direct operating expenses, the amount and timing of expected future cash flows, and market multiples. If the carrying amount of a reporting unit exceeds its fair value, an impairment loss is recognized in an amount equal to that excess.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2022, we assessed the qualitative factors in our impairment testing of goodwill and determined that the effects of the challenging interest rate environment, consumer price inflation, and the decline in our market capitalization required a quantitative impairment test be performed. The quantitative goodwill impairment test found that the fair value of each reporting unit exceeded its carrying amount, indicating no goodwill impairment. The property and casualty auto insurance industry experienced challenges in 2022 caused by inflation, supply chain challenges, and the rising severity and frequency of claims. Additionally, the significant increase in mortgage interest rates in 2022 had a negative impact on our Mortgage reporting unit.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our market capitalization declined significantly compared to the second quarter of 2023. The closing stock price on September 29, 2023 was $15.50 reflecting a market capitalization below our book value. In addition, the effects of the challenging interest rate environment, low for-sale home inventories and the rise in home prices in the Home reporting unit and consumer price inflation negatively impacting carrier underwriting in the Insurance reporting unit continue to provide revenue headwinds. Based on these factors, we concluded that a triggering event had occurred and an interim quantitative impairment test was performed as of September 30, 2023. Upon completing the quantitative goodwill impairment test, we concluded that the carrying value of the Insurance reporting unit exceeded its fair value which resulted in a goodwill impairment charge of $38.6 million. The fair value of the Home and Consumer reporting units exceeded their carrying amounts, indicating no goodwill impairment. The fair values of each reporting unit were determined using a combination of the income approach and the market approach valuation methodologies.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continue to monitor the recovery of the Insurance reporting unit and the Mortgage reporting unit. Changes in the timing of the recovery compared to current expectations could cause an impairment to the Insurance or Mortgage reporting units.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value of goodwill subject to assessment for impairment at December 31, 2023 is $381.5 million.</w:t>
      </w:r>
    </w:p>
    <w:p>
      <w:pPr>
        <w:pStyle w:val="TextBody"/>
        <w:bidi w:val="0"/>
        <w:spacing w:lineRule="auto" w:line="288" w:before="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Recoverability of Long-Lived Assets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review the carrying value of all long-lived assets, primarily property and equipment, definite-lived intangible assets and operating lease right-of-use assets for impairment whenever events or changes in circumstances indicate that the carrying value of an asset may be impaired. Impairment is considered to have occurred whenever the carrying value of a long-lived asset cannot be recovered from cash flows that are expected to result from the use and eventual disposition of the asset. This recoverability test requires us to make assumptions and judgments related to factors used in a calculation of undiscounted cash flows, including, but not limited to, management’s expectations for future operations and projected cash flows. The key assumptions used in this calculation include Adjusted EBITDA, the remaining useful lives of the primary cash flow generating asset in the asset group and, to a lesser extent, the deduction of capital expenditures and taxes paid in cash to arrive at net cash flows.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implementation costs incurred in a hosting arrangement that is a service contract are also allocated to and included within long-lived asset groups tested for recoverability.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combined value of long-lived assets and capitalized implementation costs incurred in a hosting arrangement that is a service contract subject to assessment for impairment is $154.7 million at December 31, 2023.</w:t>
      </w:r>
    </w:p>
    <w:p>
      <w:pPr>
        <w:pStyle w:val="TextBody"/>
        <w:bidi w:val="0"/>
        <w:spacing w:lineRule="auto" w:line="288" w:before="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Equity Investments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equity investments do not have a readily determinable fair value and, upon acquisition, we elected the measurement alternative to value these investments. Accordingly, the equity investments will be carried at cost less impairment, if any, and subsequently measured to fair value upon observable price changes in an orderly transaction for the identical or similar investments. Additionally, if a qualitative assessment identifies impairment indicators, then the equity investments must be evaluated for impairment and written down to its fair value, if it is determined that the fair value is less than the carrying value. Any gains or losses are included within other (expense) income in the consolidated statement of operations and comprehensive income. </w:t>
      </w:r>
    </w:p>
    <w:p>
      <w:pPr>
        <w:pStyle w:val="TextBody"/>
        <w:bidi w:val="0"/>
        <w:spacing w:lineRule="auto" w:line="268" w:before="0" w:after="0"/>
        <w:ind w:left="0" w:right="0" w:firstLine="360"/>
        <w:jc w:val="left"/>
        <w:rPr/>
      </w:pPr>
      <w:r>
        <w:rPr>
          <w:rFonts w:ascii="Times New Roman;sans-serif" w:hAnsi="Times New Roman;sans-serif"/>
          <w:b w:val="false"/>
          <w:color w:val="000000"/>
          <w:sz w:val="20"/>
        </w:rPr>
        <w:t xml:space="preserve">We incurred impairment charges of $114.5 million on our investments in equity securities during 2023. </w:t>
      </w:r>
      <w:r>
        <w:rPr>
          <w:rFonts w:ascii="Times New Roman;sans-serif" w:hAnsi="Times New Roman;sans-serif"/>
          <w:b w:val="false"/>
          <w:i/>
          <w:color w:val="000000"/>
          <w:sz w:val="20"/>
        </w:rPr>
        <w:t xml:space="preserve">See </w:t>
      </w:r>
      <w:r>
        <w:rPr>
          <w:rFonts w:ascii="Times New Roman;sans-serif" w:hAnsi="Times New Roman;sans-serif"/>
          <w:b w:val="false"/>
          <w:color w:val="000000"/>
          <w:sz w:val="20"/>
        </w:rPr>
        <w:t xml:space="preserve">Note 8—Equity Investments in the notes to the consolidated financial statements included elsewhere in this report for additional information. The carrying value of our equity investments at December 31, 2023 is $60.1 million. </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 xml:space="preserve">See </w:t>
      </w:r>
      <w:r>
        <w:rPr>
          <w:rFonts w:ascii="Times New Roman;sans-serif" w:hAnsi="Times New Roman;sans-serif"/>
          <w:b w:val="false"/>
          <w:color w:val="000000"/>
          <w:sz w:val="20"/>
        </w:rPr>
        <w:t>Note 2—Significant Accounting Policies in the notes to the consolidated financial statements included elsewhere in this report for a description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300" w:after="120"/>
        <w:jc w:val="left"/>
        <w:rPr/>
      </w:pPr>
      <w:r>
        <w:rPr>
          <w:rFonts w:ascii="Times New Roman;sans-serif" w:hAnsi="Times New Roman;sans-serif"/>
          <w:b/>
          <w:color w:val="000000"/>
          <w:sz w:val="20"/>
        </w:rPr>
        <w:t>ITEM 7A.  </w:t>
      </w:r>
      <w:r>
        <w:rPr>
          <w:rFonts w:ascii="Times New Roman;sans-serif" w:hAnsi="Times New Roman;sans-serif"/>
          <w:b/>
          <w:i/>
          <w:color w:val="000000"/>
          <w:sz w:val="20"/>
        </w:rPr>
        <w:t>Quantitative and Qualitative Disclosures about Market Risk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our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 $2.5 million annual effect on the interest paid on borrowings under the Credit Facility. As of February 28, 2024, the Company had $246.3 million outstanding on its Term Loan Facility, and there were no outstanding borrowings under its Revolving Facility.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300" w:after="283"/>
        <w:jc w:val="left"/>
        <w:rPr/>
      </w:pPr>
      <w:r>
        <w:rPr>
          <w:rFonts w:ascii="Times New Roman;sans-serif" w:hAnsi="Times New Roman;sans-serif"/>
          <w:b/>
          <w:color w:val="000000"/>
          <w:sz w:val="20"/>
        </w:rPr>
        <w:t>ITEM 8.  </w:t>
      </w:r>
      <w:r>
        <w:rPr>
          <w:rFonts w:ascii="Times New Roman;sans-serif" w:hAnsi="Times New Roman;sans-serif"/>
          <w:b/>
          <w:i/>
          <w:color w:val="000000"/>
          <w:sz w:val="20"/>
        </w:rPr>
        <w:t>Financial Statements and Supplementary Data</w:t>
      </w:r>
    </w:p>
    <w:p>
      <w:pPr>
        <w:pStyle w:val="TextBody"/>
        <w:bidi w:val="0"/>
        <w:spacing w:before="3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10205" w:type="dxa"/>
        <w:jc w:val="center"/>
        <w:tblInd w:w="0" w:type="dxa"/>
        <w:tblLayout w:type="fixed"/>
        <w:tblCellMar>
          <w:top w:w="28" w:type="dxa"/>
          <w:left w:w="28" w:type="dxa"/>
          <w:bottom w:w="28" w:type="dxa"/>
          <w:right w:w="28" w:type="dxa"/>
        </w:tblCellMar>
      </w:tblPr>
      <w:tblGrid>
        <w:gridCol w:w="1132"/>
        <w:gridCol w:w="928"/>
        <w:gridCol w:w="908"/>
        <w:gridCol w:w="1904"/>
        <w:gridCol w:w="1766"/>
        <w:gridCol w:w="1752"/>
        <w:gridCol w:w="524"/>
        <w:gridCol w:w="524"/>
        <w:gridCol w:w="767"/>
      </w:tblGrid>
      <w:tr>
        <w:trPr/>
        <w:tc>
          <w:tcPr>
            <w:tcW w:w="113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2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LENDINGTREE, INC. AND SUBSIDIARIES:</w:t>
            </w:r>
          </w:p>
        </w:tc>
      </w:tr>
      <w:tr>
        <w:trPr/>
        <w:tc>
          <w:tcPr>
            <w:tcW w:w="83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67">
              <w:r>
                <w:rPr>
                  <w:rStyle w:val="InternetLink"/>
                  <w:rFonts w:ascii="Times New Roman;sans-serif" w:hAnsi="Times New Roman;sans-serif"/>
                  <w:b/>
                  <w:i/>
                  <w:color w:val="0000FF"/>
                  <w:sz w:val="20"/>
                  <w:u w:val="single"/>
                </w:rPr>
                <w:t xml:space="preserve">Report of Independent Registered Public Accounting Firm (PCAOB ID </w:t>
              </w:r>
            </w:hyperlink>
            <w:r>
              <w:rPr>
                <w:rFonts w:ascii="Times New Roman;sans-serif" w:hAnsi="Times New Roman;sans-serif"/>
                <w:b/>
                <w:i/>
                <w:color w:val="000000"/>
                <w:sz w:val="20"/>
              </w:rPr>
              <w:t>238</w:t>
            </w:r>
            <w:hyperlink w:anchor="i205f388eefa74f188b4be083d75297f3_67">
              <w:r>
                <w:rPr>
                  <w:rStyle w:val="InternetLink"/>
                  <w:rFonts w:ascii="Times New Roman;sans-serif" w:hAnsi="Times New Roman;sans-serif"/>
                  <w:b/>
                  <w:i/>
                  <w:color w:val="0000FF"/>
                  <w:sz w:val="20"/>
                  <w:u w:val="single"/>
                </w:rPr>
                <w:t>)</w:t>
              </w:r>
            </w:hyperlink>
            <w:r>
              <w:rPr>
                <w:color w:val="000000"/>
                <w:u w:val="single"/>
              </w:rPr>
              <w:t xml:space="preserve">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67">
              <w:r>
                <w:rPr>
                  <w:rStyle w:val="InternetLink"/>
                  <w:rFonts w:ascii="Times New Roman;sans-serif" w:hAnsi="Times New Roman;sans-serif"/>
                  <w:b w:val="false"/>
                  <w:strike w:val="false"/>
                  <w:dstrike w:val="false"/>
                  <w:color w:val="0000FF"/>
                  <w:sz w:val="20"/>
                  <w:u w:val="none"/>
                  <w:effect w:val="none"/>
                </w:rPr>
                <w:t>54</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73">
              <w:r>
                <w:rPr>
                  <w:rStyle w:val="InternetLink"/>
                  <w:rFonts w:ascii="Times New Roman;sans-serif" w:hAnsi="Times New Roman;sans-serif"/>
                  <w:b/>
                  <w:i/>
                  <w:color w:val="0000FF"/>
                  <w:sz w:val="20"/>
                  <w:u w:val="single"/>
                </w:rPr>
                <w:t>Consolidated Balance Sheets</w:t>
              </w:r>
            </w:hyperlink>
          </w:p>
        </w:tc>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73">
              <w:r>
                <w:rPr>
                  <w:rStyle w:val="InternetLink"/>
                  <w:rFonts w:ascii="Times New Roman;sans-serif" w:hAnsi="Times New Roman;sans-serif"/>
                  <w:b w:val="false"/>
                  <w:strike w:val="false"/>
                  <w:dstrike w:val="false"/>
                  <w:color w:val="0000FF"/>
                  <w:sz w:val="20"/>
                  <w:u w:val="none"/>
                  <w:effect w:val="none"/>
                </w:rPr>
                <w:t>57</w:t>
              </w:r>
            </w:hyperlink>
          </w:p>
        </w:tc>
      </w:tr>
      <w:tr>
        <w:trPr/>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70">
              <w:r>
                <w:rPr>
                  <w:rStyle w:val="InternetLink"/>
                  <w:rFonts w:ascii="Times New Roman;sans-serif" w:hAnsi="Times New Roman;sans-serif"/>
                  <w:b/>
                  <w:i/>
                  <w:color w:val="000080"/>
                  <w:sz w:val="20"/>
                  <w:u w:val="single"/>
                </w:rPr>
                <w:t>Consolidated Statements of Operations and Comprehensive</w:t>
              </w:r>
            </w:hyperlink>
            <w:r>
              <w:rPr>
                <w:rFonts w:ascii="Times New Roman;sans-serif" w:hAnsi="Times New Roman;sans-serif"/>
                <w:b/>
                <w:i/>
                <w:color w:val="0000FF"/>
                <w:sz w:val="20"/>
                <w:u w:val="single"/>
              </w:rPr>
              <w:t xml:space="preserve"> Income (Loss)</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70">
              <w:r>
                <w:rPr>
                  <w:rStyle w:val="InternetLink"/>
                  <w:rFonts w:ascii="Times New Roman;sans-serif" w:hAnsi="Times New Roman;sans-serif"/>
                  <w:b w:val="false"/>
                  <w:strike w:val="false"/>
                  <w:dstrike w:val="false"/>
                  <w:color w:val="0000FF"/>
                  <w:sz w:val="20"/>
                  <w:u w:val="none"/>
                  <w:effect w:val="none"/>
                </w:rPr>
                <w:t>58</w:t>
              </w:r>
            </w:hyperlink>
          </w:p>
        </w:tc>
      </w:tr>
      <w:tr>
        <w:trPr/>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76">
              <w:r>
                <w:rPr>
                  <w:rStyle w:val="InternetLink"/>
                  <w:rFonts w:ascii="Times New Roman;sans-serif" w:hAnsi="Times New Roman;sans-serif"/>
                  <w:b/>
                  <w:i/>
                  <w:color w:val="0000FF"/>
                  <w:sz w:val="20"/>
                  <w:u w:val="single"/>
                </w:rPr>
                <w:t>Consolidated Statements of Shareholders' Equity</w:t>
              </w:r>
            </w:hyperlink>
          </w:p>
        </w:tc>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76">
              <w:r>
                <w:rPr>
                  <w:rStyle w:val="InternetLink"/>
                  <w:rFonts w:ascii="Times New Roman;sans-serif" w:hAnsi="Times New Roman;sans-serif"/>
                  <w:b w:val="false"/>
                  <w:strike w:val="false"/>
                  <w:dstrike w:val="false"/>
                  <w:color w:val="0000FF"/>
                  <w:sz w:val="20"/>
                  <w:u w:val="none"/>
                  <w:effect w:val="none"/>
                </w:rPr>
                <w:t>59</w:t>
              </w:r>
            </w:hyperlink>
          </w:p>
        </w:tc>
      </w:tr>
      <w:tr>
        <w:trPr/>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82">
              <w:r>
                <w:rPr>
                  <w:rStyle w:val="InternetLink"/>
                  <w:rFonts w:ascii="Times New Roman;sans-serif" w:hAnsi="Times New Roman;sans-serif"/>
                  <w:b/>
                  <w:i/>
                  <w:color w:val="0000FF"/>
                  <w:sz w:val="20"/>
                  <w:u w:val="single"/>
                </w:rPr>
                <w:t>Consolidated Statements of Cash Flows</w:t>
              </w:r>
            </w:hyperlink>
          </w:p>
        </w:tc>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82">
              <w:r>
                <w:rPr>
                  <w:rStyle w:val="InternetLink"/>
                  <w:rFonts w:ascii="Times New Roman;sans-serif" w:hAnsi="Times New Roman;sans-serif"/>
                  <w:b w:val="false"/>
                  <w:strike w:val="false"/>
                  <w:dstrike w:val="false"/>
                  <w:color w:val="0000FF"/>
                  <w:sz w:val="20"/>
                  <w:u w:val="none"/>
                  <w:effect w:val="none"/>
                </w:rPr>
                <w:t>60</w:t>
              </w:r>
            </w:hyperlink>
          </w:p>
        </w:tc>
      </w:tr>
      <w:tr>
        <w:trPr/>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5f388eefa74f188b4be083d75297f3_85">
              <w:r>
                <w:rPr>
                  <w:rStyle w:val="InternetLink"/>
                  <w:rFonts w:ascii="Times New Roman;sans-serif" w:hAnsi="Times New Roman;sans-serif"/>
                  <w:b/>
                  <w:i/>
                  <w:color w:val="0000FF"/>
                  <w:sz w:val="20"/>
                  <w:u w:val="single"/>
                </w:rPr>
                <w:t>Notes to Consolidated Financial Statements</w:t>
              </w:r>
            </w:hyperlink>
          </w:p>
        </w:tc>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05f388eefa74f188b4be083d75297f3_85">
              <w:r>
                <w:rPr>
                  <w:rStyle w:val="InternetLink"/>
                  <w:rFonts w:ascii="Times New Roman;sans-serif" w:hAnsi="Times New Roman;sans-serif"/>
                  <w:b w:val="false"/>
                  <w:strike w:val="false"/>
                  <w:dstrike w:val="false"/>
                  <w:color w:val="0000FF"/>
                  <w:sz w:val="20"/>
                  <w:u w:val="none"/>
                  <w:effect w:val="none"/>
                </w:rPr>
                <w:t>61</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Shareholders of LendingTree, Inc.</w:t>
      </w:r>
    </w:p>
    <w:p>
      <w:pPr>
        <w:pStyle w:val="TextBody"/>
        <w:bidi w:val="0"/>
        <w:spacing w:lineRule="auto" w:line="288" w:before="240" w:after="120"/>
        <w:jc w:val="left"/>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LendingTree, Inc. and its subsidiaries (the “Company”) as of December 31, 2023 and 2022, and the related consolidated statements of operations and comprehensive income (loss), of shareholders'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pStyle w:val="TextBody"/>
        <w:bidi w:val="0"/>
        <w:spacing w:lineRule="auto" w:line="288" w:before="240" w:after="120"/>
        <w:jc w:val="left"/>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240" w:after="120"/>
        <w:jc w:val="left"/>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240" w:after="120"/>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24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Goodwill Impairment Assessment – Home and Insurance Reporting Units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Notes 2 and 7 to the consolidated financial statements, the Company’s consolidated goodwill balance was $381.5 million as of December 31, 2023, and the goodwill associated with the Home and Insurance reporting units was $59.3 million and $156.1 million, respectively. Goodwill is tested annually for impairment as of October 1, or more frequently upon the occurrence of certain events or substantive changes in circumstances. Management may elect to assess qualitative factors as a basis for determining whether it is necessary to perform the traditional quantitative impairment testing. At September 29, 2023, the Company’s market capitalization was below the Company’s book value. In addition, considering the effects of the challenging interest rate environment, low for-sale home inventories and the rise in home prices in the Home reporting unit and consumer price inflation negatively impacting carrier underwriting in the Insurance reporting unit, management concluded that a triggering event had occurred and an interim quantitative impairment test was performed as of September 30, 2023. The quantitative impairment test for goodwill involves a comparison of the fair value of a reporting unit with its carrying amount, including goodwill. Upon completing the quantitative interim goodwill impairment test, management concluded that the carrying value of the Insurance reporting unit exceeded its fair value, which resulted in a goodwill impairment charge of $38.6 million, and that the fair value of the Home reporting unit exceeded its carrying amount, indicating no goodwill impairment. Management determines the fair value of the Company’s reporting units by using a market approach and a discounted cash flow analysis. Determining the fair value using a discounted cash flow analysis and market analysis requires the exercise of significant judgments, including judgments about appropriate discount rates, revenue growth rates, marketing spend, direct operating expenses, the amount and timing of expected future cash flows, and market multiples.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considerations for our determination that performing procedures relating to the interim goodwill impairment assessment of the Home and Insurance reporting units is a critical audit matter are (i) the significant judgment by management when developing the fair value estimate of the Home and Insurance reporting units; (ii) a high degree of auditor judgment , subjectivity, and effort in performing procedures and evaluating management’s significant assumptions related to revenue growth rates, marketing spend, direct operating expenses, the discount rate, and market multiples; and (iii) the audit effort involved the use of professionals with specialized skill and knowledge.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Home and Insurance reporting units. These procedures also included, among others (i) testing management’s process for developing the fair value estimate of the Home and Insurance reporting units; (ii) evaluating the appropriateness of the discounted cash flow analysis and market approach used by management; (iii) testing the completeness and accuracy of the underlying data used in the discounted cash flow analysis and market approach; and (iv) evaluating the reasonableness of the significant assumptions used by management related to revenue growth rates, marketing spend, direct operating expenses, the discount rate, and market multiples. Evaluating management’s assumptions related to revenue growth rates, marketing spend, and direct operating expenses involved considering (i) the current and past performance of the Home and Insurance reporting units and (ii) whether the assumptions were consistent with evidence obtained in other areas of the audit, and for revenue growth rates (iii) the consistency with external market and industry data. Professionals with specialized skill and knowledge were used to assist in evaluating (i) the appropriateness of the discounted cash flow analysis and market approach and (ii) the reasonableness of the assumptions related to the discount rate and market multiples. </w:t>
      </w:r>
    </w:p>
    <w:p>
      <w:pPr>
        <w:pStyle w:val="TextBody"/>
        <w:bidi w:val="0"/>
        <w:spacing w:lineRule="auto" w:line="288" w:before="240" w:after="120"/>
        <w:jc w:val="left"/>
        <w:rPr/>
      </w:pPr>
      <w:r>
        <w:rPr>
          <w:rFonts w:ascii="Times New Roman;sans-serif" w:hAnsi="Times New Roman;sans-serif"/>
          <w:b w:val="false"/>
          <w:i/>
          <w:color w:val="000000"/>
          <w:sz w:val="20"/>
        </w:rPr>
        <w:t>Equity Investment Impairment Assessment – Stash Investment</w:t>
      </w:r>
      <w:r>
        <w:rPr>
          <w:color w:val="000000"/>
        </w:rPr>
        <w:t xml:space="preserve">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Notes 2 and 8 to the consolidated financial statements, in the third quarter of 2023, management determined there was an impairment indicator related to the Company’s Stash investment and performed a valuation of the investment, which resulted in an impairment charge of $113.1 million. The equity investments do not have a readily determinable fair value and, upon acquisition, the Company elected the measurement alternative to value its investments. The equity investments are carried at cost less impairment, if any, and subsequently measured to fair value upon observable price changes in an orderly transaction for the identical or similar investments. Additionally, if a qualitative assessment identifies impairment indicators, then the equity investments must be evaluated for impairment and written down to its fair value, if it is determined that the fair value is less than the carrying value. Management determined the fair value by using a market approach and a discounted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flow analysis. Determining the fair value using a discounted cash flow analysis and market analysis requires the exercise of significant judgments, including judgments about the appropriate discount rate, perpetual growth rates, including short-term revenue and EBITDA, the amount and timing of expected future cash flows, and the revenue exit multiple.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considerations for our determination that performing procedures relating to the equity investment impairment assessment of the Stash investment is a critical audit matter are (i) the significant judgment by management when developing the fair value estimate of the Stash investment; (ii) a high degree of auditor judgment, subjectivity, and effort in performing procedures and evaluating management’s significant assumptions related to short-term revenue and EBITDA growth rates, the discount rate, and the revenue exit multiple; and (iii) the audit effort involved the use of professionals with specialized skill and knowledge.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equity investment impairment assessment, including controls over the valuation of the Stash investment. These procedures also included, among others (i) testing management’s process for developing the fair value estimate of the Stash investment; (ii) evaluating the appropriateness of the discounted cash flow analysis and market approach used by management; (iii) testing the completeness and accuracy of the underlying data used in the discounted cash flow analysis and market approach; and (iv) evaluating the reasonableness of the significant assumptions used by management related to short-term revenue and EBITDA growth rates, the discount rate, and the revenue exit multiple. Evaluating management’s assumptions related to short-term revenue and EBITDA growth rates involved considering (i) the current and past performance of the Stash investment and (ii) the consistency with market data. Professionals with specialized skill and knowledge were used to assist in evaluating (i) the appropriateness of the discounted cash flow analysis and market approach and (ii) the reasonableness of the assumptions related to the discount rate and the revenue exit multiple.</w:t>
      </w:r>
    </w:p>
    <w:p>
      <w:pPr>
        <w:pStyle w:val="TextBody"/>
        <w:bidi w:val="0"/>
        <w:spacing w:lineRule="auto" w:line="26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PricewaterhouseCoopers LLP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2012.</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853"/>
        <w:gridCol w:w="2138"/>
        <w:gridCol w:w="2154"/>
        <w:gridCol w:w="235"/>
        <w:gridCol w:w="941"/>
        <w:gridCol w:w="121"/>
        <w:gridCol w:w="109"/>
        <w:gridCol w:w="109"/>
        <w:gridCol w:w="109"/>
        <w:gridCol w:w="222"/>
        <w:gridCol w:w="1047"/>
        <w:gridCol w:w="167"/>
      </w:tblGrid>
      <w:tr>
        <w:trPr/>
        <w:tc>
          <w:tcPr>
            <w:tcW w:w="2853"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par value</w:t>
              <w:br/>
              <w:t>and share amounts)</w:t>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$2,222 and $2,317, respectively)</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 (Note 9)</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7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196,482</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413,968</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 of $36,827 and $33,851, respectively)</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(Note 8)</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7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802,759</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1,199,313</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trade</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7145"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 (Note 9)</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75,629</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82,534</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525,617 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813,516 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678,627</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991,373</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(Notes 16 and 17)</w:t>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$.01 par value; 5,000,000 shares authorized; none issued or outstanding</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 50,000,000 shares authorized; 16,396,911 and 16,167,184 shares issued, respectively, and 13,041,445 and 12,811,718 shares outstanding, respectively</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1,227,849 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1,189,255 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(837,703)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(715,299)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3,355,466 and 3,355,466 shares, respectively</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(266,178)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(266,178)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124,132</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207,940</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2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802,759</w:t>
            </w:r>
            <w:r>
              <w:rPr>
                <w:color w:val="000000"/>
              </w:rPr>
              <w:t> </w:t>
            </w:r>
          </w:p>
        </w:tc>
        <w:tc>
          <w:tcPr>
            <w:tcW w:w="1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1,199,313</w:t>
            </w:r>
            <w:r>
              <w:rPr>
                <w:color w:val="000000"/>
              </w:rPr>
              <w:t> </w:t>
            </w:r>
          </w:p>
        </w:tc>
        <w:tc>
          <w:tcPr>
            <w:tcW w:w="1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center"/>
        <w:rPr>
          <w:color w:val="000000"/>
        </w:rPr>
      </w:pPr>
      <w:r>
        <w:rPr>
          <w:color w:val="000000"/>
        </w:rPr>
        <w:t>   </w:t>
      </w:r>
    </w:p>
    <w:p>
      <w:pPr>
        <w:pStyle w:val="TextBody"/>
        <w:bidi w:val="0"/>
        <w:spacing w:lineRule="auto" w:line="288" w:before="160" w:after="1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INCOME (LOSS)</w:t>
      </w:r>
    </w:p>
    <w:tbl>
      <w:tblPr>
        <w:tblW w:w="10205" w:type="dxa"/>
        <w:jc w:val="center"/>
        <w:tblInd w:w="0" w:type="dxa"/>
        <w:tblLayout w:type="fixed"/>
        <w:tblCellMar>
          <w:top w:w="28" w:type="dxa"/>
          <w:left w:w="28" w:type="dxa"/>
          <w:bottom w:w="28" w:type="dxa"/>
          <w:right w:w="28" w:type="dxa"/>
        </w:tblCellMar>
      </w:tblPr>
      <w:tblGrid>
        <w:gridCol w:w="2165"/>
        <w:gridCol w:w="1796"/>
        <w:gridCol w:w="1818"/>
        <w:gridCol w:w="211"/>
        <w:gridCol w:w="887"/>
        <w:gridCol w:w="109"/>
        <w:gridCol w:w="109"/>
        <w:gridCol w:w="109"/>
        <w:gridCol w:w="109"/>
        <w:gridCol w:w="211"/>
        <w:gridCol w:w="887"/>
        <w:gridCol w:w="109"/>
        <w:gridCol w:w="109"/>
        <w:gridCol w:w="109"/>
        <w:gridCol w:w="109"/>
        <w:gridCol w:w="211"/>
        <w:gridCol w:w="991"/>
        <w:gridCol w:w="156"/>
      </w:tblGrid>
      <w:tr>
        <w:trPr/>
        <w:tc>
          <w:tcPr>
            <w:tcW w:w="2165"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5"/>
              </w:rPr>
            </w:pPr>
            <w:r>
              <w:rPr>
                <w:rFonts w:ascii="Times New Roman;sans-serif" w:hAnsi="Times New Roman;sans-serif"/>
                <w:b/>
                <w:i/>
                <w:color w:val="000000"/>
                <w:sz w:val="15"/>
              </w:rPr>
              <w:t>(in thousands, except per share amounts)</w:t>
            </w:r>
          </w:p>
        </w:tc>
      </w:tr>
      <w:tr>
        <w:trPr/>
        <w:tc>
          <w:tcPr>
            <w:tcW w:w="5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672,502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984,992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1,098,499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revenue </w:t>
            </w:r>
            <w:r>
              <w:rPr>
                <w:rFonts w:ascii="Times New Roman;sans-serif" w:hAnsi="Times New Roman;sans-serif"/>
                <w:b w:val="false"/>
                <w:i/>
                <w:color w:val="000000"/>
                <w:sz w:val="20"/>
              </w:rPr>
              <w:t>(exclusive of depreciation and amortization shown separately below)</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773,990 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severance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contingencies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costs and expenses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713,113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1,017,754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1,090,468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 income</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(40,611)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(32,762)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8,031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income before income taxes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(124,919)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(54,933)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84,436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from continuing operations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(187,952)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73,138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discontinued operations, net of tax</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and comprehensive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(187,952)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69,115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income per share from continuing operations:</w:t>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per share from discontinued operations:</w:t>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per share:</w:t>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9" w:type="dxa"/>
            <w:gridSpan w:val="3"/>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09" w:type="dxa"/>
            <w:tcBorders>
              <w:bottom w:val="single" w:sz="8" w:space="0" w:color="999999"/>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999999"/>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109" w:type="dxa"/>
            <w:tcBorders>
              <w:bottom w:val="single" w:sz="8" w:space="0" w:color="999999"/>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999999"/>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bottom w:val="single" w:sz="8" w:space="0" w:color="999999"/>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56" w:type="dxa"/>
            <w:tcBorders>
              <w:bottom w:val="single" w:sz="8" w:space="0" w:color="999999"/>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center"/>
        <w:rPr/>
      </w:pPr>
      <w:r>
        <w:rPr/>
      </w:r>
    </w:p>
    <w:p>
      <w:pPr>
        <w:pStyle w:val="TextBody"/>
        <w:bidi w:val="0"/>
        <w:spacing w:lineRule="auto" w:line="288" w:before="16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tbl>
      <w:tblPr>
        <w:tblW w:w="10205" w:type="dxa"/>
        <w:jc w:val="center"/>
        <w:tblInd w:w="0" w:type="dxa"/>
        <w:tblLayout w:type="fixed"/>
        <w:tblCellMar>
          <w:top w:w="28" w:type="dxa"/>
          <w:left w:w="28" w:type="dxa"/>
          <w:bottom w:w="28" w:type="dxa"/>
          <w:right w:w="28" w:type="dxa"/>
        </w:tblCellMar>
      </w:tblPr>
      <w:tblGrid>
        <w:gridCol w:w="711"/>
        <w:gridCol w:w="343"/>
        <w:gridCol w:w="344"/>
        <w:gridCol w:w="196"/>
        <w:gridCol w:w="751"/>
        <w:gridCol w:w="109"/>
        <w:gridCol w:w="109"/>
        <w:gridCol w:w="109"/>
        <w:gridCol w:w="109"/>
        <w:gridCol w:w="330"/>
        <w:gridCol w:w="331"/>
        <w:gridCol w:w="231"/>
        <w:gridCol w:w="109"/>
        <w:gridCol w:w="109"/>
        <w:gridCol w:w="109"/>
        <w:gridCol w:w="196"/>
        <w:gridCol w:w="436"/>
        <w:gridCol w:w="109"/>
        <w:gridCol w:w="109"/>
        <w:gridCol w:w="109"/>
        <w:gridCol w:w="109"/>
        <w:gridCol w:w="196"/>
        <w:gridCol w:w="886"/>
        <w:gridCol w:w="109"/>
        <w:gridCol w:w="109"/>
        <w:gridCol w:w="109"/>
        <w:gridCol w:w="109"/>
        <w:gridCol w:w="196"/>
        <w:gridCol w:w="752"/>
        <w:gridCol w:w="109"/>
        <w:gridCol w:w="109"/>
        <w:gridCol w:w="109"/>
        <w:gridCol w:w="109"/>
        <w:gridCol w:w="285"/>
        <w:gridCol w:w="286"/>
        <w:gridCol w:w="231"/>
        <w:gridCol w:w="109"/>
        <w:gridCol w:w="109"/>
        <w:gridCol w:w="109"/>
        <w:gridCol w:w="196"/>
        <w:gridCol w:w="752"/>
        <w:gridCol w:w="158"/>
      </w:tblGrid>
      <w:tr>
        <w:trPr/>
        <w:tc>
          <w:tcPr>
            <w:tcW w:w="71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r>
      <w:tr>
        <w:trPr/>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 Shares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07" w:type="dxa"/>
            <w:gridSpan w:val="3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13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364,761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15,766</w:t>
            </w: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1,188,673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(640,909)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2,641</w:t>
            </w: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(183,161)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and comprehensive income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stock options, restricted stock awards and restricted stock units, net of withholding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447,992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16,071</w:t>
            </w: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1,242,794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(571,794)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2,976</w:t>
            </w: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(223,169)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and comprehensive loss</w:t>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(187,952)</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(187,952)</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stock options, restricted stock awards and restricted stock units, net of withholding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effect adjustment due to ASU 2020-06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207,940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16,167</w:t>
            </w: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1,189,255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(715,299)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3,355</w:t>
            </w: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(266,178)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and comprehensive loss</w:t>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(122,404)</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(122,404)</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stock options, employee stock purchase plan, restricted stock awards and restricted stock units, net of withholding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2023</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124,132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16,397</w:t>
            </w:r>
            <w:r>
              <w:rPr>
                <w:color w:val="000000"/>
              </w:rPr>
              <w:t> </w:t>
            </w:r>
          </w:p>
        </w:tc>
        <w:tc>
          <w:tcPr>
            <w:tcW w:w="2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1,227,849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(837,703)</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3,355</w:t>
            </w:r>
            <w:r>
              <w:rPr>
                <w:color w:val="000000"/>
              </w:rPr>
              <w:t> </w:t>
            </w:r>
          </w:p>
        </w:tc>
        <w:tc>
          <w:tcPr>
            <w:tcW w:w="2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(266,178)</w:t>
            </w:r>
          </w:p>
        </w:tc>
        <w:tc>
          <w:tcPr>
            <w:tcW w:w="1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center"/>
        <w:rPr>
          <w:color w:val="000000"/>
        </w:rPr>
      </w:pPr>
      <w:r>
        <w:rPr>
          <w:color w:val="000000"/>
        </w:rPr>
        <w:t>   </w:t>
      </w:r>
    </w:p>
    <w:p>
      <w:pPr>
        <w:pStyle w:val="TextBody"/>
        <w:bidi w:val="0"/>
        <w:spacing w:lineRule="auto" w:line="288" w:before="16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78"/>
        <w:gridCol w:w="2115"/>
        <w:gridCol w:w="2121"/>
        <w:gridCol w:w="196"/>
        <w:gridCol w:w="788"/>
        <w:gridCol w:w="109"/>
        <w:gridCol w:w="196"/>
        <w:gridCol w:w="788"/>
        <w:gridCol w:w="109"/>
        <w:gridCol w:w="196"/>
        <w:gridCol w:w="751"/>
        <w:gridCol w:w="158"/>
      </w:tblGrid>
      <w:tr>
        <w:trPr/>
        <w:tc>
          <w:tcPr>
            <w:tcW w:w="2678"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 attributable to continuing operations:</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 income and comprehensive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(122,404)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(187,952)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69,115</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Loss from discontinued operations, net of tax</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income from continuing operations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(187,952)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73,138 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income from continuing operations to net cash provided by operating activities attributable to continuing operations:</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impairments and disposal of assets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 expense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contingent consideration</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Bad debt expense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Write-off of previously-capitalized debt issuance costs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discount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Reduction in carrying amount of ROU asset, offset by change in operating lease liabilities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settlement of convertible debt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(gain) on investments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(123,272)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impairment of goodwill</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current assets and liabilities: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current assets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other current liabilities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operating activities attributable to continuing operations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67,571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42,967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131,256</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 attributable to continuing operations:</w:t>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(35,065)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equity investment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 of equity investment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activities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provided by investing activities attributable to continuing operations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(12,478)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(27,876)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10,067</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 attributable to continuing operations:</w:t>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related to net-share settlement of stock-based compensation, net of proceeds from exercise of stock options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term loan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term loan</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0.50% Convertible Senior Notes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0.625% Convertible Senior Notes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debt issuance costs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original issue discount on term loan</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provided by financing activities attributable to continuing operations</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(242,006)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32,536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(63,347)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cash (used in) provided by continuing operations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(186,913)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47,627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77,976</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 attributable to discontinued operations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cash provided by discontinued operations</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3,317</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(decrease) increase in cash, cash equivalents, restricted cash and restricted cash equivalents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(186,913)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47,627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81,293</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restricted cash, and restricted cash equivalents at beginning of period</w:t>
            </w:r>
          </w:p>
        </w:tc>
        <w:tc>
          <w:tcPr>
            <w:tcW w:w="98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298,969 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251,342 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170,049 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restricted cash, and restricted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112,056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298,969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251,342</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activities: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increase in capital expenditures included in accounts payable and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cash flow information:</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payments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refunds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6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1—ORGANIZATION</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 Inc. is the parent of LT Intermediate Company, LLC, which holds all of the outstanding ownership interests of LendingTree, LLC, and LendingTree, LLC owns several companies (collectively, “LendingTree” or the “Company”).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auto loans, credit cards, deposit accounts, personal loans, student loans, small business loans, insurance quotes, sales of insurance policies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consolidated financial statements include the accounts of LendingTree and all its wholly-owned entities, except Home Loan Center, Inc. (“HLC”) subsequent to its bankruptcy filing on July 21, 2019 which resulted in the Company's loss of a controlling interest in HLC under applicable accounting standards. Intercompany transactions and accounts have been eliminated. The HLC bankruptcy case was closed on July 14, 2021. The HLC entity was legally dissolved in the first quarter of 2022.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 xml:space="preserve">Note 21—Discontinued Operations for additional information. </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Discontinued Operations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LendingTree Loans business, which consisted of originating various consumer mortgage loans through HLC (the “LendingTree Loans Business”), is presented as discontinued operations in the accompanying consolidated balance sheets, consolidated statements of operations and comprehensive income (loss) and consolidated cash flows for all periods presented, where applicable. The notes accompanying these consolidated financial statements reflect the Company's continuing operations and, unless otherwise noted, exclude information related to the discontinued operations.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 xml:space="preserve">Note 21 </w:t>
      </w:r>
      <w:r>
        <w:rPr>
          <w:color w:val="000000"/>
        </w:rPr>
        <w:t>—</w:t>
      </w:r>
      <w:r>
        <w:rPr>
          <w:rFonts w:ascii="Times New Roman;sans-serif" w:hAnsi="Times New Roman;sans-serif"/>
          <w:b w:val="false"/>
          <w:color w:val="000000"/>
          <w:sz w:val="20"/>
        </w:rPr>
        <w:t>Discontinued Operations for additional information.</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accounting principles generally accepted in the United States of America (“GAAP”) and pursuant to the rules and regulations of the U.S. Securities and Exchange Commission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2—SIGNIFICANT ACCOUNTING POLICIES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its revenue primarily from match fees and closing fees. Revenue is recognized when performance obligations under the terms of a contract with a customer are satisfied and promised services have transferred to the customer. In identifying performance obligations, judgment is required around contracts where there was a possibility of bundled services and multiple parties. In applying judgment, the Company considers customer expectations of performance, materiality and the core principles of Accounting Standards Codification (“ASC”) Topic 606, Revenue from Contracts with Customers. The Company's services are generally transferred to the customer at a point in time.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consideration is included in revenue if it is probable that a significant future reversal of cumulative revenue under the contract will not occur.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were derived from consumers in the Company's credit services product. Upfront fees paid by consumers were recognized as revenue over the estimated time the consumer was expected to remain a customer and receive services. Subscription fees were recognized over the period a consumer was receiving services. As of the second quarter of 2023, the Company discontinued providing its credit services product to consumers and no longer receives upfront fees and subscription fees.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ASC Topic 606, the timing of recognizing revenue for closing fees and approval fees is accelerated to the point when a loan request or a credit card consumer is delivered to the customer, as opposed to when the consumer loan is closed by the lender or credit card approval is made by the issuer.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 The time between satisfaction of the Company's performance obligation and when the Company's right to consideration becomes unconditional varies across products but is generally less than 90 days for auto loans, personal loans, student loans and credit card approvals. The time between satisfaction of the Company's performance obligation and when the Company's right to consideration becomes unconditional for small business loans is generally less than 5 years.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payment terms vary by customer and services offered. The term between invoicing and when payment is due is generally 30 days or less.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commissions are incremental costs of obtaining contracts with customers. The Company expenses sales commissions when incurred as the duration of contracts with customers is less than one year, based on the right of either party to terminate the contract with less than one year's notice without compensation to either party. These costs are recorded within selling and marketing expense on the consolidated statements of operations and comprehensive income (loss).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cash and short-term, highly liquid money market investments with original maturities of three months or less.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Restricted Cash</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escrowed or contractually restricted for a specific purpose is designated as restricted cash.</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stated at amounts due from customers, net of an allowance for doubtful accounts.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A reconciliation of the beginning and ending balances of the allowance for doubtful accounts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7392" w:type="dxa"/>
        <w:jc w:val="left"/>
        <w:tblInd w:w="0" w:type="dxa"/>
        <w:tblLayout w:type="fixed"/>
        <w:tblCellMar>
          <w:top w:w="28" w:type="dxa"/>
          <w:left w:w="28" w:type="dxa"/>
          <w:bottom w:w="28" w:type="dxa"/>
          <w:right w:w="28" w:type="dxa"/>
        </w:tblCellMar>
      </w:tblPr>
      <w:tblGrid>
        <w:gridCol w:w="1391"/>
        <w:gridCol w:w="1220"/>
        <w:gridCol w:w="1229"/>
        <w:gridCol w:w="211"/>
        <w:gridCol w:w="631"/>
        <w:gridCol w:w="109"/>
        <w:gridCol w:w="109"/>
        <w:gridCol w:w="109"/>
        <w:gridCol w:w="109"/>
        <w:gridCol w:w="211"/>
        <w:gridCol w:w="631"/>
        <w:gridCol w:w="109"/>
        <w:gridCol w:w="109"/>
        <w:gridCol w:w="109"/>
        <w:gridCol w:w="109"/>
        <w:gridCol w:w="211"/>
        <w:gridCol w:w="631"/>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to earnings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 of uncollectible 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collected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 (Note 9)</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end of the period</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2,222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1,456</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three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or CODM, for the purpose of assessing performance and allocating resources.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Property and Equipment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including internally-developed software and significant improvements, are recorded at cost less accumulated depreciation. Due to the rapid advancements in technology and evolution of company products, all internally-developed software is written off at the end of its useful life. Repairs and maintenance and any gains or losses on dispositions are recognized as incurred in current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is recorded on a straight-line basis to allocate the cost of depreciable assets to operations over their estimated service lives. The following table presents the estimated useful lives for each asset category:</w:t>
      </w:r>
    </w:p>
    <w:tbl>
      <w:tblPr>
        <w:tblW w:w="6658" w:type="dxa"/>
        <w:jc w:val="left"/>
        <w:tblInd w:w="0" w:type="dxa"/>
        <w:tblLayout w:type="fixed"/>
        <w:tblCellMar>
          <w:top w:w="28" w:type="dxa"/>
          <w:left w:w="28" w:type="dxa"/>
          <w:bottom w:w="28" w:type="dxa"/>
          <w:right w:w="28" w:type="dxa"/>
        </w:tblCellMar>
      </w:tblPr>
      <w:tblGrid>
        <w:gridCol w:w="1395"/>
        <w:gridCol w:w="1228"/>
        <w:gridCol w:w="1231"/>
        <w:gridCol w:w="819"/>
        <w:gridCol w:w="819"/>
        <w:gridCol w:w="1166"/>
      </w:tblGrid>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 Category</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Useful Lives</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capitalized software</w:t>
            </w:r>
          </w:p>
        </w:tc>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to 5 years</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Lesser of asset life or life of lease</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other equipment</w:t>
            </w:r>
          </w:p>
        </w:tc>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38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w:t>
            </w:r>
          </w:p>
        </w:tc>
        <w:tc>
          <w:tcPr>
            <w:tcW w:w="280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bl>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Hosting Arrangement that is a Service Contract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adoption of ASU 2018-15 in the first quarter of 2020, as described below, qualifying implementation costs incurred in a hosting arrangement that is a service contract are capitalized and deferred on a straight-line basis over the term of the hosting arrangement, which is typically one to five years. These costs are capitalized to prepaid and other current assets and other non-current assets on the balance sheet, and the associated amortization expense is included within general and administrative expense on the statement of operations and comprehensive income (loss). The majority of such capitalized implementation costs arise from internal and external labor associated with software development, described below.</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Software Development Costs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 primarily include internal and external labor expenses incurred to develop the software that powers the Company's websites. Certain costs incurred during the application development stage are capitalized, either as property and equipment or as a hosting arrangement that is a service contract, based on specific activities tracked, while costs incurred during the preliminary project stage and post-implementation/operation stage are expensed as incurred. Capitalized software development costs are amortized over an estimated useful life of one to five years.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Goodwill and Indefinite-Lived Intangible Assets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acquired in business combinations is assigned to the reporting units that are expected to benefit from the combination as of the acquisition date. Goodwill and indefinite-lived intangible assets, consisting of certain trade names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trademarks, are not amortized. Rather, these assets are tested annually for impairment as of October 1, or more frequently upon the occurrence of certain events or substantive changes in circumstances.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its annual impairment testing of goodwill and indefinite-lived intangible assets, in each instance, the Company may elect to assess qualitative factors as a basis for determining whether it is necessary to perform the traditional quantitative impairment testing. If the Company’s assessment of these qualitative factors indicates that it is not more likely than not that the fair value of the reporting unit or indefinite-lived intangible asset is less than its carrying value, then no further testing is required. Otherwise, the goodwill reporting unit or long-lived intangible assets, as applicable, must be quantitatively tested for impairment.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quantitative impairment test for goodwill involves a comparison of the fair value of a reporting unit with its carrying amount, including goodwill. The Company determines the fair value of its reporting units by using a market approach and a discounted cash flow (“DCF”) analysis. Determining fair value using a DCF analysis and market analysis requires the exercise of significant judgments, including judgments about appropriate discount rates, revenue growth rates, marketing spend, direct operating expenses, the amount and timing of expected future cash flows, and market multiples. If the fair value of a reporting unit exceeds its carrying amount, goodwill of the reporting unit is not impaired. If the carrying amount of a reporting unit exceeds its fair value, an impairment loss is recognized in an amount equal to that excess.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quantitative impairment test for indefinite-lived intangible assets involves a comparison of the estimated fair value of the intangible asset with its carrying value. If the carrying value of the indefinite-lived intangible asset exceeds its estimated fair value, an impairment loss is recognized in an amount equal to that excess. The estimates of fair value of indefinite-lived intangible assets are determined using a DCF valuation analysis that employs a relief-from-royalty methodology in estimating the fair value of trade names and trademarks. Significant judgments inherent in this analysis include the determination of royalty rates, discount rates, perpetual growth rates and the amount and timing of future revenues.</w:t>
      </w:r>
    </w:p>
    <w:p>
      <w:pPr>
        <w:pStyle w:val="TextBody"/>
        <w:bidi w:val="0"/>
        <w:spacing w:lineRule="auto" w:line="26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Results of the October 1, 2023, 2022 and 2021 qualitative annual impairment tests indicated that it is not more likely than not that the fair value of the goodwill and the indefinite-lived intangible assets were each less than their respective carrying values. Accordingly, no further testing was required.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performed its quarterly review of impairment triggering events for goodwill and determined that a triggering event had not occurred.</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Long-Lived Assets and Intangible Assets with Definite Lives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include property and equipment, definite-lived intangible assets and operating lease right-of-use assets. Amortization of definite-lived intangible assets is recorded on a straight-line basis over their estimated lives.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implementation costs incurred in a hosting arrangement that is a service contract are also allocated to and included within long-lived asset groups tested for recoverability.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 groups are tested for recoverability whenever events or changes in circumstances indicate that their carrying amounts may not be recoverable. The carrying amount of a long-lived asset group is not recoverable if it exceeds the sum of the undiscounted cash flows expected to result from the use and eventual disposition of the asset group. If the carrying amount is deemed to not be recoverable, an impairment loss is recorded as the amount by which the carrying amount of the long-lived asset group exceeds its fair value.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and 2022, the Company performed its review of impairment triggering events for long-lived asset groups and determined that a triggering event had not occurred. </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Assets and Liabilities Held for Sale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assets or disposal groups to be sold as held for sale in the period in which all of the following criteria are met: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Management, having the authority to approve the action, commits to a plan to sell the asset or disposal group;</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asset or disposal group is available for immediate sale in its present condition subject only to terms that are usual and customary for sales of such assets or disposal groups;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 active program to locate a buyer and other actions required to complete the plan to sell the asset or disposal group have been initiated;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sale of the asset or disposal group is probable and transfer of the asset or disposal group is expected to qualify for recognition as a completed sale within one year, except if events or circumstances beyond the Company's control extend the period of time required to sell the asset or disposal group beyond one year;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asset or disposal group is being actively marketed for sale at a price that is reasonable in relation to its current fair value;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Actions required to complete the plan indicate that it is unlikely that significant changes to the plan will be made or that the plan will be withdrawn.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long-lived asset or disposal group that is classified as held for sale is initially measured at the lower of its carrying value or fair value less any costs to sell. Any loss resulting from this measurement is recognized in the period in which the held-for-sale criteria are met. Conversely, gains are not recognized on the sale of a long-lived asset or disposal group until the date of sale. The fair value of a long-lived asset or disposal group, less any costs to sell, is assessed each reporting period it remains classified as held for sale and any subsequent changes are reported as an adjustment to the carrying value of the asset or disposal group, as long as the new carrying value does not exceed the carrying value of the asset at the time it was initially classified as held for sale.</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Equity Investments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equity investments do not have a readily determinable fair value and, upon acquisition, the Company elected the measurement alternative to value its investments. Accordingly, the equity investments will be carried at cost less impairment, if any, and subsequently measured to fair value upon observable price changes in an orderly transaction for the identical or similar investments. Additionally, if a qualitative assessment identifies impairment indicators, then the equity investments must be evaluated for impairment and written down to its fair value, if it is determined that the fair value is less than the carrying value. Any gains or losses are included within other (expense) income in the consolidated statement of operations and comprehensive income.</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categorizes its assets and liabilities measured at fair value into a fair value hierarchy that prioritizes the assumptions used in pricing the asset or liability into the following three levels:</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u w:val="single"/>
        </w:rPr>
        <w:t>Level 1</w:t>
      </w:r>
      <w:r>
        <w:rPr>
          <w:rFonts w:ascii="Times New Roman;sans-serif" w:hAnsi="Times New Roman;sans-serif"/>
          <w:b w:val="false"/>
          <w:color w:val="000000"/>
          <w:sz w:val="20"/>
        </w:rPr>
        <w:t>: Observable inputs, such as quoted prices for identical assets and liabilities in active markets obtained from independent sources.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u w:val="single"/>
        </w:rPr>
        <w:t>Level 2</w:t>
      </w:r>
      <w:r>
        <w:rPr>
          <w:rFonts w:ascii="Times New Roman;sans-serif" w:hAnsi="Times New Roman;sans-serif"/>
          <w:b w:val="false"/>
          <w:color w:val="000000"/>
          <w:sz w:val="20"/>
        </w:rPr>
        <w:t>: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u w:val="single"/>
        </w:rPr>
        <w:t>Level 3</w:t>
      </w:r>
      <w:r>
        <w:rPr>
          <w:rFonts w:ascii="Times New Roman;sans-serif" w:hAnsi="Times New Roman;sans-serif"/>
          <w:b w:val="false"/>
          <w:color w:val="000000"/>
          <w:sz w:val="20"/>
        </w:rPr>
        <w:t xml:space="preserve">: Unobservable inputs for which there is little or no market data and which require the Company to develop its own assumptions, based on the best information available under the circumstances, about the assumptions market participants would use in pricing the asset or liability.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non-financial assets, such as goodwill, intangible assets and property and equipment are recorded at fair value upon acquisition. These assets are remeasured at fair value when there is an indicator of impairment and recorded at fair value only when an impairment charge is recognized. Such fair value measurements are based predominantly on Level 3 inputs.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payments related to acquisitions are measured at fair value each reporting period using Level 3 unobservable inputs. The Company's estimates of fair value are based upon assumptions believed to be reasonable but which are uncertain and involve significant judgments by management. Any changes in the fair value of these contingent consideration payments are included in operating income in the consolidated statements of operations and comprehensive income (loss). At December 31, 2023, the Company had no outstanding contingent consideration arrangements.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Cost of Revenue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expenses associated with compensation and other employee-related costs (including stock-based compensation) related to internally-operated customer call centers, third-party customer call center fees, credit scoring fees, credit card fees, website network hosting and server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Product Development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development expense consists primarily of compensation and other employee-related costs (including stock-based compensation), as well as third-party labor costs that are not capitalized, for employees and consultants engaged in the design, development, testing and enhancement of technology. </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Advertising and Promotional Expense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and promotional costs are expensed in the period incurred (except for production costs which are initially capitalized and then recognized as expense when the advertisement first runs) and principally represent offline costs, including television, print and radio advertising, and online advertising costs, including fees paid to search engines and distribution partners. Advertising and promotional expense was $391.6 million, $647.3 million and $716.6 million for the years ended December 31, 2023, 2022 and 2021, respectively, and is included in selling and marketing expense on the consolidated statements of operations and comprehensive income (loss).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are accounted for under the liability method and deferred tax assets and liabilities are recognized for the future tax consequences attributable to differences between the consolidated financial statement carrying amounts of existing assets and liabilities and their respective tax bases. In estimating future tax consequences, all expected future events are considered. Deferred tax assets and liabilities are measured using enacted tax rates in effect for the year in which those temporary differences are expected to be recovered or settled. A valuation allowance is provided on deferred tax assets if it is determined that it is more likely than not that the deferred tax asset will not be realized. Interest is recorded on potential tax contingencies as a component of income tax expense and recorded net of any applicable related income tax benefit. For the year ended December 31, 2021, the Company followed the incremental or “with” and “without” approach to intraperiod tax allocation for determination of the amount of tax benefit to allocate to continuing operations as prescribed in ASC 740-20-45-7.</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accounting standard for uncertainty in income taxes, liabilities for uncertain tax positions are recognized based on the two-step process prescribed by the accounting standards.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forms of stock-based awards granted to LendingTree employees are principally restricted stock units (“RSUs”), RSUs with performance conditions, stock options, and employee stock purchases related to the Employee Stock Purchase Plan (“Employee Stock Purchase Rights”). Further, stock options with market conditions, restricted stock awards (“RSAs”) with performance conditions and RSAs with market conditions have been granted to the Company's Chairman and Chief Executive Officer. RSUs are awards in the form of units, denominated in a hypothetical equivalent number of shares of LendingTree common stock and with the value of each award equal to the fair value of LendingTree common stock at the date of grant. RSUs may be settled in cash, stock or both, as determined by the Company's Compensation Committee at the time of grant. The Company does not have a history of settling these awards in cash. Each stock-based award is subject to service-based vesting, where a specific period of continued employment must pass before an award vests. The Compensation Committee can modify the vesting provisions of an award. Certain awards also include performance-based vesting, where certain performance targets set at the time of grant must be achieved before an award vests.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 recognizes as expense non-cash compensation for all stock-based awards for which vesting is considered probable. Forfeitures are recognized when they occur.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service-based awards, non-cash compensation is measured at fair value on the grant date and expensed ratably over the vesting term. The fair value of stock option awards without a market condition and Employee Stock Purchase Rights are typically estimated using the Black-Scholes option pricing model, while the fair value of an RSU or RSA is measured as the closing common stock price at the time of grant. For performance-based grants, the fair value is measured on the grant date and recognized as non-cash compensation expense, considering the probability of the targets being achieved. Performance-based grants with a market condition are typically valued using a Monte Carlo simulation model. Non-cash compensation expense for single cliff-vesting grants with a market condition are recognized on a straight-line basis, while graded-vesting grants with a market condition use graded vesting expense attribution.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Excess tax benefits and deficiencies that arise due to the difference in the measure of stock compensation and the amount deductible for tax purposes are recorded in income tax expense within the consolidated statement of operations and comprehensive income (loss), and are classified as a component of operating cash flows within the consolidated statements of cash flows.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Litigation Settlements and Contingencies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contingencies consists of expenses related to actual or anticipated litigation settlements.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legal proceedings on an ongoing basis. If the Company believes that a loss arising from such matters is probable and can be reasonably estimated, the estimated liability is accrued in the consolidated financial statements. If only a range of estimated losses can be determined, an amount within the range is accrued that, in the Company's judgment, reflects the most likely outcome; if none of the estimates within that range is a better estimate than any other amount, the low end of the range is accrued. For those proceedings in which an unfavorable outcome is reasonably possible but not probable, an estimate of the reasonably possible loss or range of losses or a conclusion that an estimate of the reasonably possible loss or range of losses arising directly from the proceeding (i.e., monetary damages or amounts paid in judgment or settlement) are not material is disclosed. Legal expenses associated with these matters are recognized as incurred.</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Accounting Estimates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estimates underlying the accompanying consolidated financial statements, including discontinued operations, include: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contract assets; various other allowances, reserves and accruals; assumptions related to the determination of stock-based compensation; and the determination of right-of-use assets and lease liabilities. </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Certain Risks and Concentrations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LendingTree's business is subject to certain risks and concentrations including dependence on third-party technology providers, exposure to risks associated with online commerce security and credit card fraud.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concentration of credit risk at December 31, 2023,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nature of the mortgage lending industry, interest rate fluctuations may negatively impact future revenue from the Company's marketplace.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and December 31, 2022, and December 31, 2021 there were no network partners accounting for more than 10% of total revenue.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a support services office in India, the Company's operations are geographically limited to and dependent upon the economic condition of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Recently Adopted Accounting Pronouncements </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2020, the FASB issued Accounting Standards Update (“ASU”) 2020-06, which simplifies the accounting for convertible instruments, amends the derivatives scope exception guidance for contracts in an entity’s own equity, and amends the related earnings-per-share guidance. Under the new guidance, the embedded conversion features are no longer separated from the host contract for convertible instruments with conversion features that are not required to be accounted for as derivatives under Topic 815, or that do not result in substantial premiums accounted for as paid-in capital. As a result, a convertible debt instrument will be accounted for as a single liability measured at its amortized cost, as long as no other features require bifurcation and recognition as derivatives. Additionally, the new guidance requires the if-converted method to be applied for all convertible instruments when calculating diluted earnings per share. This ASU is effective for annual and interim reporting periods beginning after December 15, 2021, with early adoption permitted for periods beginning after December 15, 2020. An entity may adopt the amendments through either a modified retrospective method of transition or a fully retrospective method of transition.</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The Company adopted ASU 2020-06 on January 1, 2022 using the modified retrospective transition approach and recognized the cumulative effect of initially applying ASU 2020-06 as a $44.4 million adjustment to the opening balance of accumulated deficit, comprised of $60.8 million for the interest adjustment, net of $16.4 million for the related tax impacts. The recombination of the equity conversion component of our convertible debt remaining outstanding caused a reduction in additional paid-in capital and an increase in deferred income tax assets. The removal of the remaining debt discounts recorded for this previous separation had the effect of increasing our net debt balance. ASU 2020-06 also requires the dilutive impact of convertible debt instruments to utilize the if-converted method when calculating diluted earnings per share and the result is more dilutive. The prior period consolidated financial statements have not been retrospectively adjusted and continue to be reported under the accounting standards in effect for those periods.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15—Debt for further information.</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The cumulative effect of the changes made to the consolidated January 1, 2022 balance sheet for the adoption of ASU 2020-06 were as follows </w:t>
      </w:r>
      <w:r>
        <w:rPr>
          <w:rFonts w:ascii="Times New Roman;sans-serif" w:hAnsi="Times New Roman;sans-serif"/>
          <w:b w:val="false"/>
          <w:i/>
          <w:color w:val="000000"/>
          <w:sz w:val="20"/>
        </w:rPr>
        <w:t>(in thousands):</w:t>
      </w:r>
    </w:p>
    <w:tbl>
      <w:tblPr>
        <w:tblW w:w="7439" w:type="dxa"/>
        <w:jc w:val="left"/>
        <w:tblInd w:w="0" w:type="dxa"/>
        <w:tblLayout w:type="fixed"/>
        <w:tblCellMar>
          <w:top w:w="28" w:type="dxa"/>
          <w:left w:w="28" w:type="dxa"/>
          <w:bottom w:w="28" w:type="dxa"/>
          <w:right w:w="28" w:type="dxa"/>
        </w:tblCellMar>
      </w:tblPr>
      <w:tblGrid>
        <w:gridCol w:w="1024"/>
        <w:gridCol w:w="901"/>
        <w:gridCol w:w="909"/>
        <w:gridCol w:w="251"/>
        <w:gridCol w:w="1164"/>
        <w:gridCol w:w="130"/>
        <w:gridCol w:w="290"/>
        <w:gridCol w:w="1240"/>
        <w:gridCol w:w="150"/>
        <w:gridCol w:w="217"/>
        <w:gridCol w:w="1005"/>
        <w:gridCol w:w="158"/>
      </w:tblGrid>
      <w:tr>
        <w:trPr/>
        <w:tc>
          <w:tcPr>
            <w:tcW w:w="102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Adjustments due to </w:t>
              <w:br/>
              <w:t>ASU 2020-06</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1, 2022</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87,581 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111,560 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478,151 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564,220 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1,242,794 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1,133,044 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(571,794)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adoption of ASU 2020-06 did not impact our cash flows or compliance with debt covenants.</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the FASB issued ASU 2021-04 to clarify and reduce diversity in accounting for modifications or exchanges of freestanding equity-classified written call options that remain equity classified after modification or exchange. The amendments clarify that a modification of the terms or conditions, or an exchange of a freestanding equity-classified written call option that remains equity classified after modification or exchange, should be accounted for as an exchange of the original instrument for a new instrument. This ASU is effective for annual and interim reporting periods beginning after December 15, 2021. Early adoption is permitted, including adoption in interim periods. An entity should adopt the guidance as of the beginning of its annual fiscal year. The amendments should be applied prospectively to modifications or exchanges occurring on or after the date of adoption. The Company adopted ASU 2021-04 in the second quarter of 2021.</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the FASB issued ASU 2019-12, which simplifies the accounting for income taxes by removing certain exceptions to the general principles in ASC Topic 740, Income Taxes, and clarifies certain aspects of the current guidance to improve consistency among reporting entities. This ASU is effective for annual and interim reporting periods beginning after December 15, 2020. Early adoption is permitted, including adoption in interim periods. Entities electing early adoption must adopt all amendments in the same period. Most amendments must be applied prospectively while others are to be applied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retrospective basis for all periods presented or a modified retrospective basis through a cumulative-effect adjustment to retained earnings as of the beginning of the fiscal year of adoption. The Company adopted ASU 2019-12 in the first quarter of 2021. The amendments applicable to the Company required prospective application, and do not have material impacts to its consolidated financial statements.</w:t>
      </w:r>
    </w:p>
    <w:p>
      <w:pPr>
        <w:pStyle w:val="TextBody"/>
        <w:bidi w:val="0"/>
        <w:spacing w:lineRule="auto" w:line="288" w:before="300" w:after="120"/>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which expands annual and interim disclosure requirements for reportable segments, primarily through enhanced disclosures about significant segment expenses. This ASU is effective for annual periods beginning after December 15, 2023, and interim periods in fiscal years beginning after December 15, 2024. Early adoption is permitted, including adoption in interim periods. An entity should adopt the guidance as of the beginning of the earliest period presented. The Company is evaluating the impact this ASU will have on its consolidated financial statements and whether to early adopt.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2023-09 which expands annual disclosure requirements for income taxes, primarily through disclosure about disaggregated information about an entity's effective tax rate reconciliation and information on income taxes paid. This ASU is effective for annual periods beginning after December 15, 2024, with early adoption permitted. The guidance will be applied on a prospective basis with the option to adopt the guidance retrospectively. The Company is evaluating the impact this ASU will have on its consolidated financial statements and whether to early adopt.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3—REVENUE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Revenue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5772" w:type="dxa"/>
        <w:jc w:val="left"/>
        <w:tblInd w:w="0" w:type="dxa"/>
        <w:tblLayout w:type="fixed"/>
        <w:tblCellMar>
          <w:top w:w="28" w:type="dxa"/>
          <w:left w:w="28" w:type="dxa"/>
          <w:bottom w:w="28" w:type="dxa"/>
          <w:right w:w="28" w:type="dxa"/>
        </w:tblCellMar>
      </w:tblPr>
      <w:tblGrid>
        <w:gridCol w:w="520"/>
        <w:gridCol w:w="459"/>
        <w:gridCol w:w="461"/>
        <w:gridCol w:w="211"/>
        <w:gridCol w:w="841"/>
        <w:gridCol w:w="109"/>
        <w:gridCol w:w="109"/>
        <w:gridCol w:w="109"/>
        <w:gridCol w:w="109"/>
        <w:gridCol w:w="211"/>
        <w:gridCol w:w="841"/>
        <w:gridCol w:w="109"/>
        <w:gridCol w:w="109"/>
        <w:gridCol w:w="109"/>
        <w:gridCol w:w="109"/>
        <w:gridCol w:w="211"/>
        <w:gridCol w:w="991"/>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loans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Consumer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672,502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984,992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1,098,499</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contract asset recorded within prepaid and other current assets on the consolidated balance sheets related to estimated variable consideration was $13.7 million and $12.2 million on December 31, 2023 and 2022, respectively.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contract liability recorded within accrued expenses and other current liabilities on the consolidated balance sheets related to upfront fees paid by consumers in the Company's Consumer business was $0.9 million at December 31, 2022. As the contract liability was in the Ovation business that was closed during 2023, there is no contract liability at December 31, 2023. During 2023, the Company recognized revenue of $0.9 million that was included in the contract liability balance at December 31, 2022. During 2022, the Company recognized revenue of $0.8 million that was included in the contract liability balance at December 31, 2021.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recognizes increases or decreases to such revenue from prior periods. The Company recognized an immaterial increase to such revenue from prior periods in 2023, and increases to such revenue from prior periods of $0.5 million and $0.7 million in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4—CASH AND RESTRICTED CASH</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Total cash, cash equivalents, restricted cash and restricted cash equivalents consist of the following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9805" w:type="dxa"/>
        <w:jc w:val="left"/>
        <w:tblInd w:w="0" w:type="dxa"/>
        <w:tblLayout w:type="fixed"/>
        <w:tblCellMar>
          <w:top w:w="28" w:type="dxa"/>
          <w:left w:w="28" w:type="dxa"/>
          <w:bottom w:w="28" w:type="dxa"/>
          <w:right w:w="28" w:type="dxa"/>
        </w:tblCellMar>
      </w:tblPr>
      <w:tblGrid>
        <w:gridCol w:w="2330"/>
        <w:gridCol w:w="2047"/>
        <w:gridCol w:w="2057"/>
        <w:gridCol w:w="272"/>
        <w:gridCol w:w="1087"/>
        <w:gridCol w:w="140"/>
        <w:gridCol w:w="109"/>
        <w:gridCol w:w="109"/>
        <w:gridCol w:w="109"/>
        <w:gridCol w:w="270"/>
        <w:gridCol w:w="1078"/>
        <w:gridCol w:w="197"/>
      </w:tblGrid>
      <w:tr>
        <w:trPr/>
        <w:tc>
          <w:tcPr>
            <w:tcW w:w="233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112,051 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298,845 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cash equivalents, restricted cash and restricted cash equivalents</w:t>
            </w:r>
          </w:p>
        </w:tc>
        <w:tc>
          <w:tcPr>
            <w:tcW w:w="2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112,056</w:t>
            </w:r>
            <w:r>
              <w:rPr>
                <w:color w:val="000000"/>
              </w:rPr>
              <w:t> </w:t>
            </w:r>
          </w:p>
        </w:tc>
        <w:tc>
          <w:tcPr>
            <w:tcW w:w="14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298,969</w:t>
            </w:r>
            <w:r>
              <w:rPr>
                <w:color w:val="000000"/>
              </w:rPr>
              <w:t> </w:t>
            </w:r>
          </w:p>
        </w:tc>
        <w:tc>
          <w:tcPr>
            <w:tcW w:w="19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5—PROPERTY AND EQUIPMENT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balance of property and equipment, net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7226" w:type="dxa"/>
        <w:jc w:val="left"/>
        <w:tblInd w:w="0" w:type="dxa"/>
        <w:tblLayout w:type="fixed"/>
        <w:tblCellMar>
          <w:top w:w="28" w:type="dxa"/>
          <w:left w:w="28" w:type="dxa"/>
          <w:bottom w:w="28" w:type="dxa"/>
          <w:right w:w="28" w:type="dxa"/>
        </w:tblCellMar>
      </w:tblPr>
      <w:tblGrid>
        <w:gridCol w:w="1397"/>
        <w:gridCol w:w="1227"/>
        <w:gridCol w:w="1231"/>
        <w:gridCol w:w="299"/>
        <w:gridCol w:w="1046"/>
        <w:gridCol w:w="154"/>
        <w:gridCol w:w="109"/>
        <w:gridCol w:w="109"/>
        <w:gridCol w:w="109"/>
        <w:gridCol w:w="296"/>
        <w:gridCol w:w="1033"/>
        <w:gridCol w:w="216"/>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capitalized software</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other equipment</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Aircraft</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Projects in progress</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gross property and equipment</w:t>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87,308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93,011</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property and equipment, net</w:t>
            </w:r>
          </w:p>
        </w:tc>
        <w:tc>
          <w:tcPr>
            <w:tcW w:w="29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50,481</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59,160</w:t>
            </w:r>
            <w:r>
              <w:rPr>
                <w:color w:val="000000"/>
              </w:rPr>
              <w:t> </w:t>
            </w:r>
          </w:p>
        </w:tc>
        <w:tc>
          <w:tcPr>
            <w:tcW w:w="2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Unamortized capitalized software development costs recorded in property and equipment, whether in service or under development, are $17.5 million and $19.0 million at December 31, 2023 and 2022, respectively. Capitalized software development depreciation expense was $13.4 million, $14.1 million and $13.3 million for the years ended December 31, 2023, 2022 and 2021,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located outside the United States, the Company's country of domicile, were immaterial at December 31, 2023 and December 31, 2022.</w:t>
      </w:r>
    </w:p>
    <w:p>
      <w:pPr>
        <w:pStyle w:val="TextBody"/>
        <w:bidi w:val="0"/>
        <w:spacing w:before="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6—HOSTING ARRANGEMENTS</w:t>
      </w:r>
    </w:p>
    <w:p>
      <w:pPr>
        <w:pStyle w:val="TextBody"/>
        <w:bidi w:val="0"/>
        <w:spacing w:lineRule="auto" w:line="288" w:before="300" w:after="120"/>
        <w:ind w:left="0" w:right="0" w:firstLine="360"/>
        <w:jc w:val="both"/>
        <w:rPr/>
      </w:pPr>
      <w:r>
        <w:rPr>
          <w:rFonts w:ascii="Times New Roman;sans-serif" w:hAnsi="Times New Roman;sans-serif"/>
          <w:b w:val="false"/>
          <w:color w:val="000000"/>
          <w:sz w:val="20"/>
        </w:rPr>
        <w:t xml:space="preserve">The balance of capitalized implementation costs incurred in a hosting arrangement that is a service contract, which are recorded within prepaid and other current assets and other non-current assets,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9933" w:type="dxa"/>
        <w:jc w:val="left"/>
        <w:tblInd w:w="0" w:type="dxa"/>
        <w:tblLayout w:type="fixed"/>
        <w:tblCellMar>
          <w:top w:w="28" w:type="dxa"/>
          <w:left w:w="28" w:type="dxa"/>
          <w:bottom w:w="28" w:type="dxa"/>
          <w:right w:w="28" w:type="dxa"/>
        </w:tblCellMar>
      </w:tblPr>
      <w:tblGrid>
        <w:gridCol w:w="1032"/>
        <w:gridCol w:w="907"/>
        <w:gridCol w:w="911"/>
        <w:gridCol w:w="299"/>
        <w:gridCol w:w="896"/>
        <w:gridCol w:w="154"/>
        <w:gridCol w:w="109"/>
        <w:gridCol w:w="109"/>
        <w:gridCol w:w="109"/>
        <w:gridCol w:w="372"/>
        <w:gridCol w:w="1114"/>
        <w:gridCol w:w="193"/>
        <w:gridCol w:w="109"/>
        <w:gridCol w:w="109"/>
        <w:gridCol w:w="109"/>
        <w:gridCol w:w="299"/>
        <w:gridCol w:w="896"/>
        <w:gridCol w:w="154"/>
        <w:gridCol w:w="109"/>
        <w:gridCol w:w="109"/>
        <w:gridCol w:w="109"/>
        <w:gridCol w:w="365"/>
        <w:gridCol w:w="1092"/>
        <w:gridCol w:w="268"/>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 portion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 portion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Non-current portion</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implementation costs</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Projects in progress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gross</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3,580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7,548</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5,557</w:t>
            </w: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w:t>
            </w:r>
          </w:p>
        </w:tc>
        <w:tc>
          <w:tcPr>
            <w:tcW w:w="2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2,401</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4,091</w:t>
            </w:r>
            <w:r>
              <w:rPr>
                <w:color w:val="000000"/>
              </w:rPr>
              <w:t> </w:t>
            </w:r>
          </w:p>
        </w:tc>
        <w:tc>
          <w:tcPr>
            <w:tcW w:w="1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2,229</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2,803</w:t>
            </w:r>
            <w:r>
              <w:rPr>
                <w:color w:val="000000"/>
              </w:rPr>
              <w:t> </w:t>
            </w:r>
          </w:p>
        </w:tc>
        <w:tc>
          <w:tcPr>
            <w:tcW w:w="26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included within general and administrative expense on the consolidated statement of operations and comprehensive income (loss) associated with these capitalized implementation costs was $3.5 million, $2.5 million and $1.1 million for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7—GOODWILL AND INTANGIBLE ASSETS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balance of goodwill, net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8015" w:type="dxa"/>
        <w:jc w:val="left"/>
        <w:tblInd w:w="0" w:type="dxa"/>
        <w:tblLayout w:type="fixed"/>
        <w:tblCellMar>
          <w:top w:w="28" w:type="dxa"/>
          <w:left w:w="28" w:type="dxa"/>
          <w:bottom w:w="28" w:type="dxa"/>
          <w:right w:w="28" w:type="dxa"/>
        </w:tblCellMar>
      </w:tblPr>
      <w:tblGrid>
        <w:gridCol w:w="972"/>
        <w:gridCol w:w="854"/>
        <w:gridCol w:w="858"/>
        <w:gridCol w:w="211"/>
        <w:gridCol w:w="841"/>
        <w:gridCol w:w="109"/>
        <w:gridCol w:w="109"/>
        <w:gridCol w:w="109"/>
        <w:gridCol w:w="109"/>
        <w:gridCol w:w="399"/>
        <w:gridCol w:w="1705"/>
        <w:gridCol w:w="206"/>
        <w:gridCol w:w="109"/>
        <w:gridCol w:w="109"/>
        <w:gridCol w:w="109"/>
        <w:gridCol w:w="211"/>
        <w:gridCol w:w="841"/>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Impairment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Goodwill</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903,227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(483,088)</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420,139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goodwill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903,227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(483,088)</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420,139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goodwill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903,227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(521,688)</w:t>
            </w:r>
          </w:p>
        </w:tc>
        <w:tc>
          <w:tcPr>
            <w:tcW w:w="2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381,539</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360"/>
        <w:jc w:val="both"/>
        <w:rPr/>
      </w:pPr>
      <w:r>
        <w:rPr>
          <w:rFonts w:ascii="Times New Roman;sans-serif" w:hAnsi="Times New Roman;sans-serif"/>
          <w:b w:val="false"/>
          <w:color w:val="000000"/>
          <w:sz w:val="20"/>
        </w:rPr>
        <w:t xml:space="preserve">The balance of intangible assets, net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6700" w:type="dxa"/>
        <w:jc w:val="left"/>
        <w:tblInd w:w="0" w:type="dxa"/>
        <w:tblLayout w:type="fixed"/>
        <w:tblCellMar>
          <w:top w:w="28" w:type="dxa"/>
          <w:left w:w="28" w:type="dxa"/>
          <w:bottom w:w="28" w:type="dxa"/>
          <w:right w:w="28" w:type="dxa"/>
        </w:tblCellMar>
      </w:tblPr>
      <w:tblGrid>
        <w:gridCol w:w="1206"/>
        <w:gridCol w:w="1060"/>
        <w:gridCol w:w="1063"/>
        <w:gridCol w:w="299"/>
        <w:gridCol w:w="1046"/>
        <w:gridCol w:w="154"/>
        <w:gridCol w:w="109"/>
        <w:gridCol w:w="109"/>
        <w:gridCol w:w="109"/>
        <w:gridCol w:w="296"/>
        <w:gridCol w:w="1033"/>
        <w:gridCol w:w="216"/>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with indefinite lives</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with definite lives, net</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 net</w:t>
            </w:r>
          </w:p>
        </w:tc>
        <w:tc>
          <w:tcPr>
            <w:tcW w:w="2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50,620</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58,315</w:t>
            </w:r>
            <w:r>
              <w:rPr>
                <w:color w:val="000000"/>
              </w:rPr>
              <w:t> </w:t>
            </w:r>
          </w:p>
        </w:tc>
        <w:tc>
          <w:tcPr>
            <w:tcW w:w="2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Goodwill and Indefinite-Lived Intangible Assets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goodwill at December 31, 2023 consists of $59.3 million associated with the Home reporting unit, $166.1 million associated with the Consumer reporting unit, and $156.1 million associated with the Insurance reporting unit.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the Company’s market capitalization declined significantly compared to the second quarter of 2023. The closing stock price on September 29, 2023 was $15.50 reflecting a market capitalization below the Company's book value. In addition, the effects of the challenging interest rate environment, low for-sale home inventories and the rise in home prices in the Home reporting unit and consumer price inflation negatively impacting carrier underwriting in the Insurance reporting unit continued to provide revenue headwinds. Based on these factors, it was concluded that a triggering event had occurred and an interim quantitative impairment test was performed as of September 30, 2023. Upon completing the quantitative goodwill impairment test, the Company concluded that the carrying value of the Insurance reporting unit exceeded its fair value which resulted in a goodwill impairment charge of $38.6 million. The fair value of the Home and Consumer reporting units exceeded their carrying amounts, indicating no goodwill impairment. The fair values of each reporting unit were determined using a combination of the income approach and the market approach valuation methodologies.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with indefinite lives relate to the Company's trademarks. </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Intangible Assets with Definite Lives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Intangible assets with definite lives relate to the following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8393" w:type="dxa"/>
        <w:jc w:val="left"/>
        <w:tblInd w:w="0" w:type="dxa"/>
        <w:tblLayout w:type="fixed"/>
        <w:tblCellMar>
          <w:top w:w="28" w:type="dxa"/>
          <w:left w:w="28" w:type="dxa"/>
          <w:bottom w:w="28" w:type="dxa"/>
          <w:right w:w="28" w:type="dxa"/>
        </w:tblCellMar>
      </w:tblPr>
      <w:tblGrid>
        <w:gridCol w:w="971"/>
        <w:gridCol w:w="856"/>
        <w:gridCol w:w="858"/>
        <w:gridCol w:w="484"/>
        <w:gridCol w:w="484"/>
        <w:gridCol w:w="486"/>
        <w:gridCol w:w="109"/>
        <w:gridCol w:w="109"/>
        <w:gridCol w:w="109"/>
        <w:gridCol w:w="211"/>
        <w:gridCol w:w="736"/>
        <w:gridCol w:w="109"/>
        <w:gridCol w:w="109"/>
        <w:gridCol w:w="109"/>
        <w:gridCol w:w="109"/>
        <w:gridCol w:w="211"/>
        <w:gridCol w:w="796"/>
        <w:gridCol w:w="109"/>
        <w:gridCol w:w="109"/>
        <w:gridCol w:w="109"/>
        <w:gridCol w:w="109"/>
        <w:gridCol w:w="211"/>
        <w:gridCol w:w="73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Amortization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w:t>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13.3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tradenames</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5.0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1454"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77,400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(36,922)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40,478</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93" w:type="dxa"/>
        <w:jc w:val="center"/>
        <w:tblInd w:w="0" w:type="dxa"/>
        <w:tblLayout w:type="fixed"/>
        <w:tblCellMar>
          <w:top w:w="28" w:type="dxa"/>
          <w:left w:w="28" w:type="dxa"/>
          <w:bottom w:w="28" w:type="dxa"/>
          <w:right w:w="28" w:type="dxa"/>
        </w:tblCellMar>
      </w:tblPr>
      <w:tblGrid>
        <w:gridCol w:w="971"/>
        <w:gridCol w:w="856"/>
        <w:gridCol w:w="858"/>
        <w:gridCol w:w="484"/>
        <w:gridCol w:w="484"/>
        <w:gridCol w:w="486"/>
        <w:gridCol w:w="109"/>
        <w:gridCol w:w="109"/>
        <w:gridCol w:w="109"/>
        <w:gridCol w:w="211"/>
        <w:gridCol w:w="736"/>
        <w:gridCol w:w="109"/>
        <w:gridCol w:w="109"/>
        <w:gridCol w:w="109"/>
        <w:gridCol w:w="109"/>
        <w:gridCol w:w="211"/>
        <w:gridCol w:w="796"/>
        <w:gridCol w:w="109"/>
        <w:gridCol w:w="109"/>
        <w:gridCol w:w="109"/>
        <w:gridCol w:w="109"/>
        <w:gridCol w:w="211"/>
        <w:gridCol w:w="73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Amortization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w:t>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13.2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tradenames</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4.9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454"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87,400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(39,227)</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48,173</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certain trademarks and tradenames and customer list intangible assets became fully amortized, reducing the cost and accumulated amortization in the table above.</w:t>
      </w:r>
    </w:p>
    <w:p>
      <w:pPr>
        <w:pStyle w:val="TextBody"/>
        <w:bidi w:val="0"/>
        <w:spacing w:lineRule="auto" w:line="288" w:before="180" w:after="120"/>
        <w:ind w:left="0" w:right="0" w:firstLine="360"/>
        <w:jc w:val="both"/>
        <w:rPr/>
      </w:pPr>
      <w:r>
        <w:rPr>
          <w:rFonts w:ascii="Times New Roman;sans-serif" w:hAnsi="Times New Roman;sans-serif"/>
          <w:b w:val="false"/>
          <w:color w:val="000000"/>
          <w:sz w:val="20"/>
        </w:rPr>
        <w:t xml:space="preserve">Amortization of intangible assets with definite lives is computed on a straight-line basis and, based on balances as of December 31, 2023, future amortization is estimated to be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5623" w:type="dxa"/>
        <w:jc w:val="left"/>
        <w:tblInd w:w="0" w:type="dxa"/>
        <w:tblLayout w:type="fixed"/>
        <w:tblCellMar>
          <w:top w:w="28" w:type="dxa"/>
          <w:left w:w="28" w:type="dxa"/>
          <w:bottom w:w="28" w:type="dxa"/>
          <w:right w:w="28" w:type="dxa"/>
        </w:tblCellMar>
      </w:tblPr>
      <w:tblGrid>
        <w:gridCol w:w="1400"/>
        <w:gridCol w:w="1230"/>
        <w:gridCol w:w="1239"/>
        <w:gridCol w:w="335"/>
        <w:gridCol w:w="1172"/>
        <w:gridCol w:w="247"/>
      </w:tblGrid>
      <w:tr>
        <w:trPr/>
        <w:tc>
          <w:tcPr>
            <w:tcW w:w="140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Expense</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2024</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2025</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2026</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2027</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2028</w:t>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 with definite lives, net</w:t>
            </w:r>
          </w:p>
        </w:tc>
        <w:tc>
          <w:tcPr>
            <w:tcW w:w="3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40,478</w:t>
            </w:r>
            <w:r>
              <w:rPr>
                <w:color w:val="000000"/>
              </w:rPr>
              <w:t> </w:t>
            </w:r>
          </w:p>
        </w:tc>
        <w:tc>
          <w:tcPr>
            <w:tcW w:w="2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8—EQUITY INVESTMENTS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the Company acquired an equity interest in EarnUp Inc. (“EarnUp”) for $15.0 million. EarnUp is a consumer-first mortgage payment platform that intelligently automates loan payment scheduling and helps consumers better manage their money and improve their financial well-being.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2020, the Company acquired an equity interest in Stash Financial, Inc. (“Stash”) for $80.0 million. On January 6, 2021, the Company acquired an additional equity interest for $1.2 million. On October 18, 2021, the Company entered into a stock transfer agreement with third parties to sell a portion of its Stash equity securities for $46.3 million. The Company sold $35.3 million in October and closed on an additional $11.0 million in November 2021. The Company recorded a realized gain of $27.9 million based on the sale of Stash equity securities under the stock transfer agreement, which is included within other income on the consolidated statement of operations and comprehensive income.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Company recorded a net unrealized gain on the investment in Stash of $95.4 million as a result of an adjustment to the fair value of the Stash equity securities based on observable market events.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the Company determined there was an impairment indicator related to its Stash investment and performed a valuation of the investment. Based on the valuation, the Company determined the estimated fair value was below the carrying value of the investment and recorded an impairment charge of $113.1 million. The Company determined the fair value by using a market approach and a DCF analysis. Determining the fair value using a DCF analysis and a market analysis requires the exercise of significant judgments, including judgments about the appropriate discount rate, perpetual growth rates, including short-term revenue and EBITDA, the amount and timing of expected future cash flows, and the revenue exit multiple.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2023, the Company recorded an impairment charge of $1.4 million on one of its investment in equity securities.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These impairments are included within other income on the consolidated statement of operations and comprehensive income. As of December 31, 2022, there had been no impairments to the acquisition cost of the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9—ASSETS AND LIABILITIES HELD FOR SALE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2022, the Company approved a plan to sell an asset group associated with the Company's Consumer segment. The asset group was expected to be sold in 2023 to an unrelated third party and is classified, at its carrying value, as current assets held for sale and current liabilities held for sale in the consolidated balance sheet as of December 31, 2022.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2023, the third party withdrew the letter of intent to purchase the asset group held for sale. The Company made the decision to close the Ovation credit services business. As a result, the Company recorded asset impairment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charges of $4.2 million, of which $2.1 million related to intangible assets, $1.7 million related to property and equipment, and $0.4 million related to an operating lease right-of-use asset. Ovation was closed in mid-2023.</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following table presents information related to the major classes of assets and liabilities that were classified as held for sale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7364" w:type="dxa"/>
        <w:jc w:val="left"/>
        <w:tblInd w:w="0" w:type="dxa"/>
        <w:tblLayout w:type="fixed"/>
        <w:tblCellMar>
          <w:top w:w="28" w:type="dxa"/>
          <w:left w:w="28" w:type="dxa"/>
          <w:bottom w:w="28" w:type="dxa"/>
          <w:right w:w="28" w:type="dxa"/>
        </w:tblCellMar>
      </w:tblPr>
      <w:tblGrid>
        <w:gridCol w:w="2025"/>
        <w:gridCol w:w="1780"/>
        <w:gridCol w:w="1790"/>
        <w:gridCol w:w="374"/>
        <w:gridCol w:w="1121"/>
        <w:gridCol w:w="274"/>
      </w:tblGrid>
      <w:tr>
        <w:trPr/>
        <w:tc>
          <w:tcPr>
            <w:tcW w:w="2025"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 of $1,102</w:t>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of accumulated amortization of $3,857</w:t>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held for sale</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5,689</w:t>
            </w: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trade</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held for sale</w:t>
            </w:r>
          </w:p>
        </w:tc>
        <w:tc>
          <w:tcPr>
            <w:tcW w:w="3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2,909</w:t>
            </w:r>
            <w:r>
              <w:rPr>
                <w:color w:val="000000"/>
              </w:rPr>
              <w:t> </w:t>
            </w:r>
          </w:p>
        </w:tc>
        <w:tc>
          <w:tcPr>
            <w:tcW w:w="2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10—ACCRUED EXPENSES AND OTHER CURRENT LIABILITIES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Accrued expenses and other current liabilities consist of the following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7826" w:type="dxa"/>
        <w:jc w:val="left"/>
        <w:tblInd w:w="0" w:type="dxa"/>
        <w:tblLayout w:type="fixed"/>
        <w:tblCellMar>
          <w:top w:w="28" w:type="dxa"/>
          <w:left w:w="28" w:type="dxa"/>
          <w:bottom w:w="28" w:type="dxa"/>
          <w:right w:w="28" w:type="dxa"/>
        </w:tblCellMar>
      </w:tblPr>
      <w:tblGrid>
        <w:gridCol w:w="1612"/>
        <w:gridCol w:w="1419"/>
        <w:gridCol w:w="1424"/>
        <w:gridCol w:w="299"/>
        <w:gridCol w:w="1046"/>
        <w:gridCol w:w="154"/>
        <w:gridCol w:w="109"/>
        <w:gridCol w:w="109"/>
        <w:gridCol w:w="109"/>
        <w:gridCol w:w="296"/>
        <w:gridCol w:w="1033"/>
        <w:gridCol w:w="216"/>
      </w:tblGrid>
      <w:tr>
        <w:trPr/>
        <w:tc>
          <w:tcPr>
            <w:tcW w:w="16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advertising expense</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 and escrows</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to LendingTree Foundation</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expenses and other current liabilities</w:t>
            </w:r>
          </w:p>
        </w:tc>
        <w:tc>
          <w:tcPr>
            <w:tcW w:w="29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70,544</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75,095</w:t>
            </w:r>
            <w:r>
              <w:rPr>
                <w:color w:val="000000"/>
              </w:rPr>
              <w:t> </w:t>
            </w:r>
          </w:p>
        </w:tc>
        <w:tc>
          <w:tcPr>
            <w:tcW w:w="2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11—LEASES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lessee to leases of corporate offices and certain office equipment. The majority of leases for corporate offices include one or more options to renew, with renewal terms ranging from two to five years. These renewal options have not been included in the calculation of right-of-use assets and lease liabilities, as the Company is not reasonably certain of the exercise of these renewal options. The Company used its incremental borrowing rate to calculate the right-of-use asset and lease liability for each lease.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right-of-use assets totaled $57.2 million and lease liabilities, the current portion of which is included in accrued expenses and other current liabilities in the accompanying balance sheet, totaled $82.4 million. At December 31, 2022, right-of-use assets totaled $67.1 million and lease liabilities totaled $96.7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Lease expense, which is included in general and administrative expense on the accompanying consolidated statements of operations and comprehensive income (loss), consists of the following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5561" w:type="dxa"/>
        <w:jc w:val="left"/>
        <w:tblInd w:w="0" w:type="dxa"/>
        <w:tblLayout w:type="fixed"/>
        <w:tblCellMar>
          <w:top w:w="28" w:type="dxa"/>
          <w:left w:w="28" w:type="dxa"/>
          <w:bottom w:w="28" w:type="dxa"/>
          <w:right w:w="28" w:type="dxa"/>
        </w:tblCellMar>
      </w:tblPr>
      <w:tblGrid>
        <w:gridCol w:w="651"/>
        <w:gridCol w:w="572"/>
        <w:gridCol w:w="576"/>
        <w:gridCol w:w="211"/>
        <w:gridCol w:w="631"/>
        <w:gridCol w:w="109"/>
        <w:gridCol w:w="109"/>
        <w:gridCol w:w="109"/>
        <w:gridCol w:w="109"/>
        <w:gridCol w:w="211"/>
        <w:gridCol w:w="736"/>
        <w:gridCol w:w="109"/>
        <w:gridCol w:w="109"/>
        <w:gridCol w:w="109"/>
        <w:gridCol w:w="109"/>
        <w:gridCol w:w="211"/>
        <w:gridCol w:w="73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cost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9,532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11,907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13,199</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and discount rate for operating leases are as follows:</w:t>
      </w:r>
    </w:p>
    <w:tbl>
      <w:tblPr>
        <w:tblW w:w="8867" w:type="dxa"/>
        <w:jc w:val="left"/>
        <w:tblInd w:w="0" w:type="dxa"/>
        <w:tblLayout w:type="fixed"/>
        <w:tblCellMar>
          <w:top w:w="28" w:type="dxa"/>
          <w:left w:w="28" w:type="dxa"/>
          <w:bottom w:w="28" w:type="dxa"/>
          <w:right w:w="28" w:type="dxa"/>
        </w:tblCellMar>
      </w:tblPr>
      <w:tblGrid>
        <w:gridCol w:w="1198"/>
        <w:gridCol w:w="1055"/>
        <w:gridCol w:w="1062"/>
        <w:gridCol w:w="344"/>
        <w:gridCol w:w="344"/>
        <w:gridCol w:w="857"/>
        <w:gridCol w:w="109"/>
        <w:gridCol w:w="109"/>
        <w:gridCol w:w="109"/>
        <w:gridCol w:w="344"/>
        <w:gridCol w:w="344"/>
        <w:gridCol w:w="857"/>
        <w:gridCol w:w="109"/>
        <w:gridCol w:w="109"/>
        <w:gridCol w:w="109"/>
        <w:gridCol w:w="344"/>
        <w:gridCol w:w="344"/>
        <w:gridCol w:w="857"/>
        <w:gridCol w:w="109"/>
        <w:gridCol w:w="154"/>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Supplemental cash flow information related to leases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 xml:space="preserve">: </w:t>
      </w:r>
    </w:p>
    <w:tbl>
      <w:tblPr>
        <w:tblW w:w="10129" w:type="dxa"/>
        <w:jc w:val="left"/>
        <w:tblInd w:w="0" w:type="dxa"/>
        <w:tblLayout w:type="fixed"/>
        <w:tblCellMar>
          <w:top w:w="28" w:type="dxa"/>
          <w:left w:w="28" w:type="dxa"/>
          <w:bottom w:w="28" w:type="dxa"/>
          <w:right w:w="28" w:type="dxa"/>
        </w:tblCellMar>
      </w:tblPr>
      <w:tblGrid>
        <w:gridCol w:w="2246"/>
        <w:gridCol w:w="1969"/>
        <w:gridCol w:w="1979"/>
        <w:gridCol w:w="211"/>
        <w:gridCol w:w="721"/>
        <w:gridCol w:w="109"/>
        <w:gridCol w:w="109"/>
        <w:gridCol w:w="109"/>
        <w:gridCol w:w="109"/>
        <w:gridCol w:w="211"/>
        <w:gridCol w:w="721"/>
        <w:gridCol w:w="109"/>
        <w:gridCol w:w="109"/>
        <w:gridCol w:w="109"/>
        <w:gridCol w:w="109"/>
        <w:gridCol w:w="211"/>
        <w:gridCol w:w="616"/>
        <w:gridCol w:w="109"/>
        <w:gridCol w:w="109"/>
        <w:gridCol w:w="154"/>
      </w:tblGrid>
      <w:tr>
        <w:trPr/>
        <w:tc>
          <w:tcPr>
            <w:tcW w:w="2246"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for amounts included in the measurement of lease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Maturities of lease liabilities as of December 31, 2023 are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4184" w:type="dxa"/>
        <w:jc w:val="left"/>
        <w:tblInd w:w="0" w:type="dxa"/>
        <w:tblLayout w:type="fixed"/>
        <w:tblCellMar>
          <w:top w:w="28" w:type="dxa"/>
          <w:left w:w="28" w:type="dxa"/>
          <w:bottom w:w="28" w:type="dxa"/>
          <w:right w:w="28" w:type="dxa"/>
        </w:tblCellMar>
      </w:tblPr>
      <w:tblGrid>
        <w:gridCol w:w="1004"/>
        <w:gridCol w:w="882"/>
        <w:gridCol w:w="888"/>
        <w:gridCol w:w="270"/>
        <w:gridCol w:w="943"/>
        <w:gridCol w:w="197"/>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2024</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2025</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2026</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2027</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 2028</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payments</w:t>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111,114</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Present value of lease liabilities</w:t>
            </w:r>
          </w:p>
        </w:tc>
        <w:tc>
          <w:tcPr>
            <w:tcW w:w="2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82,410</w:t>
            </w:r>
            <w:r>
              <w:rPr>
                <w:color w:val="000000"/>
              </w:rPr>
              <w:t> </w:t>
            </w:r>
          </w:p>
        </w:tc>
        <w:tc>
          <w:tcPr>
            <w:tcW w:w="19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12—SHAREHOLDERS' EQUITY</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Basic and diluted (loss) income per share was determined based on the following share data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7140" w:type="dxa"/>
        <w:jc w:val="left"/>
        <w:tblInd w:w="0" w:type="dxa"/>
        <w:tblLayout w:type="fixed"/>
        <w:tblCellMar>
          <w:top w:w="28" w:type="dxa"/>
          <w:left w:w="28" w:type="dxa"/>
          <w:bottom w:w="28" w:type="dxa"/>
          <w:right w:w="28" w:type="dxa"/>
        </w:tblCellMar>
      </w:tblPr>
      <w:tblGrid>
        <w:gridCol w:w="1325"/>
        <w:gridCol w:w="1164"/>
        <w:gridCol w:w="1171"/>
        <w:gridCol w:w="360"/>
        <w:gridCol w:w="361"/>
        <w:gridCol w:w="156"/>
        <w:gridCol w:w="132"/>
        <w:gridCol w:w="132"/>
        <w:gridCol w:w="132"/>
        <w:gridCol w:w="360"/>
        <w:gridCol w:w="361"/>
        <w:gridCol w:w="156"/>
        <w:gridCol w:w="132"/>
        <w:gridCol w:w="132"/>
        <w:gridCol w:w="132"/>
        <w:gridCol w:w="360"/>
        <w:gridCol w:w="361"/>
        <w:gridCol w:w="213"/>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basic common shares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stock options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share awards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diluted common shares</w:t>
            </w:r>
          </w:p>
        </w:tc>
        <w:tc>
          <w:tcPr>
            <w:tcW w:w="72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12,941 </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12,793 </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13,695 </w:t>
            </w:r>
          </w:p>
        </w:tc>
        <w:tc>
          <w:tcPr>
            <w:tcW w:w="21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the Company had a loss from continuing operations and, as a result, no potentially dilutive securities were included in the denominator for computing diluted loss per share, because the impact would have been anti-dilutive. Accordingly, the weighted average basic shares outstanding was used to compute loss per share. An immaterial amount of shares related to potentially dilutive securities were excluded from the calculation of diluted loss per share for the year ended December 31, 2023 because their inclusion would have been anti-dilutive. For the year ended December 31, 2023 the weighted average shares that were anti-dilutive included options to purchase 1.2 million shares of common stock and 0.5 million restricted stock units.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Company had a loss from continuing operations and, as a result, no potentially dilutive securities were included in the denominator for computing diluted loss per share, because the impact would have been anti-dilutive. Accordingly, the weighted average basic shares outstanding was used to compute loss per share. Approximately 0.2 million shares related to potentially dilutive securities were excluded from the calculation of diluted loss per share for the year ended December 31, 2022 because their inclusion would have been anti-dilutive. For the year ended December 31, 2022 the weighted average shares that were anti-dilutive included options to purchase 1.0 million shares of common stock and 0.4 million restricted stock units.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2021, the weighted average shares that were anti-dilutive, and therefore excluded from the calculation of diluted income per share, included options to purchase 0.9 million shares of common stock and 0.1 million restricted stock units. </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 convertible notes and the warrants issued by the Company could be converted into the Company’s common stock, subject to certain contingencies.  </w:t>
      </w:r>
      <w:r>
        <w:rPr>
          <w:rFonts w:ascii="Times New Roman;sans-serif" w:hAnsi="Times New Roman;sans-serif"/>
          <w:b w:val="false"/>
          <w:i/>
          <w:color w:val="000000"/>
          <w:sz w:val="20"/>
        </w:rPr>
        <w:t>See </w:t>
      </w:r>
      <w:r>
        <w:rPr>
          <w:rFonts w:ascii="Times New Roman;sans-serif" w:hAnsi="Times New Roman;sans-serif"/>
          <w:b w:val="false"/>
          <w:color w:val="000000"/>
          <w:sz w:val="20"/>
        </w:rPr>
        <w:t xml:space="preserve">Note 15—Debt for additional information. On January 1, 2022, the Company adopted ASU 2020-06 using the modified retrospective method. Following the adoption, the if-converted method is used for diluted net income per share calculation of our convertible notes. Prior to the adoption of ASU 2020-06 the dilutive impact of the convertible notes was calculated using the treasury stock method. </w:t>
      </w:r>
      <w:r>
        <w:rPr>
          <w:rFonts w:ascii="Times New Roman;sans-serif" w:hAnsi="Times New Roman;sans-serif"/>
          <w:b w:val="false"/>
          <w:i/>
          <w:color w:val="000000"/>
          <w:sz w:val="20"/>
        </w:rPr>
        <w:t>See </w:t>
      </w:r>
      <w:r>
        <w:rPr>
          <w:rFonts w:ascii="Times New Roman;sans-serif" w:hAnsi="Times New Roman;sans-serif"/>
          <w:b w:val="false"/>
          <w:color w:val="000000"/>
          <w:sz w:val="20"/>
        </w:rPr>
        <w:t>Note 2—Significant Accounting Policies for additional information.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1.2 million shares related to the potentially dilutive shares of the Company's common stock associated with the 0.50% Convertible Senior Notes due July 15, 2025 were excluded from the calculation of diluted loss per share for the year ended December 31, 2023 because their inclusion would have been anti-dilutive. Approximately 2.1 million shares related to the potentially dilutive shares of the Company's common stock associated with the 0.50% Convertible Senior Notes due July 15, 2025 and the 0.625% Convertible Senior Notes due June 1, 2022 were excluded from the calculation of diluted loss per share for the year ended December 31, 2022 because their inclusion would have been anti-dilutive and were excluded from diluted income per share for the year ended December 31, 2021 since the conversion price of the Notes was greater than the average market price of the Company's common stock during the period. Shares of the Company's stock associated with warrants issued by the Company in 2017 and 2020 were excluded from the calculation of diluted (loss) income per share for the years ended December 31, 2023 and 2022 because their inclusion would have been anti-dilutive and were excluded for the year ended December 31, 2021 since the strike price of the warrants was greater than the average market price of the Company's common stock during the relevant periods.</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Company implemented an employee stock purchase plan, which did not have a material impact to the calculation of diluted shares.</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13—Stock-Based Compensation for a full description of outstanding equity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Common Stock Repurchases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plan authorized for the repurchase of LendingTree's common stock. The Company did not purchase shares of its common stock during the year ended December 31, 2023. During the years ended December 31, 2022 and 2021, the Company purchased 379,895 and 334,253 shares, respectively, of its common stock for aggregate consideration of $43.0 million and $40.0 million, respectively. At December 31, 2023, $96.7 million remains authorized for share repurchase.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13—STOCK-BASED COMPENSATION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currently has two active plans; the LendingTree 2023 Stock Plan (the “Equity Award Plan”) and the LendingTree 2023 Inducement Grant Plan (the "Inducement Plan"), under which future awards may be granted. The Equity Award Plan currently covers outstanding stock options to acquire shares of the Company's common stock, restricted stock, restricted stock with performance conditions, RSUs and RSUs with performance conditions, and provides for the future grants of these and other equity awards. Under the Equity Award Plan and the Inducement Plan, the Company is authorized to grant stock options, restricted stock, RSUs, and other equity-based awards for up to 1.6 million and 0.1 million, respectively, of LendingTree shares of common stock to employees, and, under the Equity Plan only, to non-employee consultants and directors.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Equity Award Plan and Inducement Plan each have a stated term of ten years and provides that the exercise price of stock options granted will not be less than the market price of the common stock on the grant date. The Equity Award Plan and Inducement Plan do not specify grant dates or vesting schedules, as those determinations are delegated to the Compensation Committee of the board of directors. Each grant agreement reflects the vesting schedule for that particular grant, as determined by the Compensation Committee. The Compensation Committee has the authority to modify the vesting provisions of an award.</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Non-cash compensation related to equity awards is included in the following line items in the accompanying consolidated statements of operations and comprehensive income (loss)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6882" w:type="dxa"/>
        <w:jc w:val="left"/>
        <w:tblInd w:w="0" w:type="dxa"/>
        <w:tblLayout w:type="fixed"/>
        <w:tblCellMar>
          <w:top w:w="28" w:type="dxa"/>
          <w:left w:w="28" w:type="dxa"/>
          <w:bottom w:w="28" w:type="dxa"/>
          <w:right w:w="28" w:type="dxa"/>
        </w:tblCellMar>
      </w:tblPr>
      <w:tblGrid>
        <w:gridCol w:w="1090"/>
        <w:gridCol w:w="960"/>
        <w:gridCol w:w="965"/>
        <w:gridCol w:w="211"/>
        <w:gridCol w:w="736"/>
        <w:gridCol w:w="109"/>
        <w:gridCol w:w="109"/>
        <w:gridCol w:w="109"/>
        <w:gridCol w:w="109"/>
        <w:gridCol w:w="211"/>
        <w:gridCol w:w="736"/>
        <w:gridCol w:w="109"/>
        <w:gridCol w:w="109"/>
        <w:gridCol w:w="109"/>
        <w:gridCol w:w="109"/>
        <w:gridCol w:w="211"/>
        <w:gridCol w:w="736"/>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severance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non-cash compensation</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39,682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59,624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68,555</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For the years ended December 31, 2023, 2022, and 2021, the Company recognized $7.4 million, $12.0 million, and $14.1 million, respectively, of income tax benefit, including state taxes, related to non-cash compensation. Additionally, for the year ended December 31, 2023 and 2022, the Company recognized excess tax expense of $7.8 million and $5.1 million, respectively, and for the year ended December 31, 2021, the Company recognized excess tax benefit of $11.7 million, including state taxes, in income tax expense.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2—Significant Accounting Policies, for additional information regarding excess tax benefits and deficiencies.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changes in outstanding stock options is as follows:</w:t>
      </w:r>
    </w:p>
    <w:tbl>
      <w:tblPr>
        <w:tblW w:w="8710" w:type="dxa"/>
        <w:jc w:val="left"/>
        <w:tblInd w:w="0" w:type="dxa"/>
        <w:tblLayout w:type="fixed"/>
        <w:tblCellMar>
          <w:top w:w="28" w:type="dxa"/>
          <w:left w:w="28" w:type="dxa"/>
          <w:bottom w:w="28" w:type="dxa"/>
          <w:right w:w="28" w:type="dxa"/>
        </w:tblCellMar>
      </w:tblPr>
      <w:tblGrid>
        <w:gridCol w:w="1098"/>
        <w:gridCol w:w="964"/>
        <w:gridCol w:w="967"/>
        <w:gridCol w:w="499"/>
        <w:gridCol w:w="499"/>
        <w:gridCol w:w="501"/>
        <w:gridCol w:w="109"/>
        <w:gridCol w:w="109"/>
        <w:gridCol w:w="109"/>
        <w:gridCol w:w="211"/>
        <w:gridCol w:w="736"/>
        <w:gridCol w:w="109"/>
        <w:gridCol w:w="109"/>
        <w:gridCol w:w="109"/>
        <w:gridCol w:w="109"/>
        <w:gridCol w:w="330"/>
        <w:gridCol w:w="330"/>
        <w:gridCol w:w="331"/>
        <w:gridCol w:w="109"/>
        <w:gridCol w:w="109"/>
        <w:gridCol w:w="109"/>
        <w:gridCol w:w="244"/>
        <w:gridCol w:w="732"/>
        <w:gridCol w:w="178"/>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bidi w:val="0"/>
              <w:spacing w:lineRule="auto" w:line="240" w:before="0" w:after="0"/>
              <w:jc w:val="center"/>
              <w:rPr/>
            </w:pPr>
            <w:r>
              <w:rPr>
                <w:rFonts w:ascii="Times New Roman;sans-serif" w:hAnsi="Times New Roman;sans-serif"/>
                <w:b/>
                <w:color w:val="000000"/>
                <w:sz w:val="16"/>
              </w:rPr>
              <w:t>Value</w:t>
            </w:r>
            <w:r>
              <w:rPr>
                <w:rFonts w:ascii="Times New Roman;sans-serif" w:hAnsi="Times New Roman;sans-serif"/>
                <w:b/>
                <w:color w:val="000000"/>
                <w:sz w:val="10"/>
              </w:rPr>
              <w:t>(a)</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(per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2022</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805,079</w:t>
            </w: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155.10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(17,746)</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(52,558)</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734,775</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1,111</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exercisable</w:t>
            </w:r>
          </w:p>
        </w:tc>
        <w:tc>
          <w:tcPr>
            <w:tcW w:w="998" w:type="dxa"/>
            <w:gridSpan w:val="2"/>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601,405</w:t>
            </w:r>
            <w:r>
              <w:rPr>
                <w:color w:val="000000"/>
              </w:rPr>
              <w:t> </w:t>
            </w:r>
          </w:p>
        </w:tc>
        <w:tc>
          <w:tcPr>
            <w:tcW w:w="50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135.43</w:t>
            </w:r>
            <w:r>
              <w:rPr>
                <w:color w:val="000000"/>
              </w:rPr>
              <w:t> </w:t>
            </w:r>
          </w:p>
        </w:tc>
        <w:tc>
          <w:tcPr>
            <w:tcW w:w="1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2.91</w:t>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2"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1,111</w:t>
            </w:r>
            <w:r>
              <w:rPr>
                <w:color w:val="000000"/>
              </w:rPr>
              <w:t> </w:t>
            </w:r>
          </w:p>
        </w:tc>
        <w:tc>
          <w:tcPr>
            <w:tcW w:w="178"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aggregate intrinsic value represents the total pre-tax intrinsic value (the difference between the Company's closing stock price of $30.32 on the last trading day of 2023 and the exercise price, multiplied by the number of shares covered by in-the-money options) that would have been received by the option holder had the option holder exercised these options on December 31, 2023. The intrinsic value changes based on the market value of the Company's common stock.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approximately $8.6 million of unrecognized compensation cost related to stock options. These costs are expected to be recognized over a weighted-average period of approximately 1.9 years.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exercise, the intrinsic value represents the pre-tax difference between the Company's closing stock price on the exercise date and the exercise price, multiplied by the number of stock options exercised. During the years ended December 31, 2023 and 2022, there were no stock options exercised. During the year ended December 31, 2021, the total intrinsic value of stock options that were exercised was $51.4 million. As there were no options exercised for the year ended December 31, 2023, no cash was received from stock option exercises.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there were no stock options granted. During the years ended December 31, 2022 and 2021, the Company granted stock options with a weighted average grant date fair value per share of $53.21 and $128.86, respectively, of which the vesting periods include (a) immediately upon grant, (b) earlier of one year from grant date and the Company's annual meeting of stockholders for 2023, (c) 33% over a period of three years from the grant date, (d) 25% over a period of four years from the grant date, and (e) certain grants to executive officers that vest over periods of up to six years.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tbl>
      <w:tblPr>
        <w:tblW w:w="5667" w:type="dxa"/>
        <w:jc w:val="left"/>
        <w:tblInd w:w="0" w:type="dxa"/>
        <w:tblLayout w:type="fixed"/>
        <w:tblCellMar>
          <w:top w:w="28" w:type="dxa"/>
          <w:left w:w="28" w:type="dxa"/>
          <w:bottom w:w="28" w:type="dxa"/>
          <w:right w:w="28" w:type="dxa"/>
        </w:tblCellMar>
      </w:tblPr>
      <w:tblGrid>
        <w:gridCol w:w="744"/>
        <w:gridCol w:w="654"/>
        <w:gridCol w:w="657"/>
        <w:gridCol w:w="229"/>
        <w:gridCol w:w="229"/>
        <w:gridCol w:w="229"/>
        <w:gridCol w:w="480"/>
        <w:gridCol w:w="480"/>
        <w:gridCol w:w="480"/>
        <w:gridCol w:w="435"/>
        <w:gridCol w:w="435"/>
        <w:gridCol w:w="615"/>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Expected term </w:t>
            </w:r>
            <w:r>
              <w:rPr>
                <w:rFonts w:ascii="Times New Roman;sans-serif" w:hAnsi="Times New Roman;sans-serif"/>
                <w:b w:val="false"/>
                <w:color w:val="000000"/>
                <w:sz w:val="13"/>
              </w:rPr>
              <w:t>(1)</w:t>
            </w:r>
          </w:p>
        </w:tc>
        <w:tc>
          <w:tcPr>
            <w:tcW w:w="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5.00 - 6.00 years</w:t>
            </w:r>
          </w:p>
        </w:tc>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5.00 - 6.00 years</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Expected dividend </w:t>
            </w:r>
            <w:r>
              <w:rPr>
                <w:rFonts w:ascii="Times New Roman;sans-serif" w:hAnsi="Times New Roman;sans-serif"/>
                <w:b w:val="false"/>
                <w:color w:val="000000"/>
                <w:sz w:val="13"/>
              </w:rPr>
              <w:t>(2)</w:t>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Expected volatility </w:t>
            </w:r>
            <w:r>
              <w:rPr>
                <w:rFonts w:ascii="Times New Roman;sans-serif" w:hAnsi="Times New Roman;sans-serif"/>
                <w:b w:val="false"/>
                <w:color w:val="000000"/>
                <w:sz w:val="13"/>
              </w:rPr>
              <w:t>(3)</w:t>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53%- 56%</w:t>
            </w:r>
          </w:p>
        </w:tc>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 - 59%</w:t>
            </w:r>
          </w:p>
        </w:tc>
      </w:tr>
      <w:tr>
        <w:trPr/>
        <w:tc>
          <w:tcPr>
            <w:tcW w:w="2055" w:type="dxa"/>
            <w:gridSpan w:val="3"/>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Risk-free interest rate </w:t>
            </w:r>
            <w:r>
              <w:rPr>
                <w:rFonts w:ascii="Times New Roman;sans-serif" w:hAnsi="Times New Roman;sans-serif"/>
                <w:b w:val="false"/>
                <w:color w:val="000000"/>
                <w:sz w:val="13"/>
              </w:rPr>
              <w:t>(4)</w:t>
            </w:r>
          </w:p>
        </w:tc>
        <w:tc>
          <w:tcPr>
            <w:tcW w:w="458" w:type="dxa"/>
            <w:gridSpan w:val="2"/>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bottom w:val="single" w:sz="8" w:space="0" w:color="999999"/>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1.62%- 3.23%</w:t>
            </w:r>
          </w:p>
        </w:tc>
        <w:tc>
          <w:tcPr>
            <w:tcW w:w="1485" w:type="dxa"/>
            <w:gridSpan w:val="3"/>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0.59% - 1.15%</w:t>
            </w:r>
          </w:p>
        </w:tc>
      </w:tr>
    </w:tbl>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(2)For all stock options granted during the years ended December 31, 2022 and 2021, no dividends are expected to be paid over the contractual term of the stock options, resulting in a zero expected dividend rate.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expected volatility rate is based on the historical volatility of the Company's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 risk-free interest rate is specific to the date of grant. The risk-free interest rate is based on U.S. Treasury yields for notes with comparable expected terms as the awards, in effect at the grant date.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the total grant date fair value of options vested was $11.9 million, $9.2 million and $10.8 million, respectively.</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Stock Options with Market Conditions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outstanding stock options with market conditions at target is as follows:</w:t>
      </w:r>
    </w:p>
    <w:tbl>
      <w:tblPr>
        <w:tblW w:w="10205" w:type="dxa"/>
        <w:jc w:val="left"/>
        <w:tblInd w:w="0" w:type="dxa"/>
        <w:tblLayout w:type="fixed"/>
        <w:tblCellMar>
          <w:top w:w="28" w:type="dxa"/>
          <w:left w:w="28" w:type="dxa"/>
          <w:bottom w:w="28" w:type="dxa"/>
          <w:right w:w="28" w:type="dxa"/>
        </w:tblCellMar>
      </w:tblPr>
      <w:tblGrid>
        <w:gridCol w:w="1053"/>
        <w:gridCol w:w="925"/>
        <w:gridCol w:w="927"/>
        <w:gridCol w:w="1053"/>
        <w:gridCol w:w="1037"/>
        <w:gridCol w:w="1040"/>
        <w:gridCol w:w="109"/>
        <w:gridCol w:w="109"/>
        <w:gridCol w:w="109"/>
        <w:gridCol w:w="211"/>
        <w:gridCol w:w="736"/>
        <w:gridCol w:w="109"/>
        <w:gridCol w:w="109"/>
        <w:gridCol w:w="109"/>
        <w:gridCol w:w="109"/>
        <w:gridCol w:w="330"/>
        <w:gridCol w:w="330"/>
        <w:gridCol w:w="331"/>
        <w:gridCol w:w="109"/>
        <w:gridCol w:w="109"/>
        <w:gridCol w:w="109"/>
        <w:gridCol w:w="310"/>
        <w:gridCol w:w="599"/>
        <w:gridCol w:w="233"/>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 with Market Conditions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bidi w:val="0"/>
              <w:spacing w:lineRule="auto" w:line="240" w:before="0" w:after="0"/>
              <w:jc w:val="center"/>
              <w:rPr/>
            </w:pPr>
            <w:r>
              <w:rPr>
                <w:rFonts w:ascii="Times New Roman;sans-serif" w:hAnsi="Times New Roman;sans-serif"/>
                <w:b/>
                <w:color w:val="000000"/>
                <w:sz w:val="16"/>
              </w:rPr>
              <w:t>Value</w:t>
            </w:r>
            <w:r>
              <w:rPr>
                <w:rFonts w:ascii="Times New Roman;sans-serif" w:hAnsi="Times New Roman;sans-serif"/>
                <w:b/>
                <w:color w:val="000000"/>
                <w:sz w:val="10"/>
              </w:rPr>
              <w:t>(a)</w:t>
            </w:r>
          </w:p>
        </w:tc>
      </w:tr>
      <w:tr>
        <w:trPr/>
        <w:tc>
          <w:tcPr>
            <w:tcW w:w="2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(per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2022</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734,685</w:t>
            </w:r>
            <w:r>
              <w:rPr>
                <w:color w:val="000000"/>
              </w:rPr>
              <w:t> </w:t>
            </w:r>
          </w:p>
        </w:tc>
        <w:tc>
          <w:tcPr>
            <w:tcW w:w="10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color w:val="000000"/>
              </w:rPr>
              <w:t xml:space="preserve"> </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(16,247)</w:t>
            </w:r>
          </w:p>
        </w:tc>
        <w:tc>
          <w:tcPr>
            <w:tcW w:w="10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2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718,438</w:t>
            </w:r>
            <w:r>
              <w:rPr>
                <w:color w:val="000000"/>
              </w:rPr>
              <w:t> </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exercisable</w:t>
            </w:r>
          </w:p>
        </w:tc>
        <w:tc>
          <w:tcPr>
            <w:tcW w:w="2090" w:type="dxa"/>
            <w:gridSpan w:val="2"/>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481,669</w:t>
            </w:r>
            <w:r>
              <w:rPr>
                <w:color w:val="000000"/>
              </w:rPr>
              <w:t> </w:t>
            </w:r>
          </w:p>
        </w:tc>
        <w:tc>
          <w:tcPr>
            <w:tcW w:w="1040"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195.10</w:t>
            </w:r>
            <w:r>
              <w:rPr>
                <w:color w:val="000000"/>
              </w:rPr>
              <w:t> </w:t>
            </w:r>
          </w:p>
        </w:tc>
        <w:tc>
          <w:tcPr>
            <w:tcW w:w="1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3.60</w:t>
            </w:r>
          </w:p>
        </w:tc>
        <w:tc>
          <w:tcPr>
            <w:tcW w:w="327" w:type="dxa"/>
            <w:gridSpan w:val="3"/>
            <w:tcBorders>
              <w:top w:val="single" w:sz="16"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aggregate intrinsic value represents the total pre-tax intrinsic value (the difference between the Company's closing stock price of $30.32 on the last trading day of 2023 and the exercise price, multiplied by the number of shares covered by in-the-money options) that would have been received by the option holder had the option holder exercised these options on December 31, 2023. The intrinsic value changes based on the market value of the Company's common stock.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approximately $11.6 million of unrecognized compensation cost related to stock options with market conditions. These costs are expected to be recognized over a weighted-average period of approximately 1.9 years. For single cliff-vesting stock options with market conditions, the fair value will be recognized on a straight-line basis through each grant’s vest date, whether or not any of the total shareholder return targets are met. For graded-vesting stock options with market conditions, the fair value will be recognized using graded vesting expense attribution, whether or not any of the total shareholder return targets are met.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stock options with market conditions were granted in 2021, 2022 or 2023. During the year ended December 31, 2020, the Company granted stock options with a weighted-average grant date fair value per share of $142.54. The single cliff-vesting stock options granted during the year ended December 31, 2020 have a vest date of March 31, 2024. The graded-vesting stock options granted during the year ended December 31, 2020 have a vesting schedule with vesting dates of December 31, 2024, December 31, 2025 and December 31, 2026.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the Company granted graded-vesting stock options with a market condition to its Chairman and Chief Executive Officer at a premium exercise price of $300, representing an approximate 25% premium over the closing market price of LendingTree's common stock on the date of grant. The net after-tax shares acquired through exercise of these stock options are subject to a two-year post-exercise holding requirement.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single cliff-vesting stock options with a market condition granted in 2020 have a target number of shares that vest upon achieving a targeted total shareholder return performance of 81% stock price appreciation and a maximum of 31,940 shares for achieving superior performance. No shares will vest unless 41% of the targeted performance is achieved. The performance measurement period ends on March 31, 2024. The graded-vesting stock options with a market condition granted in 2020 have a target number of shares that vest upon achieving a targeted total shareholder return performance of 135% stock price appreciation and a maximum of 363,464 shares for achieving superior performance. No shares will vest unless 81% of the targeted performance is achieved. The performance measurement period ends on March 31, 2025.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measurement period for stock options with a market condition granted in 2019 ended on March 31, 2023. The grant had a target number of shares of 16,247 that would vest upon achieving a targeted total shareholder return performance of 81% stock price appreciation and a maximum of 27,132 shares for achieving superior performance. No shares will vest unless 41% of the targeted performance is achieved. At March 31, 2023, the target number of shares expired due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actual total shareholder return performance not meeting the 41% of the targeted performance measure, as reflected in the table above.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all stock options with market conditions, time-based service vesting conditions would also have to be satisfied in order for shares to become fully vested and no longer subject to forfeiture.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 maximum of 395,404 may be earned for achieving superior performance up to 167% of the remaining unvested target number of shares. As of December 31, 2023, no additional performance-based nonqualified stock options with a market condition had been earned.</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Restricted Stock Units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changes in outstanding nonvested RSUs is as follows:</w:t>
      </w:r>
    </w:p>
    <w:tbl>
      <w:tblPr>
        <w:tblW w:w="6912" w:type="dxa"/>
        <w:jc w:val="left"/>
        <w:tblInd w:w="0" w:type="dxa"/>
        <w:tblLayout w:type="fixed"/>
        <w:tblCellMar>
          <w:top w:w="28" w:type="dxa"/>
          <w:left w:w="28" w:type="dxa"/>
          <w:bottom w:w="28" w:type="dxa"/>
          <w:right w:w="28" w:type="dxa"/>
        </w:tblCellMar>
      </w:tblPr>
      <w:tblGrid>
        <w:gridCol w:w="1038"/>
        <w:gridCol w:w="910"/>
        <w:gridCol w:w="916"/>
        <w:gridCol w:w="450"/>
        <w:gridCol w:w="450"/>
        <w:gridCol w:w="436"/>
        <w:gridCol w:w="109"/>
        <w:gridCol w:w="109"/>
        <w:gridCol w:w="109"/>
        <w:gridCol w:w="457"/>
        <w:gridCol w:w="1595"/>
        <w:gridCol w:w="33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w:t>
              <w:br/>
              <w:t>Fair Value</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(per unit)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December 31, 2022</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485,053</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127.46</w:t>
            </w: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Granted </w:t>
            </w:r>
            <w:r>
              <w:rPr>
                <w:rFonts w:ascii="Times New Roman;sans-serif" w:hAnsi="Times New Roman;sans-serif"/>
                <w:b w:val="false"/>
                <w:color w:val="000000"/>
                <w:sz w:val="13"/>
              </w:rPr>
              <w:t>(a)</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391,953 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(244,580)</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(160,833)</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December 31, 2023</w:t>
            </w:r>
          </w:p>
        </w:tc>
        <w:tc>
          <w:tcPr>
            <w:tcW w:w="900"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471,593</w:t>
            </w:r>
            <w:r>
              <w:rPr>
                <w:color w:val="000000"/>
              </w:rPr>
              <w:t> </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66.42</w:t>
            </w:r>
            <w:r>
              <w:rPr>
                <w:color w:val="000000"/>
              </w:rPr>
              <w:t> </w:t>
            </w:r>
          </w:p>
        </w:tc>
        <w:tc>
          <w:tcPr>
            <w:tcW w:w="33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grant date fair value per share of the RSUs is calculated as the closing market price of LendingTree's common stock at the time of grant.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approximately $16.5 million of unrecognized compensation cost related to RSUs. These costs are expected to be recognized over a weighted-average period of approximately 1.6 years.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fair value of RSUs that vested during the years ended December 31, 2023, 2022, and 2021 was $6.9 million, $11.5 million and $21.7 million, respectively. </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Restricted Stock Units with Performance Conditions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outstanding nonvested RSUs with performance conditions is as follows:</w:t>
      </w:r>
    </w:p>
    <w:tbl>
      <w:tblPr>
        <w:tblW w:w="8357" w:type="dxa"/>
        <w:jc w:val="left"/>
        <w:tblInd w:w="0" w:type="dxa"/>
        <w:tblLayout w:type="fixed"/>
        <w:tblCellMar>
          <w:top w:w="28" w:type="dxa"/>
          <w:left w:w="28" w:type="dxa"/>
          <w:bottom w:w="28" w:type="dxa"/>
          <w:right w:w="28" w:type="dxa"/>
        </w:tblCellMar>
      </w:tblPr>
      <w:tblGrid>
        <w:gridCol w:w="1038"/>
        <w:gridCol w:w="910"/>
        <w:gridCol w:w="916"/>
        <w:gridCol w:w="434"/>
        <w:gridCol w:w="434"/>
        <w:gridCol w:w="436"/>
        <w:gridCol w:w="181"/>
        <w:gridCol w:w="181"/>
        <w:gridCol w:w="181"/>
        <w:gridCol w:w="702"/>
        <w:gridCol w:w="2101"/>
        <w:gridCol w:w="362"/>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 with Performance Conditions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Units</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(per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December 31, 2022</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16,000</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83.25</w:t>
            </w: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December 31, 2023</w:t>
            </w:r>
          </w:p>
        </w:tc>
        <w:tc>
          <w:tcPr>
            <w:tcW w:w="868"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10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RSUs with performance conditions were granted in 2023 or 2021.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there was no unrecognized compensation cost related to RSUs with performance conditions.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RSUs with performance conditions that vested during the year ended December 31, 2021 was $0.9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Restricted Stock Awards with Performance Conditions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RSAs with performance conditions were granted in 2023, 2022, or 2021. During 2018, the Company granted time-vested RSAs with a performance condition to its Chairman and Chief Executive Officer, which vested through December 31, 2021. The terms of this award were fixed in compensation agreements in July 2017 with a total grant date fair value of $21.9 million. The performance condition was tied to the Company's operating results during the first six months of 2018, and was met.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RSAs with performance conditions that vested during the year ended December 31, 2021 was $4.1 million.</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Restricted Stock Awards with Market Conditions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RSAs with market conditions were granted in 2023, 2022 or 2021. During 2018, the Company granted RSAs with market conditions to its Chairman and Chief Executive Officer with a total grant date fair value of $1.9 million. The performance measurement period ended on September 30, 2022, and 29,601 shares were earned.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fair value of RSAs with market conditions that vested during the year ended December 31, 2022 was $0.7 million. As of December 31, 2023, there was no unrecognized compensation cost related to RSAs with market conditions. </w:t>
      </w:r>
    </w:p>
    <w:p>
      <w:pPr>
        <w:pStyle w:val="TextBody"/>
        <w:bidi w:val="0"/>
        <w:spacing w:lineRule="auto" w:line="288" w:before="24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the Company implemented an employee stock purchase plan (“ESPP”), under which a total of 262,731 shares of the Company's common stock were reserved for issuance.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6-month periods ending on June 30 and December 31 of each year.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64,549 shares were purchased under the ESPP at a weighted average purchase price of $19.03 per share, resulting in cash proceeds of $1.2 million. During the year ended December 31, 2022, 30,375 shares were purchased under the ESPP at a weighted average purchase price of $27.19 per share, resulting in cash proceeds of $0.8 million. As of December 31, 2023 and 2022, 162,264 and 226,813 shares, respectively, were available for issuance under the ESPP.</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the Company granted Employee Stock Purchase Rights to certain employees with a weighted average grant date fair value per share of $8.51 and $20.96 respectively, calculated using the Black-Scholes option pricing model. For purposes of determining stock-based compensation expense, the grant date fair value per share estimated using the Black-Scholes option pricing model required the use of the following key assumptions:</w:t>
      </w:r>
    </w:p>
    <w:tbl>
      <w:tblPr>
        <w:tblW w:w="4709" w:type="dxa"/>
        <w:jc w:val="left"/>
        <w:tblInd w:w="0" w:type="dxa"/>
        <w:tblLayout w:type="fixed"/>
        <w:tblCellMar>
          <w:top w:w="28" w:type="dxa"/>
          <w:left w:w="28" w:type="dxa"/>
          <w:bottom w:w="28" w:type="dxa"/>
          <w:right w:w="28" w:type="dxa"/>
        </w:tblCellMar>
      </w:tblPr>
      <w:tblGrid>
        <w:gridCol w:w="744"/>
        <w:gridCol w:w="654"/>
        <w:gridCol w:w="657"/>
        <w:gridCol w:w="435"/>
        <w:gridCol w:w="435"/>
        <w:gridCol w:w="435"/>
        <w:gridCol w:w="391"/>
        <w:gridCol w:w="391"/>
        <w:gridCol w:w="567"/>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Expected term </w:t>
            </w:r>
            <w:r>
              <w:rPr>
                <w:rFonts w:ascii="Times New Roman;sans-serif" w:hAnsi="Times New Roman;sans-serif"/>
                <w:b w:val="false"/>
                <w:color w:val="000000"/>
                <w:sz w:val="13"/>
              </w:rPr>
              <w:t>(1)</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years</w:t>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years</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Expected dividend </w:t>
            </w:r>
            <w:r>
              <w:rPr>
                <w:rFonts w:ascii="Times New Roman;sans-serif" w:hAnsi="Times New Roman;sans-serif"/>
                <w:b w:val="false"/>
                <w:color w:val="000000"/>
                <w:sz w:val="13"/>
              </w:rPr>
              <w:t>(2)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Expected volatility </w:t>
            </w:r>
            <w:r>
              <w:rPr>
                <w:rFonts w:ascii="Times New Roman;sans-serif" w:hAnsi="Times New Roman;sans-serif"/>
                <w:b w:val="false"/>
                <w:color w:val="000000"/>
                <w:sz w:val="13"/>
              </w:rPr>
              <w:t>(3)</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49% - 73%</w:t>
            </w:r>
          </w:p>
        </w:tc>
      </w:tr>
      <w:tr>
        <w:trPr/>
        <w:tc>
          <w:tcPr>
            <w:tcW w:w="2055" w:type="dxa"/>
            <w:gridSpan w:val="3"/>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Risk-free interest rate </w:t>
            </w:r>
            <w:r>
              <w:rPr>
                <w:rFonts w:ascii="Times New Roman;sans-serif" w:hAnsi="Times New Roman;sans-serif"/>
                <w:b w:val="false"/>
                <w:color w:val="000000"/>
                <w:sz w:val="13"/>
              </w:rPr>
              <w:t>(4)</w:t>
            </w:r>
          </w:p>
        </w:tc>
        <w:tc>
          <w:tcPr>
            <w:tcW w:w="1305" w:type="dxa"/>
            <w:gridSpan w:val="3"/>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4.76% - 5.50%</w:t>
            </w:r>
          </w:p>
        </w:tc>
        <w:tc>
          <w:tcPr>
            <w:tcW w:w="1349" w:type="dxa"/>
            <w:gridSpan w:val="3"/>
            <w:tcBorders>
              <w:bottom w:val="single" w:sz="8" w:space="0" w:color="999999"/>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0.19% - 2.51%</w:t>
            </w:r>
          </w:p>
        </w:tc>
      </w:tr>
    </w:tbl>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expected term was calculated using the time period between the grant date and the purchase date.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(2)No dividends are expected to be paid, resulting in a zero expected dividend rate.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(3)The expected volatility rate is based on the historical volatility of the Company's common stock.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risk-free interest rate is specific to the date of grant. The risk-free interest rate is based on U.S. Treasury yields for notes with comparable expected terms as the Employee Stock Purchase Rights, in effect at the grant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14—INCOME TAXES</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Income Tax Provision</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The components of the income tax expense (benefit) are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7211" w:type="dxa"/>
        <w:jc w:val="left"/>
        <w:tblInd w:w="0" w:type="dxa"/>
        <w:tblLayout w:type="fixed"/>
        <w:tblCellMar>
          <w:top w:w="28" w:type="dxa"/>
          <w:left w:w="28" w:type="dxa"/>
          <w:bottom w:w="28" w:type="dxa"/>
          <w:right w:w="28" w:type="dxa"/>
        </w:tblCellMar>
      </w:tblPr>
      <w:tblGrid>
        <w:gridCol w:w="1191"/>
        <w:gridCol w:w="1043"/>
        <w:gridCol w:w="1050"/>
        <w:gridCol w:w="211"/>
        <w:gridCol w:w="691"/>
        <w:gridCol w:w="109"/>
        <w:gridCol w:w="109"/>
        <w:gridCol w:w="109"/>
        <w:gridCol w:w="109"/>
        <w:gridCol w:w="211"/>
        <w:gridCol w:w="841"/>
        <w:gridCol w:w="109"/>
        <w:gridCol w:w="109"/>
        <w:gridCol w:w="109"/>
        <w:gridCol w:w="109"/>
        <w:gridCol w:w="211"/>
        <w:gridCol w:w="736"/>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income tax expense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 expense:</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income tax (benefit) expense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132,666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10,908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(benefit) expense</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(2,515)</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133,019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11,298</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A reconciliation of the income tax expense (benefit) to the amounts computed by applying the statutory federal income tax rate to income (loss) from continuing operations before income taxes is shown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8171" w:type="dxa"/>
        <w:jc w:val="left"/>
        <w:tblInd w:w="0" w:type="dxa"/>
        <w:tblLayout w:type="fixed"/>
        <w:tblCellMar>
          <w:top w:w="28" w:type="dxa"/>
          <w:left w:w="28" w:type="dxa"/>
          <w:bottom w:w="28" w:type="dxa"/>
          <w:right w:w="28" w:type="dxa"/>
        </w:tblCellMar>
      </w:tblPr>
      <w:tblGrid>
        <w:gridCol w:w="1496"/>
        <w:gridCol w:w="1319"/>
        <w:gridCol w:w="1324"/>
        <w:gridCol w:w="211"/>
        <w:gridCol w:w="796"/>
        <w:gridCol w:w="109"/>
        <w:gridCol w:w="109"/>
        <w:gridCol w:w="109"/>
        <w:gridCol w:w="109"/>
        <w:gridCol w:w="211"/>
        <w:gridCol w:w="841"/>
        <w:gridCol w:w="109"/>
        <w:gridCol w:w="109"/>
        <w:gridCol w:w="109"/>
        <w:gridCol w:w="109"/>
        <w:gridCol w:w="211"/>
        <w:gridCol w:w="736"/>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income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deductions on non-cash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experimentation tax credit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executive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(benefit) expense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(2,515)</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133,019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11,298</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Deferred Income Taxes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tax effects of cumulative temporary differences that give rise to significant portions of the deferred tax assets and deferred tax liabilities are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7194" w:type="dxa"/>
        <w:jc w:val="left"/>
        <w:tblInd w:w="0" w:type="dxa"/>
        <w:tblLayout w:type="fixed"/>
        <w:tblCellMar>
          <w:top w:w="28" w:type="dxa"/>
          <w:left w:w="28" w:type="dxa"/>
          <w:bottom w:w="28" w:type="dxa"/>
          <w:right w:w="28" w:type="dxa"/>
        </w:tblCellMar>
      </w:tblPr>
      <w:tblGrid>
        <w:gridCol w:w="1741"/>
        <w:gridCol w:w="1526"/>
        <w:gridCol w:w="1533"/>
        <w:gridCol w:w="211"/>
        <w:gridCol w:w="691"/>
        <w:gridCol w:w="109"/>
        <w:gridCol w:w="109"/>
        <w:gridCol w:w="109"/>
        <w:gridCol w:w="109"/>
        <w:gridCol w:w="211"/>
        <w:gridCol w:w="691"/>
        <w:gridCol w:w="154"/>
      </w:tblGrid>
      <w:tr>
        <w:trPr/>
        <w:tc>
          <w:tcPr>
            <w:tcW w:w="1741"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operating loss carryforwards </w:t>
            </w:r>
            <w:r>
              <w:rPr>
                <w:rFonts w:ascii="Times New Roman;sans-serif" w:hAnsi="Times New Roman;sans-serif"/>
                <w:b w:val="false"/>
                <w:color w:val="000000"/>
                <w:sz w:val="13"/>
              </w:rPr>
              <w:t>(a)</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experimentation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deferred tax assets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valuation allowance </w:t>
            </w:r>
            <w:r>
              <w:rPr>
                <w:rFonts w:ascii="Times New Roman;sans-serif" w:hAnsi="Times New Roman;sans-serif"/>
                <w:b w:val="false"/>
                <w:color w:val="000000"/>
                <w:sz w:val="13"/>
              </w:rPr>
              <w:t>(b)</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deferred tax assets, net of the valuation allowance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47,237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gross deferred tax liabilities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(20,718)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(54,020)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deferred taxes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(2,091)</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(6,783)</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color w:val="000000"/>
          <w:sz w:val="19"/>
        </w:rPr>
        <w:t>(a)</w:t>
      </w:r>
      <w:r>
        <w:rPr>
          <w:rFonts w:ascii="Times New Roman;sans-serif" w:hAnsi="Times New Roman;sans-serif"/>
          <w:b w:val="false"/>
          <w:color w:val="000000"/>
          <w:sz w:val="20"/>
        </w:rPr>
        <w:t>At December 31, 2023, the Company had pre-tax consolidated federal net operating losses (“NOLs”) of $139.0 million. The federal NOLs no longer expire under the Tax Cuts and Jobs Act. The Company's NOLs will be available to offset taxable income, subject to the Internal Revenue Code Section 382 annual limitation. In addition, the Company has state NOLs of approximately $466.4 million at December 31, 2023, a portion of which will expire at various times between 2024 and 2043.</w:t>
      </w:r>
    </w:p>
    <w:p>
      <w:pPr>
        <w:pStyle w:val="TextBody"/>
        <w:bidi w:val="0"/>
        <w:spacing w:lineRule="auto" w:line="288" w:before="0" w:after="120"/>
        <w:ind w:left="0" w:right="0" w:hanging="360"/>
        <w:jc w:val="both"/>
        <w:rPr/>
      </w:pPr>
      <w:r>
        <w:rPr>
          <w:rFonts w:ascii="Times New Roman;sans-serif" w:hAnsi="Times New Roman;sans-serif"/>
          <w:b/>
          <w:color w:val="000000"/>
          <w:sz w:val="19"/>
        </w:rPr>
        <w:t>(b)</w:t>
      </w:r>
      <w:r>
        <w:rPr>
          <w:rFonts w:ascii="Times New Roman;sans-serif" w:hAnsi="Times New Roman;sans-serif"/>
          <w:b w:val="false"/>
          <w:color w:val="000000"/>
          <w:sz w:val="20"/>
        </w:rPr>
        <w:t xml:space="preserve">The valuation allowance is related to items for which it is </w:t>
      </w:r>
      <w:r>
        <w:rPr>
          <w:color w:val="000000"/>
        </w:rPr>
        <w:t>“</w:t>
      </w:r>
      <w:r>
        <w:rPr>
          <w:rFonts w:ascii="Times New Roman;sans-serif" w:hAnsi="Times New Roman;sans-serif"/>
          <w:b w:val="false"/>
          <w:i/>
          <w:color w:val="000000"/>
          <w:sz w:val="20"/>
        </w:rPr>
        <w:t>more likely than not”</w:t>
      </w:r>
      <w:r>
        <w:rPr>
          <w:color w:val="000000"/>
        </w:rPr>
        <w:t xml:space="preserve"> </w:t>
      </w:r>
      <w:r>
        <w:rPr>
          <w:rFonts w:ascii="Times New Roman;sans-serif" w:hAnsi="Times New Roman;sans-serif"/>
          <w:b w:val="false"/>
          <w:color w:val="000000"/>
          <w:sz w:val="20"/>
        </w:rPr>
        <w:t>that the tax benefit will not be realized.</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Deferred income taxes are presented in the accompanying consolidated balance sheets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4973" w:type="dxa"/>
        <w:jc w:val="left"/>
        <w:tblInd w:w="0" w:type="dxa"/>
        <w:tblLayout w:type="fixed"/>
        <w:tblCellMar>
          <w:top w:w="28" w:type="dxa"/>
          <w:left w:w="28" w:type="dxa"/>
          <w:bottom w:w="28" w:type="dxa"/>
          <w:right w:w="28" w:type="dxa"/>
        </w:tblCellMar>
      </w:tblPr>
      <w:tblGrid>
        <w:gridCol w:w="935"/>
        <w:gridCol w:w="820"/>
        <w:gridCol w:w="824"/>
        <w:gridCol w:w="211"/>
        <w:gridCol w:w="691"/>
        <w:gridCol w:w="109"/>
        <w:gridCol w:w="109"/>
        <w:gridCol w:w="109"/>
        <w:gridCol w:w="109"/>
        <w:gridCol w:w="211"/>
        <w:gridCol w:w="691"/>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deferred taxes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(2,091)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(6,783)</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Valuation Allowance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A valuation allowance is provided on deferred tax assets if it is determined that it is </w:t>
      </w:r>
      <w:r>
        <w:rPr>
          <w:color w:val="000000"/>
        </w:rPr>
        <w:t>“</w:t>
      </w:r>
      <w:r>
        <w:rPr>
          <w:rFonts w:ascii="Times New Roman;sans-serif" w:hAnsi="Times New Roman;sans-serif"/>
          <w:b w:val="false"/>
          <w:i/>
          <w:color w:val="000000"/>
          <w:sz w:val="20"/>
        </w:rPr>
        <w:t>more likely than not”</w:t>
      </w:r>
      <w:r>
        <w:rPr>
          <w:color w:val="000000"/>
        </w:rPr>
        <w:t xml:space="preserve"> </w:t>
      </w:r>
      <w:r>
        <w:rPr>
          <w:rFonts w:ascii="Times New Roman;sans-serif" w:hAnsi="Times New Roman;sans-serif"/>
          <w:b w:val="false"/>
          <w:color w:val="000000"/>
          <w:sz w:val="20"/>
        </w:rPr>
        <w:t xml:space="preserve">that the deferred tax asset will not be realized. As of each reporting date, management considers both positive and negative evidence regarding the likelihood of future realization of the deferred tax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the Company continued to maintain a full valuation allowance against its net deferred tax assets due to historical cumulative pre-tax losses and continued pre-tax losses. Management regularly reviews the deferred tax assets for recoverability based on historical taxable income, projected future taxable income, the expected timing of the reversals of existing taxable temporary differences, and tax planning strategies. The ultimate realization of deferred tax assets is dependent upon the generation of future taxable income. In determining the amount of the valuation allowance, the Company considered the scheduled reversal of deferred tax liabilities. The Company will maintain a full valuation allowance on net deferred tax assets until there is sufficient evidence to support the reversal of some or all of the allowance. Should there be a change in the valuation allowance in the future, the income tax provision would increase or decrease in the period in which the allowance is changed. At December 31, 2023 and 2022, the Company recorded a full valuation allowance of $162.5 million and $145.4 million, respectively. </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A reconciliation of the beginning and ending balances of the deferred tax valuation allowance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6821" w:type="dxa"/>
        <w:jc w:val="left"/>
        <w:tblInd w:w="0" w:type="dxa"/>
        <w:tblLayout w:type="fixed"/>
        <w:tblCellMar>
          <w:top w:w="28" w:type="dxa"/>
          <w:left w:w="28" w:type="dxa"/>
          <w:bottom w:w="28" w:type="dxa"/>
          <w:right w:w="28" w:type="dxa"/>
        </w:tblCellMar>
      </w:tblPr>
      <w:tblGrid>
        <w:gridCol w:w="1032"/>
        <w:gridCol w:w="905"/>
        <w:gridCol w:w="912"/>
        <w:gridCol w:w="211"/>
        <w:gridCol w:w="841"/>
        <w:gridCol w:w="109"/>
        <w:gridCol w:w="109"/>
        <w:gridCol w:w="109"/>
        <w:gridCol w:w="109"/>
        <w:gridCol w:w="211"/>
        <w:gridCol w:w="841"/>
        <w:gridCol w:w="109"/>
        <w:gridCol w:w="109"/>
        <w:gridCol w:w="109"/>
        <w:gridCol w:w="109"/>
        <w:gridCol w:w="211"/>
        <w:gridCol w:w="631"/>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to earnings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end of the period</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162,504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145,401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6,039</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Unrecognized Tax Benefits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A reconciliation of the beginning and ending amounts of unrecognized tax benefits, excluding interest and penalties, is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7734" w:type="dxa"/>
        <w:jc w:val="left"/>
        <w:tblInd w:w="0" w:type="dxa"/>
        <w:tblLayout w:type="fixed"/>
        <w:tblCellMar>
          <w:top w:w="28" w:type="dxa"/>
          <w:left w:w="28" w:type="dxa"/>
          <w:bottom w:w="28" w:type="dxa"/>
          <w:right w:w="28" w:type="dxa"/>
        </w:tblCellMar>
      </w:tblPr>
      <w:tblGrid>
        <w:gridCol w:w="1977"/>
        <w:gridCol w:w="1735"/>
        <w:gridCol w:w="1748"/>
        <w:gridCol w:w="211"/>
        <w:gridCol w:w="631"/>
        <w:gridCol w:w="109"/>
        <w:gridCol w:w="109"/>
        <w:gridCol w:w="109"/>
        <w:gridCol w:w="109"/>
        <w:gridCol w:w="211"/>
        <w:gridCol w:w="631"/>
        <w:gridCol w:w="154"/>
      </w:tblGrid>
      <w:tr>
        <w:trPr/>
        <w:tc>
          <w:tcPr>
            <w:tcW w:w="1977"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of the current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(subtractions) based on tax positions of the prior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end of the period</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3,424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3,282</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if applicable, penalties are recognized related to unrecognized tax benefits in income tax expense. Interest and penalties on unrecognized tax benefits included in income tax expense of an immaterial amount has been recognized for the tax year ended December 31, 2022. For the years ended December 31, 2023 and 2021 interest is not currently required to be recorded, as there have been no tax attributes included in income tax returns filed for those tax periods to require consideration of interest expense.</w:t>
      </w:r>
    </w:p>
    <w:p>
      <w:pPr>
        <w:pStyle w:val="TextBody"/>
        <w:bidi w:val="0"/>
        <w:spacing w:lineRule="auto" w:line="288" w:before="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accrual for unrecognized tax benefits, including interest, was $3.4 million and $3.3 million, respectively, which would benefit the effective tax rate if recognized.</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Tax Audits</w:t>
      </w:r>
    </w:p>
    <w:p>
      <w:pPr>
        <w:pStyle w:val="TextBody"/>
        <w:bidi w:val="0"/>
        <w:spacing w:lineRule="auto" w:line="288" w:before="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LendingTree is subject to audits by federal, state and local authorities in the area of income tax. These audits include questioning the timing and the amount of deductions and the allocation of income among various tax jurisdictions. Income taxes payable include amounts considered sufficient to pay assessments that may result from examination of prior year returns; however, any amounts paid upon resolution of issues raised may differ from the amount provided. Differences between the reserves for tax contingencies and the amounts owed by the Company are recorded in the period they become known. As of December 31, 2023, the Company is subject to a federal income tax examination for the tax years 2015 through 2022. In addition, the Company is subject to state and local tax examinations for the tax years 2018 through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15—DEBT</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Convertible Senior Notes</w:t>
      </w:r>
    </w:p>
    <w:p>
      <w:pPr>
        <w:pStyle w:val="TextBody"/>
        <w:bidi w:val="0"/>
        <w:spacing w:lineRule="auto" w:line="288" w:before="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2025 Notes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24, 2020, the Company issued $575.0 million aggregate principal amount of its 0.50% Convertible Senior Notes due July 15, 2025 (the “2025 Notes”) in a private placement. The issuance included $75.0 million aggregate principal amount of 2025 Notes under a 13-day purchase option which was exercised in full. The 2025 Notes bear interest at a rate of 0.50% per year, payable semi-annually on January 15 and July 15 of each year, beginning on January 15, 2021. The 2025 Notes will mature on July 15, 2025, unless earlier repurchased, redeemed or converted.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the Company repurchased approximately $190.6 million in principal amount of its 2025 Notes, through individual privately-negotiated transactions with certain holders of the 2025 Notes, for $156.3 million in cash plus accrued and unpaid interest of approximately $0.1 million. On December 7, 2023, the Company repurchased approximately $100.2 million in principal amount of its 2025 Notes, through individual privately-negotiated transactions with certain holders of the 2025 Notes, for $81.2 million in cash plus accrued and unpaid interest of approximately $0.2 million. During the year ended December 31, 2023, the Company recognized a gain on the extinguishment of debt of $53.3 million, a loss on the write-off of unamortized debt issuance costs of $3.2 million and incurred debt repayment costs of $1.6 million, all of which are included in interest income/expense, net in the consolidated statements of operations and comprehensive income.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conversion rate of the 2025 Notes is 2.1683 shares of the Company's common stock per $1,000 principal amount of 2025 Notes (which is equivalent to an initial conversion price of approximately $461.19 per share). The conversion rate is subject to adjustment upon the occurrence of certain specified events but will not be adjusted for accrued and unpaid interest. In addition, upon the occurrence of a make-whole fundamental change prior to the maturity of the 2025 Notes or if the Company issues a notice of redemption for the 2025 Notes, the Company will, in certain circumstances, increase the conversion rate by a specified number of additional shares for a holder that elects to convert the 2025 Notes in connection with such make-whole fundamental change or to convert its 2025 Notes called for redemption, as the case may be. Upon conversion, the 2025 Notes will settle for cash, shares of the Company’s stock, or a combination thereof, at the Company’s option. It is the intent of the Company to settle the principal amount of the 2025 Notes in cash and any conversion premium in shares of its common stock.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2025 Notes are the Company’s senior unsecured obligations and rank senior in right of payment to any of the Company’s indebtedness that is expressly subordinated in right of payment to the 2025 Notes; equal in right of payment to any of the Company’s unsecured indebtedness that is not so subordinated; effectively junior in right of payment to any of the Company’s secured indebtedness, including borrowings under the senior secured credit facility, described below, to the extent of the value of the assets securing such indebtedness; and structurally junior to all indebtedness and other liabilities (including trade payables) of the Company’s subsidiaries.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the business day immediately preceding March 13, 2025, the 2025 Notes will be convertible at the option of the holders thereof only under the following circumstances: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during any calendar quarter commencing after the calendar quarter ending on September 30, 2020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during the five business day period after any five consecutive trading day period in which, for each trading day of that period, the trading price (as defined in the 2025 Notes) per $1,000 principal amount of 2025 Notes for such trading day was less than 98% of the product of the last reported sale price of the common stock and the conversion rate on each such trading day;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if the Company calls such 2025 Notes for redemption, at any time prior to the close of business on the scheduled trading day immediately preceding the redemption date, but only with respect to the notes called for redemption; 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upon the occurrence of specified corporate events including but not limited to a fundamental change.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2025 Notes were not entitled to convert the 2025 Notes during the calendar quarter ended December 31, 2023 as the last reported sale price of the Company's common stock, for at least 20 trading days (whether or not consecutive) during the period of 30 consecutive trading days ending on September 30, 2023, was not greater than or equal to 130% of the conversion price of the 2025 Notes on each applicable trading day. Holders of the 2025 Notes are not entitled to convert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2025 Notes during the calendar quarter ended March 31, 2024 as the last reported sale price of the Company's common stock, for at least 20 trading days (whether or not consecutive) during the period of 30 consecutive trading days ending on December 31, 2023, was not greater than or equal to 130% of the conversion price of the 2025 Notes on each applicable trading day.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or after March 13, 2025, until the close of business on the second scheduled trading day immediately preceding the maturity date of the 2025 Notes, holders of the 2025 Notes may convert all or a portion of their 2025 Notes regardless of the foregoing conditions.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could not redeem the remaining 2025 Notes prior to July 20, 2023. On or after July 20, 2023 and before the 41st scheduled trading day immediately before the maturity date, the Company may redeem for cash all or a portion of the 2025 Notes, at its option, if the last reported sale price of the common stock for at least 20 trading days (whether or not consecutive) during the 30 consecutive trading day period (and including the last trading day of such period) ending on, and including the last trading day immediately preceding the date of notice of redemption is greater than or equal to 130% of the conversion price on each applicable trading day. The redemption price will be equal to 100% of the principal amount of the 2025 Notes to be redeemed, plus any accrued and unpaid interest to, but excluding, the redemption date. No sinking fund is provided for the 2025 Notes.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the occurrence of a fundamental change prior to the maturity date of the 2025 Notes, holders of the 2025 Notes may require the Company to repurchase all or a portion of the 2025 Notes for cash at a price equal to 100% of the principal amount of the 2025 Notes to be repurchased, plus any accrued and unpaid interest to, but excluding, the fundamental change repurchase date.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market price per share of the common stock, as measured under the terms of the 2025 Notes, exceeds the conversion price of the 2025 Notes, the 2025 Notes could have a dilutive effect, unless the Company elects, subject to certain conditions, to settle the principal amount of the 2025 Notes and any conversion premium in cash.</w:t>
      </w:r>
    </w:p>
    <w:p>
      <w:pPr>
        <w:pStyle w:val="TextBody"/>
        <w:bidi w:val="0"/>
        <w:spacing w:lineRule="auto" w:line="288" w:before="18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for the Notes After Adoption of ASU 2020-06</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The Company adopted ASU 2020-06 on January 1, 2022 as further described in Note 2—Significant Accounting Policies in the notes to the consolidated financial statements included elsewhere in this report. Following the adoption of ASU 2020-06, the 2025 Notes are recorded as a single unit within liabilities on the consolidated balance sheets as the conversion features within the 2025 Notes are not derivatives that require bifurcation and the 2025 Notes do not involve a substantial premium. Debt issuance costs to issue the 2025 Notes were recorded as a direct deduction from the related liability and amortized to interest expense over the term of Notes. The new guidance also requires the if-converted method to be applied for all convertible instruments when calculating diluted earnings per share.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2—Significant Accounting Policies in the notes to the consolidated financial statements included elsewhere in this report for additional information.</w:t>
      </w:r>
    </w:p>
    <w:p>
      <w:pPr>
        <w:pStyle w:val="TextBody"/>
        <w:bidi w:val="0"/>
        <w:spacing w:lineRule="auto" w:line="288" w:before="18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for the Notes Before Adoption of ASU 2020-06</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measurement of convertible debt instruments that may be settled in cash was separated into a debt and an equity component whereby the debt component was based on the fair value of a similar instrument that does not contain an equity conversion option. The separate components of debt and equity of the Company’s 2025 Notes were determined using an interest rate of 5.30%, which reflects the nonconvertible debt borrowing rate of the Company at the date of issuance. As a result, the initial components of debt and equity were $455.6 million and $119.4 million, respectively. Financing costs related to the issuance of the 2025 Notes were approximately $15.1 million, of which $12.0 million were allocated to the liability component and were being amortized to interest expense over the term of the debt and $3.1 million were allocated to the equity component.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Company recorded interest expense on the 2025 Notes of $4.3 million which consisted of $2.1 million associated with the 0.50% coupon rate and $2.2 million associated with the amortization of the debt issuance costs. During 2022, the Company recorded interest expense on the 2025 Notes of $5.9 million which consisted of $2.9 million associated with the 0.50% coupon rate and $3.0 million associated with the amortization of the debt issuance costs. During 2021, the Company recorded interest expense on the 2025 Notes of $27.2 million which consisted of $2.9 million associated with the 0.50% coupon rate, $22.1 million associated with the accretion of the debt discount, and $2.2 million associated with the amortization of the debt issuance costs. The debt discount was being amortized over the term of the debt prior to the adoption of ASU 2020-06.</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fair value of the 2025 Notes is estimated to be approximately $235.2 million using the Level 1 observable input of the last quoted market price on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rPr>
        <w:t xml:space="preserve">A summary of the gross carrying amount, debt issuance costs, and net carrying value of the liability component of the 2025 Notes, all of which is recorded as a non-current liability in the December 31, 2023 consolidated balance sheet, are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4535" w:type="dxa"/>
        <w:jc w:val="left"/>
        <w:tblInd w:w="0" w:type="dxa"/>
        <w:tblLayout w:type="fixed"/>
        <w:tblCellMar>
          <w:top w:w="28" w:type="dxa"/>
          <w:left w:w="28" w:type="dxa"/>
          <w:bottom w:w="28" w:type="dxa"/>
          <w:right w:w="28" w:type="dxa"/>
        </w:tblCellMar>
      </w:tblPr>
      <w:tblGrid>
        <w:gridCol w:w="705"/>
        <w:gridCol w:w="620"/>
        <w:gridCol w:w="625"/>
        <w:gridCol w:w="211"/>
        <w:gridCol w:w="841"/>
        <w:gridCol w:w="109"/>
        <w:gridCol w:w="211"/>
        <w:gridCol w:w="841"/>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carrying amount</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281,867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567,266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2022 Notes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2017, the Company issued $300.0 million aggregate principal amount of its 0.625% Convertible Senior Notes due June 1, 2022 (the “2022 Notes”) in a private placement. The Company settled the outstanding balance of the 2022 Notes of $169.7 million in cash on June 1, 2022. The initial conversion rate of the 2022 Notes was 4.8163 shares of the Company's common stock per $1,000 principal amount of 2022 Notes (which is equivalent to an initial conversion price of approximately $207.63 per share).</w:t>
      </w:r>
    </w:p>
    <w:p>
      <w:pPr>
        <w:pStyle w:val="TextBody"/>
        <w:bidi w:val="0"/>
        <w:spacing w:lineRule="auto" w:line="288" w:before="0" w:after="12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for the Notes After Adoption of ASU 2020-06</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adopted ASU 2020-06 on January 1, 2022 as further described in Note 2—Significant Accounting Policies in the notes to the consolidated financial statements included elsewhere in this report. Following the adoption of ASU 2020-06, the 2022 Notes are recorded as a single unit within liabilities on the consolidated balance sheets as the conversion features within the 2022 Notes are not derivatives that require bifurcation and the 2022 Notes do not involve a substantial premium. Debt issuance costs to issue the 2022 Notes were recorded as a direct deduction from the related liability and amortized to interest expense over the term of Notes. The new guidance also requires the if-converted method to be applied for all convertible instruments when calculating diluted earnings per share.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2—Significant Accounting Policies in the notes to the consolidated financial statements included elsewhere in this report for additional information.</w:t>
      </w:r>
    </w:p>
    <w:p>
      <w:pPr>
        <w:pStyle w:val="TextBody"/>
        <w:bidi w:val="0"/>
        <w:spacing w:lineRule="auto" w:line="288" w:before="0" w:after="12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for the Notes Before Adoption of ASU 2020-06</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separate components of debt and equity of the Company’s 2022 Notes were determined using an interest rate of 5.36%, which reflects the nonconvertible debt borrowing rate of the Company at the date of issuance. As a result, the initial components of debt and equity were $238.4 million and $61.6 million, respectively. Financing costs related to the issuance of the 2022 Notes were approximately $9.3 million, of which $7.4 million were allocated to the liability component and were being amortized to interest expense over the term of the debt and $1.9 million were allocated to the equity component.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24, 2020, the Company used approximately $234.0 million of the net proceeds from the issuance of the 2025 Notes to repurchase approximately $130.3 million principal amount of the 2022 Notes, including the payment of accrued and unpaid interest of approximately $0.1 million, through separate transactions with certain holders of the 2022 Notes. Of the consideration paid, $126.0 million was allocated to the extinguishment of the liability component of the notes, while the remaining $107.9 million was allocated to the reacquisition of the equity component and recorded as a reduction to additional paid-in capital in the consolidated statement of shareholders’ equity. The Company recognized a loss on debt extinguishment of $7.8 million in the third quarter of 2020.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the Company recorded interest expense on the 2022 Notes of $0.8 million which consisted of $0.4 million associated with the 0.625% coupon rate and $0.4 million associated with the amortization of the debt issuance costs. During 2021, the Company recorded interest expense on the 2022 Notes of $9.5 million which consisted of $1.1 million associated with the 0.625% coupon rate, $7.5 million associated with the accretion of the debt discount, and $0.9 million associated with the amortization of the debt issuance costs. </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Convertible Note Hedge and Warrant Transactions</w:t>
      </w:r>
    </w:p>
    <w:p>
      <w:pPr>
        <w:pStyle w:val="TextBody"/>
        <w:bidi w:val="0"/>
        <w:spacing w:lineRule="auto" w:line="288" w:before="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2020 Hedge and Warrants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24, 2020, in connection with the issuance of the 2025 Notes, the Company entered into Convertible Note Hedge (the “2020 Hedge”) and warrant transactions with respect to the Company’s common stock. The Company used approximately $63.0 million of the net proceeds from the 2025 Notes to pay for the cost of the 2020 Hedge, after such cost was partially offset by the proceeds from the warrant transactions.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24, 2020, the Company paid $124.2 million to the counterparties for the 2020 Hedge transactions. The 2020 Hedge transactions cover 1.2 million shares of the Company’s common stock, the same number of shares initially underlying the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Notes.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On July 24, 2020, the Company received aggregate proceeds of approximately $61.2 million from the sale of the 2020 Warrants.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December 7, 2023 and the March 8, 2023 repurchases of the 2025 Notes noted above, the Company entered into agreements with the counterparties for the 2020 Hedge and 2020 Warrants transactions to terminate a portion of these call spread transactions effective December 7, 2023 and March 8, 2023, respectively, in notional amounts corresponding to the principal amount of the 2025 Notes repurchased. Subsequent to such terminations, the outstanding portion of the 2020 Hedge covers 0.6 million shares of the Company's common stock and the 2020 Warrants to acquire 0.6 million shares of the Company's common stock remain outstanding.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2020 Hedge and 2020 Warrants transactions are indexed to, and potentially settled in, the Company's common stock and the net cost of $63.0 million has been recorded as a reduction to additional paid-in capital in the consolidated statement of shareholders’ equity.</w:t>
      </w:r>
    </w:p>
    <w:p>
      <w:pPr>
        <w:pStyle w:val="TextBody"/>
        <w:bidi w:val="0"/>
        <w:spacing w:lineRule="auto" w:line="288" w:before="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2017 Hedge and Warrants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2017, in connection with the issuance of the 2022 Notes, the Company entered into Convertible Note Hedge (the “2017 Hedge”) and warrant transactions with respect to the Company’s common stock. The Company used approximately $18.1 million of the net proceeds from the 2022 Notes to pay for the cost of the 2017 Hedge, after such cost was partially offset by the proceeds from the warrant transactions.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2017, the Company paid $61.5 million to the counterparties for the 2017 Hedge transactions. The 2017 Hedge transactions initially covered 1.4 million shares of the Company’s common stock, the same number of shares initially underlying the 2022 Notes, and were exercisable upon any conversion of the 2022 Notes. The 2017 Hedge transactions expired on June 1, 2022 upon the maturity of the Notes.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2017, the Company sold to the counterparties, warrants (the “2017 Warrants”) to acquire 1.4 million shares of the Company's common stock at an initial strike price of $266.39 per share, which represented a premium of 70% over the last reported sale price of the common stock of $156.70 on May 24, 2017 receiving proceeds of approximately $43.4 million. The warrants expired on December 12, 2022.</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Credit Facility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15, 2021, the Company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 The proceeds of the Revolving Facility can be used to finance working capital, for general corporate purposes and any other purpose not prohibited by the Credit Agreement. On May 31, 2022 the Company received proceeds of $250.0 million from the Term Loan Facility and, on June 1, 2022, used $170.2 million of the proceeds to settle the Company's 2022 Notes, including interest. The remaining proceeds of $79.8 million may be used for general corporate purposes not prohibited by the Credit Agreement. The Credit Facility replaces the Company's $500.0 million five-year senior secured revolving credit facility (the “Amended Revolving Credit Facility”) which was entered into on December 10, 2019. As of December 31, 2023, the Company had $246.9 million borrowings outstanding under the Term Loan Facility bearing interest at the SOFR option rate of 9.21% and had no borrowings under the Revolving Facility. As of December 31, 2022, the Company had $248.8 million borrowings outstanding under the Term Loan Facility and had no borrowings under the Revolving Facility. As of December 31, 2023, borrowings of $3.1 million under the Term Loan Facility are recorded as current portion of long-term debt on the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full amount of the Revolving Facility will be available on a same-day basis, with respect to base rate loans and upon advance notice with respect to SOFR rate loans, subject to customary terms and conditions. Under certain conditions, the Company will be permitted to add one or more term loans and/or increase revolving or term loan commitments under the Credit Facility by an amount set at the greater of $116.0 million and 100% of consolidated EBITDA (subject to adjustments for certain prepayments), plus an unlimited amount provided that the first lien net leverage ratio does not exceed 3.00 to 1.00. Additionally, up to $20.0 million of the Revolving Facility will be available for the issuance of letters of credit. At each of December 31, 2023 and December 31, 2022, the Company had outstanding one letter of credit issued in the amount of $0.2 million.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borrowings under the Credit Facility bear interest at annual rates that, at the Company’s option, will be either: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base rate generally defined as the sum of (i) the greater of (a) the prime rate of Truist Bank, (b) the federal funds effective rate plus 0.5% and (c) the Benchmark rate (defined below) on a daily basis applicable for an interest period of one month plus 1.0% and (ii) an applicable percentage of 1.25% to 1.75% for loans under the Revolving Facility and 2.75% to 3.00% for loans under the Term Loan Facility, in each case, based on a first lien net leverage ratio; 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Benchmark rate generally defined as the sum of (i) (a) Term SOFR and (b) the related Benchmark replacement adjustment and (ii) an applicable percentage of 2.25% to 2.75% for loans under the Revolving Facility and 3.75% and 4.00% for loans under the Term Loan Facility, in each case, based on a first lien net leverage ratio.</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on the Company’s borrowings is payable quarterly in arrears for base rate loans and on the last day of each interest rate period (but not less often than three months) for SOFR rate loans.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a restrictive financial covenant, which is set at a first lien net leverage ratio of 2.50 to 1.00, except that this may increase by 0.50:1.00 for the four fiscal quarters following a material acquisition. The financial covenant will be tested only if the loans and certain other obligations under the Revolving Facility exceed $20.0 million as of the last date of any fiscal quarter (starting with the fiscal quarter ending on December 31, 2021). In addition, the Credit Facility contains mandatory prepayment events, affirmative and negative covenants and events of default customary for a transaction of this type. The covenants, among other things, restrict additional indebtedness, liens, mergers or certain fundamental changes, asset dispositions, dividends and other restricted payments, transactions with affiliates, loans and investments and other matters customarily restricted in credit agreements of this type. The Company is required to make mandatory prepayments of the outstanding principal amount of loans under the Term Loan Facility with the net cash proceeds from certain disposition of assets and the receipt of insurance proceeds upon certain casualty and condemnation events, in each case, to the extent not reinvested within a specified time period, from excess cash flow beyond stated threshold amounts, and from the incurrence of certain indebtedness. The Company has the right to prepay its term loans under the Credit Agreement, in whole or in part, at any time without premium or penalty, subject to certain limitations and a 1.0% soft call premium applicable during the first six months following the closing date.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all covenants at December 31,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requires the Company and certain of its subsidiaries to pledge as collateral, subject to certain customary exclusions, substantially all of its assets, including 100% of the equity in certain domestic subsidiaries and 65% of the voting equity, and 100% of the non-voting equity, in certain foreign subsidiaries. The obligations under the Credit Facility are unconditionally guaranteed on a senior basis by the Company's material domestic subsidiaries, which guaranties are secured by the collateral.</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Revolving Facility, the Company is required to pay an unused commitment fee quarterly in arrears on the difference between committed amounts and amounts actually borrowed under the Revolving Facility equal to an applicable percentage of 0.25% to 0.50% per annum based on a first lien net leverage ratio. The Company is required to pay a letter of credit participation fee and a letter of credit fronting fee quarterly in arrears. The letter of credit participation fee is based upon the aggregate face amount of outstanding letters of credit at an applicable percentage of 2.25% to 2.75% based on a first lien net leverage ratio. The letter of credit fronting fee is 0.125% per annum on the face amount of each letter of credit.</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Term Loan Facility, the Company is required to pay an unused commitment fee quarterly in arrears on the difference between committed amounts and amounts actually borrowed under the Term Loan Facility equal to an applicable SOFR rate plus an applicable percentage of 3.75% to 4.00% per annum based on a first lien net leverage ratio.</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$1.1 million in additional interest expense in the third quarter of 2021 due to the write-off of certain unamortized debt issuance costs associated with the Amended Revolving Credit Facility. In addition to the remaining unamortized debt issuance costs associated with the Amended Revolving Credit Facility, debt issuance costs of $2.8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related to the Revolving Facility are being amortized to interest expense over the life of the Revolving Facility. Debt issuance costs of $3.5 million related to the Term Loan Facility and the original issue discount $2.5 million paid on the undrawn term loan facility were amortized to interest expense over the delayed draw access period. These deferred costs are included in prepaid and other current assets and other non-current assets in the Company's consolidated balance sheet.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Company recorded interest expense related to its Revolving Facility of $1.5 million which consisted of $0.6 million in unused commitment fees and $0.9 million associated with the amortization of the debt issuance costs. During 2023, the Company recorded interest expense related to the Term Loan Facility of $22.2 million associated with borrowings bearing interest at the LIBO rate during the first six months of 2023 and the SOFR option rate during the last six months of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the Company recorded interest expense related to its Revolving Facility of $1.5 million which consisted of $0.6 million in unused commitment fees and $0.9 million associated with the amortization of the debt issuance costs. During 2022, the Company recorded interest expense related to the Term Loan Facility of $18.2 million which consisted of $9.6 million associated with borrowings bearing interest at the LIBO rate, $5.1 million in unused commitment fees, $2.0 million associated with the amortization of the debt issuance costs, and $1.5 million associated with the amortization of the original issue discount. During 2021, the Company recorded interest expense related to its revolving facilities of $3.4 million which consisted of $2.0 million in unused commitment fees and $1.4 million associated with the amortization of the debt issuance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16—COMMITMENTS</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Bonds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The Company has funding commitments that could potentially require performance in the event of demands by third parties or contingent events,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7169" w:type="dxa"/>
        <w:jc w:val="left"/>
        <w:tblInd w:w="0" w:type="dxa"/>
        <w:tblLayout w:type="fixed"/>
        <w:tblCellMar>
          <w:top w:w="28" w:type="dxa"/>
          <w:left w:w="28" w:type="dxa"/>
          <w:bottom w:w="28" w:type="dxa"/>
          <w:right w:w="28" w:type="dxa"/>
        </w:tblCellMar>
      </w:tblPr>
      <w:tblGrid>
        <w:gridCol w:w="500"/>
        <w:gridCol w:w="438"/>
        <w:gridCol w:w="442"/>
        <w:gridCol w:w="211"/>
        <w:gridCol w:w="616"/>
        <w:gridCol w:w="109"/>
        <w:gridCol w:w="109"/>
        <w:gridCol w:w="109"/>
        <w:gridCol w:w="109"/>
        <w:gridCol w:w="211"/>
        <w:gridCol w:w="616"/>
        <w:gridCol w:w="109"/>
        <w:gridCol w:w="109"/>
        <w:gridCol w:w="109"/>
        <w:gridCol w:w="109"/>
        <w:gridCol w:w="231"/>
        <w:gridCol w:w="445"/>
        <w:gridCol w:w="119"/>
        <w:gridCol w:w="109"/>
        <w:gridCol w:w="109"/>
        <w:gridCol w:w="109"/>
        <w:gridCol w:w="231"/>
        <w:gridCol w:w="445"/>
        <w:gridCol w:w="119"/>
        <w:gridCol w:w="109"/>
        <w:gridCol w:w="109"/>
        <w:gridCol w:w="109"/>
        <w:gridCol w:w="279"/>
        <w:gridCol w:w="537"/>
        <w:gridCol w:w="203"/>
      </w:tblGrid>
      <w:tr>
        <w:trPr/>
        <w:tc>
          <w:tcPr>
            <w:tcW w:w="5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Commitments Due By Period</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More Than</w:t>
              <w:br/>
              <w:t>5 years</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Surety bonds </w:t>
            </w:r>
            <w:r>
              <w:rPr>
                <w:rFonts w:ascii="Times New Roman;sans-serif" w:hAnsi="Times New Roman;sans-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State laws and regulations generally require businesses which engage in mortgage brokering activity to maintain a mortgage broker or similar license. Mortgage brokering activity is generally defined to include, among other things, receiving valuable consideration for offering assistance to a buyer in obtaining a residential mortgage or soliciting financial and mortgage information from the public and providing that information to an originator of residential mortgage loans. The Company maintains surety bonds in all states requiring them in the event of a claim.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17—CONTINGENCIES</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17, unless otherwise indicated, the Company is unable to estimate the possible loss or range of losses that could potentially result from the application of such non-monetary remedies.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As of December 31, 2023 and 2022, the Company had litigation settlement accruals of $0.6 million and $0.1 million, respectively. The litigation settlement accruals relate to litigation matters that were either settled or a firm offer for settlement was extended, thereby establishing an accrual amount that is both probable and reasonably estimable.</w:t>
      </w:r>
      <w:r>
        <w:rPr>
          <w:color w:val="000000"/>
        </w:rPr>
        <w:t xml:space="preserve">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21—Discontinued Operations in the notes to the consolidated financial statements included elsewhere in this report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18—FAIR VALUE MEASUREMENTS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Other than the convertible notes and warrants, and the equity investments, the carrying amounts of the Company's financial instruments are equal to fair value at December 31, 2023.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 xml:space="preserve">Note 15—Debt for additional information on the convertible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20"/>
        <w:jc w:val="both"/>
        <w:rPr/>
      </w:pPr>
      <w:r>
        <w:rPr>
          <w:rFonts w:ascii="Times New Roman;sans-serif" w:hAnsi="Times New Roman;sans-serif"/>
          <w:b w:val="false"/>
          <w:color w:val="000000"/>
          <w:sz w:val="20"/>
        </w:rPr>
        <w:t xml:space="preserve">notes and warrants, and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Note 8—Equity Investments in the notes to the consolidated financial statements included elsewhere in this report for additional information on the equity investments.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Contingent consideration payments related to acquisitions are measured at fair value each reporting period using Level 3 unobservable inputs. There were no changes in the fair value of the Company's Level 3 liabilities during the years ended December 31, 2023 and 2022 and the changes for the year ended December 31, 2021 are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7511" w:type="dxa"/>
        <w:jc w:val="left"/>
        <w:tblInd w:w="0" w:type="dxa"/>
        <w:tblLayout w:type="fixed"/>
        <w:tblCellMar>
          <w:top w:w="28" w:type="dxa"/>
          <w:left w:w="28" w:type="dxa"/>
          <w:bottom w:w="28" w:type="dxa"/>
          <w:right w:w="28" w:type="dxa"/>
        </w:tblCellMar>
      </w:tblPr>
      <w:tblGrid>
        <w:gridCol w:w="1862"/>
        <w:gridCol w:w="1639"/>
        <w:gridCol w:w="1643"/>
        <w:gridCol w:w="109"/>
        <w:gridCol w:w="109"/>
        <w:gridCol w:w="109"/>
        <w:gridCol w:w="437"/>
        <w:gridCol w:w="1281"/>
        <w:gridCol w:w="322"/>
      </w:tblGrid>
      <w:tr>
        <w:trPr/>
        <w:tc>
          <w:tcPr>
            <w:tcW w:w="1862"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Contingent consideration,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into 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out of 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losses included in earnings (realized and unrealized)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sales and 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Contingent consideration,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contingent consideration liability at December 31, 2023 or 2022 because the final earnout period for the QuoteWizard acquisition ended on October 31,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19—RELATED PARTY TRANSACTIONS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2017, the Company's Board of Directors approved a $10.0 million contribution to fund the newly formed LendingTree Foundation. In each of 2020 and 2019, the Company paid $3.3 million of the $10.0 million contribution, and paid the final installment in 2022. In the fourth quarter of 2022, the Company's Board of Directors approved an additional $0.5 million contribution to the LendingTree Foundation that the Company paid in 2023. Officers of the Company serve as officers of the LendingTree Foundation.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20—BENEFIT PLANS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a retirement savings plan for its employees in the United States that is qualified under Section 401(k) of the Internal Revenue Code. Employees are eligible to enroll in the plan upon date of hire. Participating employees may contribute up to 50% of their pre-tax earnings, but not more than statutory limits ($22,500 for 2023, $20,500 for 2022, and $19,500 for 2021). The company match contribution is fifty cents for each dollar a participant contributes to the plan, with a maximum contribution of 6% of a participant's eligible earnings. Matching contributions are invested in the same manner as each participant's voluntary contributions in the investment options provided under the plan. LendingTree stock is not included in the available investment options or the plan assets. Funds contributed to the plan vest according to the participant's years of service, with one year of service vesting at 33%, two years of service vesting at 66%, and three years or more of service vesting at 100%. Matching contributions were approximately $2.2 million, $2.8 million and $2.9 million for the years ended December 31, 2023, 2022 and 2021,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21—DISCONTINUED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LendingTree Loans Business is presented as discontinued operations in the accompanying consolidated financial statements. The LendingTree Loans Business originated various consumer mortgage loans through HLC. On June 6, 2012, the Company sold substantially all of the operating assets of HLC, including the LendingTree Loans Business, to a wholly-owned subsidiary of Discover Financial Services (“Discover”). Discover generally did not assume liabilities of HLC that arose before the closing date, except for certain liabilities directly related to assets Discover acquired.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closing of the sale of substantially all of the operating assets of HLC on June 6, 2012, HLC ceased to originate consumer loans. Certain liability for losses on previously sold loans remained with HLC.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Litigation settlements and contingencies and legal fees associated with related bankruptcy and legal proceedings against the Company are included in discontinued operations in the accompanying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Home Loan Center, Inc. Bankruptcy Filing</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On June 21, 2019, the U.S. District Court of Minnesota entered judgment in </w:t>
      </w:r>
      <w:r>
        <w:rPr>
          <w:rFonts w:ascii="Times New Roman;sans-serif" w:hAnsi="Times New Roman;sans-serif"/>
          <w:b w:val="false"/>
          <w:i/>
          <w:color w:val="000000"/>
          <w:sz w:val="20"/>
        </w:rPr>
        <w:t>ResCap Liquidating Trust v. Home Loan Center, Inc.</w:t>
      </w:r>
      <w:r>
        <w:rPr>
          <w:rFonts w:ascii="Times New Roman;sans-serif" w:hAnsi="Times New Roman;sans-serif"/>
          <w:b w:val="false"/>
          <w:color w:val="000000"/>
          <w:sz w:val="20"/>
        </w:rPr>
        <w:t xml:space="preserve">, against HLC for $68.5 million,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 xml:space="preserve">Litigation Related to Discontinued Operations below. The judgment against HLC exceeded the assets of HLC, which were $11.2 million at July 21, 2019, including cash of $5.9 million.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2019, at the direction of the sole independent director of HLC, HLC voluntarily filed a petition under Chapter 11 of the United States Bankruptcy Code (the “Bankruptcy Code”) with the U.S. Bankruptcy Court in the Northern District of California in San Jose, California (the “Bankruptcy Court”) in order to preserve assets for the benefit of all creditors of HLC. On September 16, 2019, the Bankruptcy Court converted the bankruptcy to Chapter 7 of the Bankruptcy Code and appointed a Trustee to liquidate HLC's assets.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voluntary petition, LendingTree, LLC was, as of the initial July 21, 2019 bankruptcy petition filing date, no longer deemed to have a controlling interest in HLC under applicable accounting standards. As a result, HLC and its consolidated subsidiary were deconsolidated from the Company’s consolidated financial statements as of July 21, 2019. The effect of such deconsolidation was the elimination of the consolidated assets and liabilities of HLC (and its consolidated subsidiary) from the Company’s consolidated balance sheets.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its bankruptcy, HLC indicated that it believed that it had claims against HLC’s sole shareholder, LendingTree, LLC, and certain of its officers and directors, relating to the declaration of a dividend by HLC in January 2016 of $40.0 million. In 2020, LendingTree, LLC and HLC entered into a settlement agreement in the amount of $36.0 million for the release of any and all claims against the Company defendants by HLC, including the dividend claim. The Bankruptcy Court approved the settlement on July 16, 2020. The $36.0 million settlement payment was made in the third quarter of 2020.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HLC bankruptcy, a bar date for claims against HLC was set, establishing a deadline for all HLC’s creditors to assert any claim they may have had against HLC. Distributions were made to holders of allowed claims deemed timely filed. After all distributions to creditors were made and HLC’s Chapter 7 bankruptcy estate was fully administered, the HLC bankruptcy case was closed on July 14, 2021.</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Litigation Related to Discontinued Operations</w:t>
      </w:r>
    </w:p>
    <w:p>
      <w:pPr>
        <w:pStyle w:val="TextBody"/>
        <w:bidi w:val="0"/>
        <w:spacing w:lineRule="auto" w:line="288" w:before="24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Residential Funding Company</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 xml:space="preserve">ResCap Liquidating Trust v. Home Loan Center, Inc., Case No. 14-cv-1716 (U.S. Dist. Ct., Minn.), </w:t>
      </w:r>
      <w:r>
        <w:rPr>
          <w:rFonts w:ascii="Times New Roman;sans-serif" w:hAnsi="Times New Roman;sans-serif"/>
          <w:b w:val="false"/>
          <w:color w:val="000000"/>
          <w:sz w:val="20"/>
        </w:rPr>
        <w:t>successor to</w:t>
      </w:r>
      <w:r>
        <w:rPr>
          <w:color w:val="000000"/>
        </w:rPr>
        <w:t xml:space="preserve"> </w:t>
      </w:r>
      <w:r>
        <w:rPr>
          <w:rFonts w:ascii="Times New Roman;sans-serif" w:hAnsi="Times New Roman;sans-serif"/>
          <w:b w:val="false"/>
          <w:i/>
          <w:color w:val="000000"/>
          <w:sz w:val="20"/>
        </w:rPr>
        <w:t>Residential Funding Company, LLC v Home Loan Center, Inc., No. 13-cv-3451 (U.S. Dist. Ct., Minn.).</w:t>
      </w:r>
      <w:r>
        <w:rPr>
          <w:color w:val="000000"/>
        </w:rPr>
        <w:t xml:space="preserve"> </w:t>
      </w:r>
      <w:r>
        <w:rPr>
          <w:rFonts w:ascii="Times New Roman;sans-serif" w:hAnsi="Times New Roman;sans-serif"/>
          <w:b w:val="false"/>
          <w:color w:val="000000"/>
          <w:sz w:val="20"/>
        </w:rPr>
        <w:t>On or about December 16, 2013, Home Loan Center, Inc. was served in the original captioned matter, which involves claims of Residential Funding Company, LLC (“RFC”) for damages for breach of contract and indemnification for certain residential mortgage loans as well as residential mortgage-backed securitizations (“RMBS”) containing mortgage loans. Plaintiff then alleged that, after RFC filed for Chapter 11 protection, hundreds of proofs of claim were filed, many of which mirrored the litigation filed against RFC prior to its bankruptcy. It filed substantially similar complaints against approximately 80 of the loan originators from whom RFC had purchased loans, including HLC. In 2019, the U.S. District Court of Minnesota entered a judgment against HLC. S</w:t>
      </w:r>
      <w:r>
        <w:rPr>
          <w:rFonts w:ascii="Times New Roman;sans-serif" w:hAnsi="Times New Roman;sans-serif"/>
          <w:b w:val="false"/>
          <w:i/>
          <w:color w:val="000000"/>
          <w:sz w:val="20"/>
        </w:rPr>
        <w:t>ee</w:t>
      </w:r>
      <w:r>
        <w:rPr>
          <w:color w:val="000000"/>
        </w:rPr>
        <w:t xml:space="preserve"> </w:t>
      </w:r>
      <w:r>
        <w:rPr>
          <w:rFonts w:ascii="Times New Roman;sans-serif" w:hAnsi="Times New Roman;sans-serif"/>
          <w:b w:val="false"/>
          <w:color w:val="000000"/>
          <w:sz w:val="20"/>
        </w:rPr>
        <w:t>Home Loan Center, Inc. Bankruptcy Filing above.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HLC’s filing under the Bankruptcy Code discussed above in Home Loan Center, Inc. Bankruptcy Filing created an automatic stay of enforcement of the judgment entered against HLC. On August 27, 2019, plaintiff filed a lawsuit captioned</w:t>
      </w:r>
      <w:r>
        <w:rPr>
          <w:color w:val="000000"/>
        </w:rPr>
        <w:t xml:space="preserve"> </w:t>
      </w:r>
      <w:r>
        <w:rPr>
          <w:rFonts w:ascii="Times New Roman;sans-serif" w:hAnsi="Times New Roman;sans-serif"/>
          <w:b w:val="false"/>
          <w:i/>
          <w:color w:val="000000"/>
          <w:sz w:val="20"/>
        </w:rPr>
        <w:t>ResCap Liquidating Trust v. LendingTree, LLC, et al., Case No. 19-cv-2360 (U.S. Dist. Ct., Minn.)</w:t>
      </w:r>
      <w:r>
        <w:rPr>
          <w:rFonts w:ascii="Times New Roman;sans-serif" w:hAnsi="Times New Roman;sans-serif"/>
          <w:b w:val="false"/>
          <w:color w:val="000000"/>
          <w:sz w:val="20"/>
        </w:rPr>
        <w:t xml:space="preserve">, seeking to hold the Company liable for the judgment against HLC. In June 2020, the Company entered into a settlement with ResCap, pursuant to which, the Company agreed to, among other things, pay ResCap $58.5 million, less any amounts ResCap receives in the HLC bankruptcy. In the third and fourth quarters of 2020, the Company made payments of $26.5 million and $6.4 million, respectively, to the ResCap Liquidating Trust and the ResCap Liquidating Trust, in turn, assigned its allowed claims against HLC to the Company. In the second quarter of 2021, the Company received $8.6 million related to these amounts, from the final distributions in the HLC bankruptcy on account of the allowed claims that the ResCap Liquidating Trust had assigned to the Company. </w:t>
      </w:r>
    </w:p>
    <w:p>
      <w:pPr>
        <w:pStyle w:val="TextBody"/>
        <w:bidi w:val="0"/>
        <w:spacing w:lineRule="auto" w:line="288" w:before="24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Lehman Brothers Holdings, Inc.</w:t>
      </w:r>
    </w:p>
    <w:p>
      <w:pPr>
        <w:pStyle w:val="TextBody"/>
        <w:bidi w:val="0"/>
        <w:spacing w:lineRule="auto" w:line="288" w:before="0" w:after="120"/>
        <w:ind w:left="0" w:right="0" w:firstLine="360"/>
        <w:jc w:val="both"/>
        <w:rPr/>
      </w:pPr>
      <w:r>
        <w:rPr>
          <w:rFonts w:ascii="Times New Roman;sans-serif" w:hAnsi="Times New Roman;sans-serif"/>
          <w:b w:val="false"/>
          <w:i/>
          <w:color w:val="000000"/>
          <w:sz w:val="20"/>
        </w:rPr>
        <w:t>Lehman Brothers Holdings Inc. v. 1st Advantage Mortgage, LLC et al., Case No. 08-13555 (SCC), Adversary Proceeding No. 16-01342 (SCC) (Bankr. S.D.N.Y.).</w:t>
      </w:r>
      <w:r>
        <w:rPr>
          <w:color w:val="000000"/>
        </w:rPr>
        <w:t xml:space="preserve"> </w:t>
      </w:r>
      <w:r>
        <w:rPr>
          <w:rFonts w:ascii="Times New Roman;sans-serif" w:hAnsi="Times New Roman;sans-serif"/>
          <w:b w:val="false"/>
          <w:color w:val="000000"/>
          <w:sz w:val="20"/>
        </w:rPr>
        <w:t xml:space="preserve">In February 2016, Lehman Brothers Holdings, Inc. (“LBHI”) filed an Adversary Complaint against HLC and approximately 149 other defendants (the “Complaint”).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HLC’s filing under the Bankruptcy Code discussed above in Home Loan Center, Inc. Bankruptcy Filing created an automatic stay of this proceeding. On June 11, 2020, LBHI filed a lawsuit captioned </w:t>
      </w:r>
      <w:r>
        <w:rPr>
          <w:rFonts w:ascii="Times New Roman;sans-serif" w:hAnsi="Times New Roman;sans-serif"/>
          <w:b w:val="false"/>
          <w:i/>
          <w:color w:val="000000"/>
          <w:sz w:val="20"/>
        </w:rPr>
        <w:t>Lehman Brothers Holdings Inc. v. LendingTree, LLC, et al., Case No. 20-cv-01351 (U.S. Dist. Ct., Minn.)</w:t>
      </w:r>
      <w:r>
        <w:rPr>
          <w:rFonts w:ascii="Times New Roman;sans-serif" w:hAnsi="Times New Roman;sans-serif"/>
          <w:b w:val="false"/>
          <w:color w:val="000000"/>
          <w:sz w:val="20"/>
        </w:rPr>
        <w:t>, seeking to hold the Company liable for their allowed bankruptcy claim of $13.3 million. In July 2021, the Company entered into a settlement with LBHI, which payment was made in the third quarter of 2021.</w:t>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Financial Information of Discontinued Operations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components of net loss reported as discontinued operations in the accompanying consolidated statements of operations and comprehensive income (loss) are as follows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4540" w:type="dxa"/>
        <w:jc w:val="left"/>
        <w:tblInd w:w="0" w:type="dxa"/>
        <w:tblLayout w:type="fixed"/>
        <w:tblCellMar>
          <w:top w:w="28" w:type="dxa"/>
          <w:left w:w="28" w:type="dxa"/>
          <w:bottom w:w="28" w:type="dxa"/>
          <w:right w:w="28" w:type="dxa"/>
        </w:tblCellMar>
      </w:tblPr>
      <w:tblGrid>
        <w:gridCol w:w="784"/>
        <w:gridCol w:w="693"/>
        <w:gridCol w:w="697"/>
        <w:gridCol w:w="109"/>
        <w:gridCol w:w="109"/>
        <w:gridCol w:w="109"/>
        <w:gridCol w:w="407"/>
        <w:gridCol w:w="1335"/>
        <w:gridCol w:w="297"/>
      </w:tblGrid>
      <w:tr>
        <w:trPr/>
        <w:tc>
          <w:tcPr>
            <w:tcW w:w="78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ind w:left="0" w:right="0" w:hanging="450"/>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(4,023)</w:t>
            </w:r>
          </w:p>
        </w:tc>
        <w:tc>
          <w:tcPr>
            <w:tcW w:w="2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discontinued operations include litigation settlements and contingencies and legal fees associated with legal proceedings against LendingTree, Inc. or LendingTree, LLC that arose due to the LendingTree Loans Business or the HLC bankruptcy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22—SEGMENT INFORMATION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CODM for the purpose of assessing performance and allocating resources.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Home segment includes the following products: purchase mortgage, refinance mortgage, and home equity loans and lines of credit. We ceased offering reverse mortgage loans in the fourth quarter of 2022. The Consumer segment includes the following products: credit cards, personal loans, small business loans, student loans, auto loans, deposit accounts, and other credit products such as credit repair and debt settlement. The credit repair business was closed at the end of the second quarter of 2023. The Insurance segment consists of insurance quote products and sales of insurance policies in our agency businesses.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are a reconciliation of segment profit, which is the Company's primary segment profitability measure, to income before income taxes and discontinued operations. Segment cost of revenue and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 </w:t>
      </w:r>
    </w:p>
    <w:p>
      <w:pPr>
        <w:pStyle w:val="TextBody"/>
        <w:bidi w:val="0"/>
        <w:spacing w:before="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8535" w:type="dxa"/>
        <w:jc w:val="left"/>
        <w:tblInd w:w="0" w:type="dxa"/>
        <w:tblLayout w:type="fixed"/>
        <w:tblCellMar>
          <w:top w:w="28" w:type="dxa"/>
          <w:left w:w="28" w:type="dxa"/>
          <w:bottom w:w="28" w:type="dxa"/>
          <w:right w:w="28" w:type="dxa"/>
        </w:tblCellMar>
      </w:tblPr>
      <w:tblGrid>
        <w:gridCol w:w="1272"/>
        <w:gridCol w:w="1118"/>
        <w:gridCol w:w="1135"/>
        <w:gridCol w:w="196"/>
        <w:gridCol w:w="736"/>
        <w:gridCol w:w="109"/>
        <w:gridCol w:w="196"/>
        <w:gridCol w:w="736"/>
        <w:gridCol w:w="109"/>
        <w:gridCol w:w="196"/>
        <w:gridCol w:w="736"/>
        <w:gridCol w:w="109"/>
        <w:gridCol w:w="196"/>
        <w:gridCol w:w="421"/>
        <w:gridCol w:w="109"/>
        <w:gridCol w:w="196"/>
        <w:gridCol w:w="811"/>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Home</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Insurance</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cost of revenue and marketing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 profit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47,882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138,877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103,504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289,754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Brand and other marketing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development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severance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settlements and contingencies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(40,611)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before income taxes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(124,919)</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60" w:type="dxa"/>
        <w:jc w:val="center"/>
        <w:tblInd w:w="0" w:type="dxa"/>
        <w:tblLayout w:type="fixed"/>
        <w:tblCellMar>
          <w:top w:w="28" w:type="dxa"/>
          <w:left w:w="28" w:type="dxa"/>
          <w:bottom w:w="28" w:type="dxa"/>
          <w:right w:w="28" w:type="dxa"/>
        </w:tblCellMar>
      </w:tblPr>
      <w:tblGrid>
        <w:gridCol w:w="1272"/>
        <w:gridCol w:w="1118"/>
        <w:gridCol w:w="1135"/>
        <w:gridCol w:w="196"/>
        <w:gridCol w:w="736"/>
        <w:gridCol w:w="109"/>
        <w:gridCol w:w="196"/>
        <w:gridCol w:w="736"/>
        <w:gridCol w:w="109"/>
        <w:gridCol w:w="196"/>
        <w:gridCol w:w="736"/>
        <w:gridCol w:w="109"/>
        <w:gridCol w:w="196"/>
        <w:gridCol w:w="421"/>
        <w:gridCol w:w="109"/>
        <w:gridCol w:w="196"/>
        <w:gridCol w:w="73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Home</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Insurance</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cost of revenue and marketing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 profit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103,084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174,578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91,834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368,941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Brand and other marketing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development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severance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settlements and contingencies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(32,762)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before income taxes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(54,933)</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9540" w:type="dxa"/>
        <w:jc w:val="center"/>
        <w:tblInd w:w="0" w:type="dxa"/>
        <w:tblLayout w:type="fixed"/>
        <w:tblCellMar>
          <w:top w:w="28" w:type="dxa"/>
          <w:left w:w="28" w:type="dxa"/>
          <w:bottom w:w="28" w:type="dxa"/>
          <w:right w:w="28" w:type="dxa"/>
        </w:tblCellMar>
      </w:tblPr>
      <w:tblGrid>
        <w:gridCol w:w="1613"/>
        <w:gridCol w:w="1418"/>
        <w:gridCol w:w="1439"/>
        <w:gridCol w:w="196"/>
        <w:gridCol w:w="736"/>
        <w:gridCol w:w="109"/>
        <w:gridCol w:w="196"/>
        <w:gridCol w:w="736"/>
        <w:gridCol w:w="109"/>
        <w:gridCol w:w="196"/>
        <w:gridCol w:w="736"/>
        <w:gridCol w:w="109"/>
        <w:gridCol w:w="196"/>
        <w:gridCol w:w="421"/>
        <w:gridCol w:w="109"/>
        <w:gridCol w:w="196"/>
        <w:gridCol w:w="871"/>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Home</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Insurance</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cost of revenue and marketing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153,352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143,497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113,464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410,366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Brand and other marketing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development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consideration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and severance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settlements and contingencies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8,031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 and discontinued operations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84,436</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CODM does not review information on segment assets and as such, no segment asset information is reported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LENDINGTREE,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23—RESTRUCTURING ACTIVITIES</w:t>
      </w:r>
    </w:p>
    <w:p>
      <w:pPr>
        <w:pStyle w:val="TextBody"/>
        <w:bidi w:val="0"/>
        <w:spacing w:lineRule="auto" w:line="288"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September 2023, the Company initiated workforce reductions of 14 employees. The Company incurred approximately $0.9 million in severance charges in connection with the workforce reductions, consisting of cash expenditures for employee separation costs of approximately $0.7 million and non-cash charges for the accelerated vesting of certain equity awards of approximately $0.2 million. The cash payments are expected to be substantially completed by the third quarter of 2024.</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6, 2023, the Company made the decision to close the Ovation credit services business ( the "Ovation Closure".) The Ovation Closure includes the elimination of approximately 197 employees, or 18%, of the Company's current workforce. As a result of the Ovation Closure, the Company incurred $2.1 million in restructuring expense in connection with cash expenditures for employee separation costs. The Ovation Closure, including cash payments, is expected to be completed by the first quarter of 2024.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2023, the Company committed to a workforce reduction plan (the “Reduction Plan”), to reduce operating costs. The Reduction Plan includes the elimination of approximately 162 employees, or 13%, of the Company’s current workforce. As a result of the Reduction Plan, the Company incurred approximately $5.3 million in severance charges in connection with the workforce reduction, consisting of cash expenditures for employee separation costs of approximately $4.3 million and non-cash charges for the accelerated vesting of certain equity awards of approximately $1.0 million. The Reduction Plan, including cash payments, is expected to be substantially completed by the end of the second quarter of 2024.</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the Company completed workforce reductions in each of the first, second, and fourth quarters of approximately 75 employees, 25 employees, and 50 employees, respectively. The Company incurred total expense in 2022 of $4.4 million consisting of employee separation costs of $3.3 million and non-cash compensation expense of $1.1 million due to the accelerated vesting of certain equity awards. All employee separation costs for 2022 actions were paid by the end of 2023. </w:t>
      </w:r>
    </w:p>
    <w:tbl>
      <w:tblPr>
        <w:tblW w:w="10205" w:type="dxa"/>
        <w:jc w:val="left"/>
        <w:tblInd w:w="0" w:type="dxa"/>
        <w:tblLayout w:type="fixed"/>
        <w:tblCellMar>
          <w:top w:w="28" w:type="dxa"/>
          <w:left w:w="28" w:type="dxa"/>
          <w:bottom w:w="28" w:type="dxa"/>
          <w:right w:w="28" w:type="dxa"/>
        </w:tblCellMar>
      </w:tblPr>
      <w:tblGrid>
        <w:gridCol w:w="904"/>
        <w:gridCol w:w="612"/>
        <w:gridCol w:w="604"/>
        <w:gridCol w:w="589"/>
        <w:gridCol w:w="1346"/>
        <w:gridCol w:w="306"/>
        <w:gridCol w:w="349"/>
        <w:gridCol w:w="1046"/>
        <w:gridCol w:w="180"/>
        <w:gridCol w:w="211"/>
        <w:gridCol w:w="668"/>
        <w:gridCol w:w="109"/>
        <w:gridCol w:w="211"/>
        <w:gridCol w:w="668"/>
        <w:gridCol w:w="109"/>
        <w:gridCol w:w="569"/>
        <w:gridCol w:w="1299"/>
        <w:gridCol w:w="425"/>
      </w:tblGrid>
      <w:tr>
        <w:trPr/>
        <w:tc>
          <w:tcPr>
            <w:tcW w:w="90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2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Accrued Balance at December 31, 2022</w:t>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Statement Impact</w:t>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w:t>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Non-Cash</w:t>
            </w:r>
          </w:p>
        </w:tc>
        <w:tc>
          <w:tcPr>
            <w:tcW w:w="2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Accrued Balance at December 31, 2023</w:t>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Q3 2023 action</w:t>
            </w:r>
          </w:p>
        </w:tc>
        <w:tc>
          <w:tcPr>
            <w:tcW w:w="2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separation payments</w:t>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Q2 2023 action</w:t>
            </w:r>
          </w:p>
        </w:tc>
        <w:tc>
          <w:tcPr>
            <w:tcW w:w="2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separation payments</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Q1 2023 action</w:t>
            </w:r>
          </w:p>
        </w:tc>
        <w:tc>
          <w:tcPr>
            <w:tcW w:w="2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separation payments</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w:t>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 action</w:t>
            </w:r>
          </w:p>
        </w:tc>
        <w:tc>
          <w:tcPr>
            <w:tcW w:w="2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separation payments</w:t>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304</w:t>
            </w:r>
            <w:r>
              <w:rPr>
                <w:color w:val="000000"/>
              </w:rPr>
              <w:t> </w:t>
            </w:r>
          </w:p>
        </w:tc>
        <w:tc>
          <w:tcPr>
            <w:tcW w:w="30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8,283</w:t>
            </w:r>
            <w:r>
              <w:rPr>
                <w:color w:val="000000"/>
              </w:rPr>
              <w:t> </w:t>
            </w:r>
          </w:p>
        </w:tc>
        <w:tc>
          <w:tcPr>
            <w:tcW w:w="18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(6,607)</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(1,271)</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9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709</w:t>
            </w:r>
            <w:r>
              <w:rPr>
                <w:color w:val="000000"/>
              </w:rPr>
              <w:t> </w:t>
            </w:r>
          </w:p>
        </w:tc>
        <w:tc>
          <w:tcPr>
            <w:tcW w:w="42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79"/>
        <w:gridCol w:w="652"/>
        <w:gridCol w:w="631"/>
        <w:gridCol w:w="640"/>
        <w:gridCol w:w="1230"/>
        <w:gridCol w:w="333"/>
        <w:gridCol w:w="356"/>
        <w:gridCol w:w="1066"/>
        <w:gridCol w:w="184"/>
        <w:gridCol w:w="211"/>
        <w:gridCol w:w="669"/>
        <w:gridCol w:w="109"/>
        <w:gridCol w:w="211"/>
        <w:gridCol w:w="669"/>
        <w:gridCol w:w="109"/>
        <w:gridCol w:w="560"/>
        <w:gridCol w:w="1278"/>
        <w:gridCol w:w="418"/>
      </w:tblGrid>
      <w:tr>
        <w:trPr/>
        <w:tc>
          <w:tcPr>
            <w:tcW w:w="87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 Balance at December 31, 2021</w:t>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Statement Impact</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Non-Cash</w:t>
            </w:r>
          </w:p>
        </w:tc>
        <w:tc>
          <w:tcPr>
            <w:tcW w:w="2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 Balance at December 31, 2022</w:t>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 actions</w:t>
            </w:r>
          </w:p>
        </w:tc>
        <w:tc>
          <w:tcPr>
            <w:tcW w:w="2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separation payments</w:t>
            </w:r>
          </w:p>
        </w:tc>
        <w:tc>
          <w:tcPr>
            <w:tcW w:w="6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w:t>
            </w:r>
          </w:p>
        </w:tc>
        <w:tc>
          <w:tcPr>
            <w:tcW w:w="1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3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4,428</w:t>
            </w:r>
            <w:r>
              <w:rPr>
                <w:color w:val="000000"/>
              </w:rPr>
              <w:t> </w:t>
            </w:r>
          </w:p>
        </w:tc>
        <w:tc>
          <w:tcPr>
            <w:tcW w:w="18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(3,041)</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(1,083)</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7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304</w:t>
            </w:r>
            <w:r>
              <w:rPr>
                <w:color w:val="000000"/>
              </w:rPr>
              <w:t> </w:t>
            </w:r>
          </w:p>
        </w:tc>
        <w:tc>
          <w:tcPr>
            <w:tcW w:w="41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300" w:after="283"/>
        <w:jc w:val="left"/>
        <w:rPr/>
      </w:pPr>
      <w:r>
        <w:rPr>
          <w:rFonts w:ascii="Times New Roman;sans-serif" w:hAnsi="Times New Roman;sans-serif"/>
          <w:b/>
          <w:color w:val="000000"/>
          <w:sz w:val="20"/>
        </w:rPr>
        <w:t>ITEM 9.  </w:t>
      </w:r>
      <w:r>
        <w:rPr>
          <w:rFonts w:ascii="Times New Roman;sans-serif" w:hAnsi="Times New Roman;sans-serif"/>
          <w:b/>
          <w:i/>
          <w:color w:val="000000"/>
          <w:sz w:val="20"/>
        </w:rPr>
        <w:t>Changes in and Disagreements With Accountants on Accounting and Financial Disclosure</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ans-serif" w:hAnsi="Times New Roman;sans-serif"/>
          <w:b/>
          <w:color w:val="000000"/>
          <w:sz w:val="20"/>
        </w:rPr>
        <w:t>ITEM 9A.  </w:t>
      </w:r>
      <w:r>
        <w:rPr>
          <w:rFonts w:ascii="Times New Roman;sans-serif" w:hAnsi="Times New Roman;sans-serif"/>
          <w:b/>
          <w:i/>
          <w:color w:val="000000"/>
          <w:sz w:val="20"/>
        </w:rPr>
        <w:t>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of the Exchange Act, management, with the participation of our principal executive officer (Chief Executive Officer) and our principal financial officer (Chief Financial Officer), evaluated, as of the end of the period covered by this report, the effectiveness of our disclosure controls and procedures as defined in Exchange Act Rule 13a-15(e). Management necessarily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that evaluation, our Chief Executive Officer and Chief Financial Officer concluded that, as of December 31, 2023,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(1) pertain to the maintenance of records that in reasonable detail accurately and fairly reflect our transactions and dispositions of our assets; (2) provide reasonable assurance that transactions are recorded as necessary to permit preparation of financial statements in accordance with GAAP and that our receipts and expenditures are being made only in accordance with authorizations of our management and our directors; and (3)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with the participation of our Chief Executive Officer and Chief Financial Officer, assessed the effectiveness of our internal control over financial reporting as of December 31, 2023. In making this assessment, our management used the criteria for effective internal control over financial reporting described in “Internal Control-Integrated Framework” (2013) issued by the Committee of Sponsoring Organizations of the Treadway Commission (“COSO”). Based on our evaluation under the framework in the Internal Control-Integrated Framework, issued by the COSO, management has concluded that our internal control over financial reporting was effective as of December 31, 2023. The effectiveness of our internal control over financial reporting as of December 31, 2023 has been audited by PricewaterhouseCoopers LLP, an independent registered public accounting firm, as stated in their attestation report appearing under “Item 8. Financial Statements and Supplementary Data” included elsewhere in this annual report.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defined in the Exchange Act, Rules 13a-15(f)) that occurred during the quarter ended December 31,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ans-serif" w:hAnsi="Times New Roman;sans-serif"/>
          <w:b/>
          <w:color w:val="000000"/>
          <w:sz w:val="20"/>
        </w:rPr>
        <w:t>ITEM 9B.  </w:t>
      </w:r>
      <w:r>
        <w:rPr>
          <w:rFonts w:ascii="Times New Roman;sans-serif" w:hAnsi="Times New Roman;sans-serif"/>
          <w:b/>
          <w:i/>
          <w:color w:val="000000"/>
          <w:sz w:val="20"/>
        </w:rPr>
        <w:t>Other Information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quarter ended December 31, 2023, none of the Company's directors or executive officers adopted or terminated any contract, instruction or written plan for the purchase or sale of Company securities that was intended to satisfy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affirmative defense conditions of Rule 10b5-1(c) or any "non-Rule 10b5-1 trading arrangement." Further, during the fiscal quarter ended December 31, 2023 the Company did not adopt or terminate a 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ITEM 9C. </w:t>
      </w:r>
      <w:r>
        <w:rPr>
          <w:rFonts w:ascii="Times New Roman;sans-serif" w:hAnsi="Times New Roman;sans-serif"/>
          <w:b/>
          <w:i/>
          <w:color w:val="000000"/>
          <w:sz w:val="20"/>
        </w:rPr>
        <w:t>Disclosure Regarding Foreign Jurisdictions that Prevent Inspections.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set forth below, the information required by Part III (Items 10, 11, 12, 13 and 14) is incorporated herein by reference to the Company's definitive proxy statement to be used in connection with its 2023 Annual Meeting of Stockholders and which will be filed with the Securities and Exchange Commission not later than 120 days after the end of the Company's fiscal year ended December 31, 2023 (the “2023 Proxy Statement”), in accordance with General Instruction G(3) of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ans-serif" w:hAnsi="Times New Roman;sans-serif"/>
          <w:b/>
          <w:color w:val="000000"/>
          <w:sz w:val="20"/>
        </w:rPr>
        <w:t>ITEM 10.  </w:t>
      </w:r>
      <w:r>
        <w:rPr>
          <w:rFonts w:ascii="Times New Roman;sans-serif" w:hAnsi="Times New Roman;sans-serif"/>
          <w:b/>
          <w:i/>
          <w:color w:val="000000"/>
          <w:sz w:val="20"/>
        </w:rPr>
        <w:t>Directors, Executive Officers and Corporate Governance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10 will be contained in, and is hereby incorporated by reference to, the 2023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ans-serif" w:hAnsi="Times New Roman;sans-serif"/>
          <w:b/>
          <w:color w:val="000000"/>
          <w:sz w:val="20"/>
        </w:rPr>
        <w:t>ITEM 11.  </w:t>
      </w:r>
      <w:r>
        <w:rPr>
          <w:rFonts w:ascii="Times New Roman;sans-serif" w:hAnsi="Times New Roman;sans-serif"/>
          <w:b/>
          <w:i/>
          <w:color w:val="000000"/>
          <w:sz w:val="20"/>
        </w:rPr>
        <w:t>Executive Compensation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11 will be contained in, and is hereby incorporated by reference to, the 2023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ans-serif" w:hAnsi="Times New Roman;sans-serif"/>
          <w:b/>
          <w:color w:val="000000"/>
          <w:sz w:val="20"/>
        </w:rPr>
        <w:t>ITEM 12.  </w:t>
      </w:r>
      <w:r>
        <w:rPr>
          <w:rFonts w:ascii="Times New Roman;sans-serif" w:hAnsi="Times New Roman;sans-serif"/>
          <w:b/>
          <w:i/>
          <w:color w:val="000000"/>
          <w:sz w:val="20"/>
        </w:rPr>
        <w:t>Security Ownership of Certain Beneficial Owners and Management and Related Stockholder Matters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12 will be contained in, and is hereby incorporated by reference to, the 2023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ans-serif" w:hAnsi="Times New Roman;sans-serif"/>
          <w:b/>
          <w:color w:val="000000"/>
          <w:sz w:val="20"/>
        </w:rPr>
        <w:t>ITEM 13.  </w:t>
      </w:r>
      <w:r>
        <w:rPr>
          <w:rFonts w:ascii="Times New Roman;sans-serif" w:hAnsi="Times New Roman;sans-serif"/>
          <w:b/>
          <w:i/>
          <w:color w:val="000000"/>
          <w:sz w:val="20"/>
        </w:rPr>
        <w:t>Certain Relationships and Related Transactions, and Director Independence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13 will be contained in, and is hereby incorporated by reference to, the 2023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ans-serif" w:hAnsi="Times New Roman;sans-serif"/>
          <w:b/>
          <w:color w:val="000000"/>
          <w:sz w:val="20"/>
        </w:rPr>
        <w:t>ITEM 14.  </w:t>
      </w:r>
      <w:r>
        <w:rPr>
          <w:rFonts w:ascii="Times New Roman;sans-serif" w:hAnsi="Times New Roman;sans-serif"/>
          <w:b/>
          <w:i/>
          <w:color w:val="000000"/>
          <w:sz w:val="20"/>
        </w:rPr>
        <w:t>Principal Accounting Fees and Services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Item 14 will be contained in, and is hereby incorporated by reference to, the 2023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ans-serif" w:hAnsi="Times New Roman;sans-serif"/>
          <w:b/>
          <w:color w:val="000000"/>
          <w:sz w:val="20"/>
        </w:rPr>
        <w:t>ITEM 15.  </w:t>
      </w:r>
      <w:r>
        <w:rPr>
          <w:rFonts w:ascii="Times New Roman;sans-serif" w:hAnsi="Times New Roman;sans-serif"/>
          <w:b/>
          <w:i/>
          <w:color w:val="000000"/>
          <w:sz w:val="20"/>
        </w:rPr>
        <w:t>Exhibits, Financial Statement Schedules</w:t>
      </w:r>
    </w:p>
    <w:p>
      <w:pPr>
        <w:pStyle w:val="TextBody"/>
        <w:bidi w:val="0"/>
        <w:spacing w:lineRule="auto" w:line="288" w:before="240" w:after="283"/>
        <w:jc w:val="left"/>
        <w:rPr/>
      </w:pPr>
      <w:r>
        <w:rPr>
          <w:rFonts w:ascii="Times New Roman;sans-serif" w:hAnsi="Times New Roman;sans-serif"/>
          <w:b/>
          <w:color w:val="000000"/>
          <w:sz w:val="20"/>
        </w:rPr>
        <w:t>(</w:t>
      </w:r>
      <w:r>
        <w:rPr>
          <w:rFonts w:ascii="Times New Roman;sans-serif" w:hAnsi="Times New Roman;sans-serif"/>
          <w:b/>
          <w:i/>
          <w:color w:val="000000"/>
          <w:sz w:val="20"/>
        </w:rPr>
        <w:t>a)   List of documents filed as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Consolidated Financial Statements of LendingTree, Inc.</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 PricewaterhouseCoopers LLP.</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and Comprehensive Income (Loss) for the Years Ended December 31, 2023, 2022 and 2021.</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December 31, 2023 and 2022.</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Shareholders' Equity for the Years Ended December 31, 2023, 2022 and 2021.</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Years Ended December 31, 2023, 2022 and 2021.</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Consolidated Financial Statement Schedules of LendingTree, Inc.</w:t>
      </w:r>
    </w:p>
    <w:p>
      <w:pPr>
        <w:pStyle w:val="TextBody"/>
        <w:bidi w:val="0"/>
        <w:spacing w:lineRule="auto" w:line="288" w:before="16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consolidated financial statements and schedules have been omitted since the required information is included in the consolidated financial statements or the notes thereto, or is not applicable or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Exhibits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documents set forth below, numbered in accordance with Item 601 of Regulation S-K, are filed herewith or incorporated herein by reference to the location indicated below. </w:t>
      </w:r>
    </w:p>
    <w:tbl>
      <w:tblPr>
        <w:tblW w:w="10205" w:type="dxa"/>
        <w:jc w:val="center"/>
        <w:tblInd w:w="0" w:type="dxa"/>
        <w:tblLayout w:type="fixed"/>
        <w:tblCellMar>
          <w:top w:w="28" w:type="dxa"/>
          <w:left w:w="28" w:type="dxa"/>
          <w:bottom w:w="28" w:type="dxa"/>
          <w:right w:w="28" w:type="dxa"/>
        </w:tblCellMar>
      </w:tblPr>
      <w:tblGrid>
        <w:gridCol w:w="352"/>
        <w:gridCol w:w="308"/>
        <w:gridCol w:w="310"/>
        <w:gridCol w:w="109"/>
        <w:gridCol w:w="109"/>
        <w:gridCol w:w="109"/>
        <w:gridCol w:w="1832"/>
        <w:gridCol w:w="1832"/>
        <w:gridCol w:w="1847"/>
        <w:gridCol w:w="109"/>
        <w:gridCol w:w="109"/>
        <w:gridCol w:w="109"/>
        <w:gridCol w:w="969"/>
        <w:gridCol w:w="866"/>
        <w:gridCol w:w="1235"/>
      </w:tblGrid>
      <w:tr>
        <w:trPr/>
        <w:tc>
          <w:tcPr>
            <w:tcW w:w="35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r>
      <w:tr>
        <w:trPr/>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Separation and Distribution Agreement among IAC/InterActiveCorp, HSN, Inc., Interval Leisure Group, Inc., Ticketmaster and Tree.com, Inc., dated August 20, 2008.</w:t>
              </w:r>
            </w:hyperlink>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2.1 to the Registrant's Registration Statement on Form S-1 (No. 333-152700), filed August 1, 2008</w:t>
            </w:r>
          </w:p>
        </w:tc>
      </w:tr>
      <w:tr>
        <w:trPr/>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Tax Sharing Agreement among IAC/InterActiveCorp, HSN, Inc., Interval Leisure Group, Inc., Ticketmaster and Tree.com, Inc., dated August 20, 2008.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10.2 to the Registrant's Current Report on Form 8-K filed August 25, 2008</w:t>
            </w:r>
          </w:p>
        </w:tc>
      </w:tr>
      <w:tr>
        <w:trPr/>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Employee Matters Agreement among IAC/InterActiveCorp, HSN, Inc., Interval Leisure Group, Inc., Ticketmaster and Tree.com, Inc., dated August 20, 2008.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10.3 to the Registrant's Current Report on Form 8-K filed August 25, 2008</w:t>
            </w:r>
          </w:p>
        </w:tc>
      </w:tr>
      <w:tr>
        <w:trPr/>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Transition Services Agreement among IAC/InterActiveCorp, HSN, Inc., Interval Leisure Group, Inc., Ticketmaster and Tree.com, Inc., dated August 20, 2008.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10.4 to the Registrant's Current Report on Form 8-K filed August 25, 2008</w:t>
            </w:r>
          </w:p>
        </w:tc>
      </w:tr>
      <w:tr>
        <w:trPr/>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Spinco Assignment and Assumption Agreement among IAC/InterActiveCorp, Tree.com, Inc., Liberty Media Corporation and Liberty USA Holdings, LLC, dated August 20, 2008.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10.6 to the Registrant's Current Report on Form 8-K filed August 25, 2008</w:t>
            </w:r>
          </w:p>
        </w:tc>
      </w:tr>
      <w:tr>
        <w:trPr/>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FF"/>
                  <w:sz w:val="20"/>
                  <w:u w:val="single"/>
                </w:rPr>
                <w:t>Asset Purchase Agreement among Home Loan Center, Inc., First Residential Mortgage Network, Inc. dba SurePoint Lending, and the shareholders of First Residential Mortgage Network named therein, dated November 15, 2010.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2.1 to Registrant's Current Report on Form 8-K filed November 16, 2010</w:t>
            </w:r>
          </w:p>
        </w:tc>
      </w:tr>
      <w:tr>
        <w:trPr/>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First Amendment to Asset Purchase Agreement among HLC, SurePoint and the shareholders party thereto, dated March 14, 2011.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2.1 to the Registrant's Current Report on Form 8-K filed March 21, 2011</w:t>
            </w:r>
          </w:p>
        </w:tc>
      </w:tr>
      <w:tr>
        <w:trPr/>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ans-serif" w:hAnsi="Times New Roman;sans-serif"/>
                  <w:b w:val="false"/>
                  <w:color w:val="0000FF"/>
                  <w:sz w:val="20"/>
                  <w:u w:val="single"/>
                </w:rPr>
                <w:t>Second Amendment to Asset Purchase Agreement among HLC, SurePoint and the shareholders party thereto, dated March 15, 2011.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2.2 to the Registrant's Current Report on Form 8-K filed March 21, 2011</w:t>
            </w:r>
          </w:p>
        </w:tc>
      </w:tr>
      <w:tr>
        <w:trPr/>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20"/>
                  <w:u w:val="single"/>
                </w:rPr>
                <w:t>Asset Purchase Agreement among Tree.com, Inc., Home Loan Center, Inc., LendingTree, LLC, HLC Escrow, Inc. and Discover Bank, dated May 12, 2011**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2.1 to the Registrant's Current Report on Form 8-K filed May 16, 2011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52"/>
        <w:gridCol w:w="309"/>
        <w:gridCol w:w="310"/>
        <w:gridCol w:w="109"/>
        <w:gridCol w:w="109"/>
        <w:gridCol w:w="109"/>
        <w:gridCol w:w="2045"/>
        <w:gridCol w:w="1725"/>
        <w:gridCol w:w="1743"/>
        <w:gridCol w:w="109"/>
        <w:gridCol w:w="109"/>
        <w:gridCol w:w="109"/>
        <w:gridCol w:w="967"/>
        <w:gridCol w:w="864"/>
        <w:gridCol w:w="1236"/>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r>
      <w:tr>
        <w:trPr/>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ans-serif" w:hAnsi="Times New Roman;sans-serif"/>
                  <w:b w:val="false"/>
                  <w:color w:val="0000FF"/>
                  <w:sz w:val="20"/>
                  <w:u w:val="single"/>
                </w:rPr>
                <w:t>Asset Purchase Agreement among LendingTree, LLC, RealEstate.com, Inc. and Market Leader, Inc., dated September 15, 2011**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2.1 to the Registrant's Current Report on Form 8-K filed September 21, 2011</w:t>
            </w:r>
          </w:p>
        </w:tc>
      </w:tr>
      <w:tr>
        <w:trPr/>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Amendment to Asset Purchase Agreement among Home Loan Center, Inc., HLC Escrow, Inc., LendingTree, LLC, Tree.com, Inc., Discover Bank and Discover Financial Services, dated February 7, 2012**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2.1 to the Registrant's Current Report on Form 8-K filed February 8, 2012</w:t>
            </w:r>
          </w:p>
        </w:tc>
      </w:tr>
      <w:tr>
        <w:trPr/>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Membership Interest Purchase Agreement, dated as of November 16, 2016, by and among LendingTree, LLC, Iron Horse Holdings, LLC, all of the members of Iron Horse Holdings, LLC and Christopher J. Mettler.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2.1 to the Registrant's Current Report on Form 8-K filed November 22, 2016</w:t>
            </w:r>
          </w:p>
        </w:tc>
      </w:tr>
      <w:tr>
        <w:trPr/>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ans-serif" w:hAnsi="Times New Roman;sans-serif"/>
                  <w:b w:val="false"/>
                  <w:color w:val="0000FF"/>
                  <w:sz w:val="20"/>
                  <w:u w:val="single"/>
                </w:rPr>
                <w:t>Assignment and Assumption Agreement, dated November 2, 2017, by and among General Communication, Inc., Liberty Interactive Corporation, Liberty USA Holdings, LLC, Ventures Holdco, LLC, and LendingTree,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99.7(D) to the Registrant's Current Report on Form SC 13D/A filed November 3, 2017</w:t>
            </w:r>
          </w:p>
        </w:tc>
      </w:tr>
      <w:tr>
        <w:trPr/>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FF"/>
                  <w:sz w:val="20"/>
                  <w:u w:val="single"/>
                </w:rPr>
                <w:t>Unit Purchase Agreement dated as of October 4, 2018 by and among LendingTree, LLC, QuoteWizard.com, LLC, all of the members of QuoteWizard.com, LLC, and Scott Peyree as the Securityholders Representative.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2.1 to the Registrant’s Current Report on Form 8-K/A filed October 12, 2018</w:t>
            </w:r>
          </w:p>
        </w:tc>
      </w:tr>
      <w:tr>
        <w:trPr/>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ans-serif" w:hAnsi="Times New Roman;sans-serif"/>
                  <w:b w:val="false"/>
                  <w:color w:val="0000FF"/>
                  <w:sz w:val="20"/>
                  <w:u w:val="single"/>
                </w:rPr>
                <w:t>Stock Purchase Agreement dated as of December 20, 2018 by and among LendingTree, LLC, Value Holding Inc., all of the shareholders of Value Holding Inc., and Jonathan Wu as the Sellers’ Representative.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2.1 to the Registrant’s Current Report on Form 8-K filed December 27, 2018</w:t>
            </w:r>
          </w:p>
        </w:tc>
      </w:tr>
      <w:tr>
        <w:trPr/>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20"/>
                  <w:u w:val="single"/>
                </w:rPr>
                <w:t>Amended and Restated Certificate of Incorporation of LendingTree,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3.1 to the Registrant's Current Report on Form 8-K filed August 25, 2008</w:t>
            </w:r>
          </w:p>
        </w:tc>
      </w:tr>
      <w:tr>
        <w:trPr/>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20"/>
                  <w:u w:val="single"/>
                </w:rPr>
                <w:t>Fourth Amended and Restated By-laws of LendingTree,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3.1 to the Registrant's Current Report on Form 8-K filed November 15, 2017</w:t>
            </w:r>
          </w:p>
        </w:tc>
      </w:tr>
      <w:tr>
        <w:trPr/>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FF"/>
                  <w:sz w:val="20"/>
                  <w:u w:val="single"/>
                </w:rPr>
                <w:t>Amended and Restated Restricted Share Grant and Shareholders' Agreement, among Forest Merger Corp., LendingTree, Inc., InterActiveCorp and the Grantees named therein, dated July 7, 2003*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10.8 to the Registrant's Registration Statement on Form S-1 (No. 333-152700), filed August 1, 2008</w:t>
            </w:r>
          </w:p>
        </w:tc>
      </w:tr>
      <w:tr>
        <w:trPr/>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ans-serif" w:hAnsi="Times New Roman;sans-serif"/>
                  <w:b w:val="false"/>
                  <w:color w:val="0000FF"/>
                  <w:sz w:val="20"/>
                  <w:u w:val="single"/>
                </w:rPr>
                <w:t>Registration Rights Agreement among Tree.com, Inc., Liberty Media Corporation and Liberty USA Holdings, LLC, dated August 20, 2008.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10.5 to the Registrant's Current Report on Form 8-K filed August 25, 2008</w:t>
            </w:r>
          </w:p>
        </w:tc>
      </w:tr>
      <w:tr>
        <w:trPr/>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ans-serif" w:hAnsi="Times New Roman;sans-serif"/>
                  <w:b w:val="false"/>
                  <w:color w:val="0000FF"/>
                  <w:sz w:val="20"/>
                  <w:u w:val="single"/>
                </w:rPr>
                <w:t>Indenture for .0625% Convertible Senior Notes due 2022</w:t>
              </w:r>
            </w:hyperlink>
          </w:p>
          <w:p>
            <w:pPr>
              <w:pStyle w:val="TableContents"/>
              <w:bidi w:val="0"/>
              <w:spacing w:before="0" w:after="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4.1 to the Registrant's Current Report on Form 8-K filed May 31, 2017</w:t>
            </w:r>
          </w:p>
        </w:tc>
      </w:tr>
      <w:tr>
        <w:trPr/>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ans-serif" w:hAnsi="Times New Roman;sans-serif"/>
                  <w:b w:val="false"/>
                  <w:color w:val="0000FF"/>
                  <w:sz w:val="20"/>
                  <w:u w:val="single"/>
                </w:rPr>
                <w:t>Purchase Agreement for .0625% Convertible Senior Notes due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99.1 to the Registrant's Current Report on Form 8-K filed May 31, 2017</w:t>
            </w:r>
          </w:p>
        </w:tc>
      </w:tr>
      <w:tr>
        <w:trPr/>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20"/>
                  <w:u w:val="single"/>
                </w:rPr>
                <w:t>Base Issuer Warrant Transaction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99.4 to the Registrant's Current Report on Form 8-K filed May 31, 2017</w:t>
            </w:r>
          </w:p>
        </w:tc>
      </w:tr>
      <w:tr>
        <w:trPr/>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20"/>
                  <w:u w:val="single"/>
                </w:rPr>
                <w:t>Additional Issuer Warrant Transaction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99.5 to the Registrant's Current Report on Form 8-K filed May 31, 2017</w:t>
            </w:r>
          </w:p>
        </w:tc>
      </w:tr>
      <w:tr>
        <w:trPr/>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20"/>
                  <w:u w:val="single"/>
                </w:rPr>
                <w:t>Description of the Registrant's Securities Registered Pursuant to Section 12 of the Securities Exchange Act of 1934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4.7 to the Registrant's Annual Report on Form 10-K filed February 27, 2020</w:t>
            </w:r>
          </w:p>
        </w:tc>
      </w:tr>
      <w:tr>
        <w:trPr/>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20"/>
                  <w:u w:val="single"/>
                </w:rPr>
                <w:t>Indenture, dated as of July 24, 2020, between LendingTree, Inc. and Wilmington Trust, National Association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4.1 to the Registrant’s Current Report on Form 8-K filed on July 24, 2020</w:t>
            </w:r>
          </w:p>
        </w:tc>
      </w:tr>
      <w:tr>
        <w:trPr/>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20"/>
                  <w:u w:val="single"/>
                </w:rPr>
                <w:t>Employment Agreement between Douglas Lebda, the Company and LendingTree, LLC, dated November 30, 2020*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10.2 to Registrant's Annual Report on Form 10-K filed March 1, 2021</w:t>
            </w:r>
          </w:p>
        </w:tc>
      </w:tr>
      <w:tr>
        <w:trPr/>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ans-serif" w:hAnsi="Times New Roman;sans-serif"/>
                  <w:b w:val="false"/>
                  <w:color w:val="0000FF"/>
                  <w:sz w:val="20"/>
                  <w:u w:val="single"/>
                </w:rPr>
                <w:t>LendingTree, Inc. 2017 Inducement Grant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4.4(A) to the Registrant's Registration Statement on Form S-8 (No. 333-218747), filed June 14, 2017</w:t>
            </w:r>
          </w:p>
        </w:tc>
      </w:tr>
      <w:tr>
        <w:trPr/>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Notice of Restricted Stock Unit Award Granted Under the LendingTree, Inc. 2017 Inducement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4.4(B) to the Registrant's Registration Statement on Form S-8 (No. 333-218747), filed June 14, 2017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19"/>
        <w:gridCol w:w="318"/>
        <w:gridCol w:w="319"/>
        <w:gridCol w:w="109"/>
        <w:gridCol w:w="109"/>
        <w:gridCol w:w="109"/>
        <w:gridCol w:w="1631"/>
        <w:gridCol w:w="1448"/>
        <w:gridCol w:w="1452"/>
        <w:gridCol w:w="109"/>
        <w:gridCol w:w="109"/>
        <w:gridCol w:w="109"/>
        <w:gridCol w:w="1218"/>
        <w:gridCol w:w="1132"/>
        <w:gridCol w:w="1614"/>
      </w:tblGrid>
      <w:tr>
        <w:trPr/>
        <w:tc>
          <w:tcPr>
            <w:tcW w:w="41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r>
      <w:tr>
        <w:trPr/>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Restricted Stock Award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4.4(C) to the Registrant's Registration Statement on Form S-8 (No. 333-218747), filed June 14, 2017</w:t>
            </w:r>
          </w:p>
        </w:tc>
      </w:tr>
      <w:tr>
        <w:trPr/>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2011 Deferred Compensation Plan for Non-Employee Directors*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10.2 to the Registrant's Quarterly Report on Form 10-Q filed April 30, 2015</w:t>
            </w:r>
          </w:p>
        </w:tc>
      </w:tr>
      <w:tr>
        <w:trPr/>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Deferred Compensation Plan for Non-Employee Directors*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10.15 to the Registrant's Registration Statement on Form S-1 (No. 333-152700), filed August 1, 2008</w:t>
            </w:r>
          </w:p>
        </w:tc>
      </w:tr>
      <w:tr>
        <w:trPr/>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Standard Terms and Conditions to Restricted Stock Award Letters of Tree.com BU Holding Company,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10.2 to the Registrant's Current Report on Form 8-K filed February 3, 2011</w:t>
            </w:r>
          </w:p>
        </w:tc>
      </w:tr>
      <w:tr>
        <w:trPr/>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20"/>
                  <w:u w:val="single"/>
                </w:rPr>
                <w:t>Base Convertible Bond Hedge Transaction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99.2 to the Registrant's Current Report on Form 8-K filed May 31, 2017</w:t>
            </w:r>
          </w:p>
        </w:tc>
      </w:tr>
      <w:tr>
        <w:trPr/>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ans-serif" w:hAnsi="Times New Roman;sans-serif"/>
                  <w:b w:val="false"/>
                  <w:color w:val="0000FF"/>
                  <w:sz w:val="20"/>
                  <w:u w:val="single"/>
                </w:rPr>
                <w:t>Additional Convertible Bond Hedge Transaction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99.3 to the Registrant's Current Report on Form 8-K filed May 31, 2017</w:t>
            </w:r>
          </w:p>
        </w:tc>
      </w:tr>
      <w:tr>
        <w:trPr/>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ans-serif" w:hAnsi="Times New Roman;sans-serif"/>
                  <w:b w:val="false"/>
                  <w:color w:val="0000FF"/>
                  <w:sz w:val="20"/>
                  <w:u w:val="single"/>
                </w:rPr>
                <w:t>Credit Agreement, dated as of September 15,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99.1 to the Registrant's Current Report on Form 8-K filed September 16, 2021</w:t>
            </w:r>
          </w:p>
        </w:tc>
      </w:tr>
      <w:tr>
        <w:trPr/>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ans-serif" w:hAnsi="Times New Roman;sans-serif"/>
                  <w:b w:val="false"/>
                  <w:color w:val="0000FF"/>
                  <w:sz w:val="20"/>
                  <w:u w:val="single"/>
                </w:rPr>
                <w:t>Agreement of Purchase and Sale, by and among LendingTree, LLC and an affiliate of Greenstreet Real Estate Partners, L.P., dated October 17, 2016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10.31 to the Registrant's Annual Report on Form 10-K filed February 28, 2017</w:t>
            </w:r>
          </w:p>
        </w:tc>
      </w:tr>
      <w:tr>
        <w:trPr/>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ans-serif" w:hAnsi="Times New Roman;sans-serif"/>
                  <w:b w:val="false"/>
                  <w:color w:val="0000FF"/>
                  <w:sz w:val="20"/>
                  <w:u w:val="single"/>
                </w:rPr>
                <w:t>First Amendment to Purchase and Sale, by and among LendingTree, LLC and an affiliate of Greenstreet Real Estate Partners, L.P., dated November 28, 2016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10.32 to the Registrant's Annual Report on Form 10-K filed February 28, 2017</w:t>
            </w:r>
          </w:p>
        </w:tc>
      </w:tr>
      <w:tr>
        <w:trPr/>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ans-serif" w:hAnsi="Times New Roman;sans-serif"/>
                  <w:b w:val="false"/>
                  <w:color w:val="0000FF"/>
                  <w:sz w:val="20"/>
                  <w:u w:val="single"/>
                </w:rPr>
                <w:t>Employment Agreement dated December 21, 2017, among John David Moriarty, LendingTree, Inc., and LendingTree,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10.1 to the Registrant’s Quarterly Report on Form 10-Q filed April 27, 2018</w:t>
            </w:r>
          </w:p>
        </w:tc>
      </w:tr>
      <w:tr>
        <w:trPr/>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ans-serif" w:hAnsi="Times New Roman;sans-serif"/>
                  <w:b w:val="false"/>
                  <w:color w:val="0000FF"/>
                  <w:sz w:val="20"/>
                  <w:u w:val="single"/>
                </w:rPr>
                <w:t>Seventh Amended and Restated LendingTree, Inc. 2008 Stock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from Appendix C to the Registrant's Definitive Proxy Statement on Schedule 14A, filed on April 29, 2021</w:t>
            </w:r>
          </w:p>
        </w:tc>
      </w:tr>
      <w:tr>
        <w:trPr/>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ans-serif" w:hAnsi="Times New Roman;sans-serif"/>
                  <w:b w:val="false"/>
                  <w:color w:val="0000FF"/>
                  <w:sz w:val="20"/>
                  <w:u w:val="single"/>
                </w:rPr>
                <w:t>Form of Notice of Stock Option Award Granted Under the LendingTree, Inc. 2008 Stock and Annual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10.1 to the Registrant’s Quarterly Report on Form 10-Q filed August 4, 2020</w:t>
            </w:r>
          </w:p>
        </w:tc>
      </w:tr>
      <w:tr>
        <w:trPr/>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ans-serif" w:hAnsi="Times New Roman;sans-serif"/>
                  <w:b w:val="false"/>
                  <w:color w:val="0000FF"/>
                  <w:sz w:val="20"/>
                  <w:u w:val="single"/>
                </w:rPr>
                <w:t>Form of Notice of Restricted Stock Unit Award Granted Under the LendingTree, Inc. 2008 Stock and Annual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10.16 to the Registrant’s Annual Report on Form 10-K filed February 28, 2023</w:t>
            </w:r>
          </w:p>
        </w:tc>
      </w:tr>
      <w:tr>
        <w:trPr/>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ans-serif" w:hAnsi="Times New Roman;sans-serif"/>
                  <w:b w:val="false"/>
                  <w:color w:val="0000FF"/>
                  <w:sz w:val="20"/>
                  <w:u w:val="single"/>
                </w:rPr>
                <w:t>Form of Notice of Stock Option Award Granted to Non- Employee Directors Under the LendingTree, Inc. 2008 Stock and Annual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10.3 to the Registrant’s Quarterly Report on Form 10-Q filed August 4, 2020</w:t>
            </w:r>
          </w:p>
        </w:tc>
      </w:tr>
      <w:tr>
        <w:trPr/>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ans-serif" w:hAnsi="Times New Roman;sans-serif"/>
                  <w:b w:val="false"/>
                  <w:color w:val="0000FF"/>
                  <w:sz w:val="20"/>
                  <w:u w:val="single"/>
                </w:rPr>
                <w:t>Form of Notice of Restricted Stock Unit Award Granted to Non-Employee Directors Under the LendingTree, Inc. 2008 Stock and Annual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10.4 to the Registrant’s Quarterly Report on Form 10-Q filed August 4, 2020</w:t>
            </w:r>
          </w:p>
        </w:tc>
      </w:tr>
      <w:tr>
        <w:trPr/>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ans-serif" w:hAnsi="Times New Roman;sans-serif"/>
                  <w:b w:val="false"/>
                  <w:color w:val="0000FF"/>
                  <w:sz w:val="20"/>
                  <w:u w:val="single"/>
                </w:rPr>
                <w:t>Form of Base Convertible Note Hedge Confirmation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99.2 to the Registrant’s Current Report on Form 8-K filed July 24, 2020</w:t>
            </w:r>
          </w:p>
        </w:tc>
      </w:tr>
      <w:tr>
        <w:trPr/>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ans-serif" w:hAnsi="Times New Roman;sans-serif"/>
                  <w:b w:val="false"/>
                  <w:color w:val="0000FF"/>
                  <w:sz w:val="20"/>
                  <w:u w:val="single"/>
                </w:rPr>
                <w:t>Form of Additional Convertible Note Hedge Confirmation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99.3 to the Registrant’s Current Report on Form 8-K filed July 24, 2020</w:t>
            </w:r>
          </w:p>
        </w:tc>
      </w:tr>
      <w:tr>
        <w:trPr/>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ans-serif" w:hAnsi="Times New Roman;sans-serif"/>
                  <w:b w:val="false"/>
                  <w:color w:val="0000FF"/>
                  <w:sz w:val="20"/>
                  <w:u w:val="single"/>
                </w:rPr>
                <w:t>Form of Base Warrant Confirmation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99.4 to the Registrant’s Current Report on Form 8-K filed July 24, 2020</w:t>
            </w:r>
          </w:p>
        </w:tc>
      </w:tr>
      <w:tr>
        <w:trPr/>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Times New Roman;sans-serif" w:hAnsi="Times New Roman;sans-serif"/>
                  <w:b w:val="false"/>
                  <w:color w:val="0000FF"/>
                  <w:sz w:val="20"/>
                  <w:u w:val="single"/>
                </w:rPr>
                <w:t>Form of Additional Warrant Confirmation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99.5 to the Registrant’s Current Report on Form 8-K filed July 24, 2020</w:t>
            </w:r>
          </w:p>
        </w:tc>
      </w:tr>
      <w:tr>
        <w:trPr/>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Times New Roman;sans-serif" w:hAnsi="Times New Roman;sans-serif"/>
                  <w:b w:val="false"/>
                  <w:color w:val="0000FF"/>
                  <w:sz w:val="20"/>
                  <w:u w:val="single"/>
                </w:rPr>
                <w:t>LendingTree Executive Severance Pay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10.41 to the Registrant's Annual Report on Form 10-K filed March 03, 2021</w:t>
            </w:r>
          </w:p>
        </w:tc>
      </w:tr>
      <w:tr>
        <w:trPr/>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ans-serif" w:hAnsi="Times New Roman;sans-serif"/>
                  <w:b w:val="false"/>
                  <w:color w:val="0000FF"/>
                  <w:sz w:val="20"/>
                  <w:u w:val="single"/>
                </w:rPr>
                <w:t>Memorandum on compensation changes for Trent Ziegler, dated May 12,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10.1 to the Registrant’s Quarterly Report on Form 10-Q filed July 30, 2021</w:t>
            </w:r>
          </w:p>
        </w:tc>
      </w:tr>
      <w:tr>
        <w:trPr/>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ans-serif" w:hAnsi="Times New Roman;sans-serif"/>
                  <w:b w:val="false"/>
                  <w:color w:val="0000FF"/>
                  <w:sz w:val="20"/>
                  <w:u w:val="single"/>
                </w:rPr>
                <w:t>LendingTree, Inc. Employee Stock Purchase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from Appendix B to the Registrant's Definitive Proxy Statement on Schedule 14A, filed on April 29,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12"/>
        <w:gridCol w:w="309"/>
        <w:gridCol w:w="310"/>
        <w:gridCol w:w="109"/>
        <w:gridCol w:w="109"/>
        <w:gridCol w:w="109"/>
        <w:gridCol w:w="1856"/>
        <w:gridCol w:w="1594"/>
        <w:gridCol w:w="1610"/>
        <w:gridCol w:w="109"/>
        <w:gridCol w:w="109"/>
        <w:gridCol w:w="109"/>
        <w:gridCol w:w="1017"/>
        <w:gridCol w:w="1006"/>
        <w:gridCol w:w="1437"/>
      </w:tblGrid>
      <w:tr>
        <w:trPr/>
        <w:tc>
          <w:tcPr>
            <w:tcW w:w="4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r>
      <w:tr>
        <w:trPr/>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ans-serif" w:hAnsi="Times New Roman;sans-serif"/>
                  <w:b w:val="false"/>
                  <w:color w:val="0000FF"/>
                  <w:sz w:val="20"/>
                  <w:u w:val="single"/>
                </w:rPr>
                <w:t>First Amendment to LendingTree, Inc. Employee Stock Purchase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99.3 to the Registrant's Registration Statement on Form S-8 (No. 333-258391), filed August 3, 2021</w:t>
            </w:r>
          </w:p>
        </w:tc>
      </w:tr>
      <w:tr>
        <w:trPr/>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ans-serif" w:hAnsi="Times New Roman;sans-serif"/>
                  <w:b w:val="false"/>
                  <w:color w:val="0000FF"/>
                  <w:sz w:val="20"/>
                  <w:u w:val="single"/>
                </w:rPr>
                <w:t>LendingTree, Inc. 2023 Stock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from Appendix B to the Registrant’s Definitive Proxy Statement on Schedule 14A, filed on May 1, 2023</w:t>
            </w:r>
          </w:p>
        </w:tc>
      </w:tr>
      <w:tr>
        <w:trPr/>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Times New Roman;sans-serif" w:hAnsi="Times New Roman;sans-serif"/>
                  <w:b w:val="false"/>
                  <w:color w:val="0000FF"/>
                  <w:sz w:val="20"/>
                  <w:u w:val="single"/>
                </w:rPr>
                <w:t>LendingTree, Inc. 2023 Inducement Grant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10.1 to the Registrant’s Quarterly Report on Form 10-Q filed with the SEC on July 28, 2023</w:t>
            </w:r>
          </w:p>
        </w:tc>
      </w:tr>
      <w:tr>
        <w:trPr/>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ans-serif" w:hAnsi="Times New Roman;sans-serif"/>
                  <w:b w:val="false"/>
                  <w:color w:val="0000FF"/>
                  <w:sz w:val="20"/>
                  <w:u w:val="single"/>
                </w:rPr>
                <w:t>Form of Restricted Stock Unit Award pursuant to the 2023 Stock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10.3 to the Registration Statement on Form S-8 (No. 333-273547) , filed July 31, 2023</w:t>
            </w:r>
          </w:p>
        </w:tc>
      </w:tr>
      <w:tr>
        <w:trPr/>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ans-serif" w:hAnsi="Times New Roman;sans-serif"/>
                  <w:b w:val="false"/>
                  <w:color w:val="0000FF"/>
                  <w:sz w:val="20"/>
                  <w:u w:val="single"/>
                </w:rPr>
                <w:t>Form of Stock Option Award pursuant to the 2023 Stock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10.4 to the Registration Statement on Form S-8 (No. 333-273547) , filed July 31, 2023</w:t>
            </w:r>
          </w:p>
        </w:tc>
      </w:tr>
      <w:tr>
        <w:trPr/>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ans-serif" w:hAnsi="Times New Roman;sans-serif"/>
                  <w:b w:val="false"/>
                  <w:color w:val="0000FF"/>
                  <w:sz w:val="20"/>
                  <w:u w:val="single"/>
                </w:rPr>
                <w:t>Form of Restricted Stock Unit Award pursuant to the 2023 Inducement Grant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10.3 to the Registrant’s Quarterly Report on Form 10-Q filed with the SEC on July 28, 2023</w:t>
            </w:r>
          </w:p>
        </w:tc>
      </w:tr>
      <w:tr>
        <w:trPr/>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ans-serif" w:hAnsi="Times New Roman;sans-serif"/>
                  <w:b w:val="false"/>
                  <w:color w:val="0000FF"/>
                  <w:sz w:val="20"/>
                  <w:u w:val="single"/>
                </w:rPr>
                <w:t>Form of Stock Option Award pursuant to the 2023 Inducement Grant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10.2 to the Registrant’s Quarterly Report on Form 10-Q filed with the SEC on July 28, 2023</w:t>
            </w:r>
          </w:p>
        </w:tc>
      </w:tr>
      <w:tr>
        <w:trPr/>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ans-serif" w:hAnsi="Times New Roman;sans-serif"/>
                  <w:b w:val="false"/>
                  <w:color w:val="0000FF"/>
                  <w:sz w:val="20"/>
                  <w:u w:val="single"/>
                </w:rPr>
                <w:t>Employment Agreement between Jill Olmstead and the Company, dated October 1, 2018*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10.39 to the Registrant's Annual Report on Form 10-K filed March 1, 2022</w:t>
            </w:r>
          </w:p>
        </w:tc>
      </w:tr>
      <w:tr>
        <w:trPr/>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ans-serif" w:hAnsi="Times New Roman;sans-serif"/>
                  <w:b w:val="false"/>
                  <w:color w:val="0000FF"/>
                  <w:sz w:val="20"/>
                  <w:u w:val="single"/>
                </w:rPr>
                <w:t>Separation Agreement between Neil Salvage and the Company, dated January 1,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10.40 to the Registrant's Annual Report on Form 10-K filed March 1, 2022</w:t>
            </w:r>
          </w:p>
        </w:tc>
      </w:tr>
      <w:tr>
        <w:trPr/>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4">
              <w:r>
                <w:rPr>
                  <w:rStyle w:val="InternetLink"/>
                  <w:rFonts w:ascii="Times New Roman;sans-serif" w:hAnsi="Times New Roman;sans-serif"/>
                  <w:b w:val="false"/>
                  <w:color w:val="0000FF"/>
                  <w:sz w:val="20"/>
                  <w:u w:val="single"/>
                </w:rPr>
                <w:t>Form of Note Repurchase Agreement dated March 6,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Exhibit 10.1 to the Registrant’s Current Report on Form 8-K filed March 9, 2023</w:t>
            </w:r>
          </w:p>
        </w:tc>
      </w:tr>
      <w:tr>
        <w:trPr/>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tree-12312023xex1036.htm">
              <w:r>
                <w:rPr>
                  <w:rStyle w:val="InternetLink"/>
                  <w:rFonts w:ascii="Times New Roman;sans-serif" w:hAnsi="Times New Roman;sans-serif"/>
                  <w:b w:val="false"/>
                  <w:color w:val="0000FF"/>
                  <w:sz w:val="20"/>
                  <w:u w:val="single"/>
                </w:rPr>
                <w:t>Separation Agreement between John David Moriarty and the Company, dated August 7,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tree-12312023xex1037.htm">
              <w:r>
                <w:rPr>
                  <w:rStyle w:val="InternetLink"/>
                  <w:rFonts w:ascii="Times New Roman;sans-serif" w:hAnsi="Times New Roman;sans-serif"/>
                  <w:b w:val="false"/>
                  <w:color w:val="0000FF"/>
                  <w:sz w:val="20"/>
                  <w:u w:val="single"/>
                </w:rPr>
                <w:t>First Amendment, dated December 29, 2023, to Employment Agreement between Douglas Lebda, the Company and LendingTree, LLC, dated November 30, 2020*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tree-12312023xex1038.htm">
              <w:r>
                <w:rPr>
                  <w:rStyle w:val="InternetLink"/>
                  <w:rFonts w:ascii="Times New Roman;sans-serif" w:hAnsi="Times New Roman;sans-serif"/>
                  <w:b w:val="false"/>
                  <w:color w:val="0000FF"/>
                  <w:sz w:val="20"/>
                  <w:u w:val="single"/>
                </w:rPr>
                <w:t>Second Amendment, dated February 16, 2024, to Employment Agreement between Douglas Lebda, the Company and Lendingtree, LLC, dated November 30, 2020*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tree-12312023xex1039.htm">
              <w:r>
                <w:rPr>
                  <w:rStyle w:val="InternetLink"/>
                  <w:rFonts w:ascii="Times New Roman;sans-serif" w:hAnsi="Times New Roman;sans-serif"/>
                  <w:b w:val="false"/>
                  <w:color w:val="0000FF"/>
                  <w:sz w:val="20"/>
                  <w:u w:val="single"/>
                </w:rPr>
                <w:t>Consulting Agreement between John David Moriarty and the Company, dated August 7,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tree-12312023xex19.htm">
              <w:r>
                <w:rPr>
                  <w:rStyle w:val="InternetLink"/>
                  <w:rFonts w:ascii="Times New Roman;sans-serif" w:hAnsi="Times New Roman;sans-serif"/>
                  <w:b w:val="false"/>
                  <w:color w:val="0000FF"/>
                  <w:sz w:val="20"/>
                  <w:u w:val="single"/>
                </w:rPr>
                <w:t>LendingTree, Inc. Securities Trading and Related Matters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tree-12312023xex211.htm">
              <w:r>
                <w:rPr>
                  <w:rStyle w:val="InternetLink"/>
                  <w:rFonts w:ascii="Times New Roman;sans-serif" w:hAnsi="Times New Roman;sans-serif"/>
                  <w:b w:val="false"/>
                  <w:color w:val="0000FF"/>
                  <w:sz w:val="20"/>
                  <w:u w:val="single"/>
                </w:rPr>
                <w:t>Subsidiaries of LendingTree,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tree-12312023xex231.htm">
              <w:r>
                <w:rPr>
                  <w:rStyle w:val="InternetLink"/>
                  <w:rFonts w:ascii="Times New Roman;sans-serif" w:hAnsi="Times New Roman;sans-serif"/>
                  <w:b w:val="false"/>
                  <w:color w:val="0000FF"/>
                  <w:sz w:val="20"/>
                  <w:u w:val="single"/>
                </w:rPr>
                <w:t>Consent of independent registered public accounting firm.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205f388eefa74f188b4be083d75297f3_226">
              <w:r>
                <w:rPr>
                  <w:rStyle w:val="InternetLink"/>
                  <w:rFonts w:ascii="Times New Roman;sans-serif" w:hAnsi="Times New Roman;sans-serif"/>
                  <w:b w:val="false"/>
                  <w:color w:val="0000FF"/>
                  <w:sz w:val="20"/>
                  <w:u w:val="single"/>
                </w:rPr>
                <w:t>Power of Attorney (included on signature page of this Annual Report on Form 10-K)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tree-12312023xex311.htm">
              <w:r>
                <w:rPr>
                  <w:rStyle w:val="InternetLink"/>
                  <w:rFonts w:ascii="Times New Roman;sans-serif" w:hAnsi="Times New Roman;sans-serif"/>
                  <w:b w:val="false"/>
                  <w:color w:val="0000FF"/>
                  <w:sz w:val="20"/>
                  <w:u w:val="single"/>
                </w:rPr>
                <w:t>Certification of the Chief Executive Officer pursuant to Rule 13a-14(a) or Rule 15d-14(a) of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tree-12312023xex312.htm">
              <w:r>
                <w:rPr>
                  <w:rStyle w:val="InternetLink"/>
                  <w:rFonts w:ascii="Times New Roman;sans-serif" w:hAnsi="Times New Roman;sans-serif"/>
                  <w:b w:val="false"/>
                  <w:color w:val="0000FF"/>
                  <w:sz w:val="20"/>
                  <w:u w:val="single"/>
                </w:rPr>
                <w:t>Certification of the Chief Financial Officer pursuant to Rule 13a-14(a) or Rule 15d-14(a) of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tree-12312023xex321.htm">
              <w:r>
                <w:rPr>
                  <w:rStyle w:val="InternetLink"/>
                  <w:rFonts w:ascii="Times New Roman;sans-serif" w:hAnsi="Times New Roman;sans-serif"/>
                  <w:b w:val="false"/>
                  <w:color w:val="0000FF"/>
                  <w:sz w:val="20"/>
                  <w:u w:val="single"/>
                </w:rPr>
                <w:t>Certification of the Chief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tree-12312023xex322.htm">
              <w:r>
                <w:rPr>
                  <w:rStyle w:val="InternetLink"/>
                  <w:rFonts w:ascii="Times New Roman;sans-serif" w:hAnsi="Times New Roman;sans-serif"/>
                  <w:b w:val="false"/>
                  <w:color w:val="0000FF"/>
                  <w:sz w:val="20"/>
                  <w:u w:val="single"/>
                </w:rPr>
                <w:t>Certification of the Chief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12"/>
        <w:gridCol w:w="361"/>
        <w:gridCol w:w="363"/>
        <w:gridCol w:w="109"/>
        <w:gridCol w:w="109"/>
        <w:gridCol w:w="109"/>
        <w:gridCol w:w="2609"/>
        <w:gridCol w:w="2431"/>
        <w:gridCol w:w="2456"/>
        <w:gridCol w:w="109"/>
        <w:gridCol w:w="109"/>
        <w:gridCol w:w="109"/>
        <w:gridCol w:w="268"/>
        <w:gridCol w:w="268"/>
        <w:gridCol w:w="383"/>
      </w:tblGrid>
      <w:tr>
        <w:trPr/>
        <w:tc>
          <w:tcPr>
            <w:tcW w:w="41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1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r>
      <w:tr>
        <w:trPr/>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tree-12312023xex97.htm">
              <w:r>
                <w:rPr>
                  <w:rStyle w:val="InternetLink"/>
                  <w:rFonts w:ascii="Times New Roman;sans-serif" w:hAnsi="Times New Roman;sans-serif"/>
                  <w:b w:val="false"/>
                  <w:color w:val="0000FF"/>
                  <w:sz w:val="20"/>
                  <w:u w:val="single"/>
                </w:rPr>
                <w:t>LendingTree, Inc. Clawback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_______________________________________________________________________________________________________________________________</w:t>
      </w:r>
    </w:p>
    <w:p>
      <w:pPr>
        <w:pStyle w:val="TextBody"/>
        <w:bidi w:val="0"/>
        <w:spacing w:lineRule="auto" w:line="288" w:before="160" w:after="283"/>
        <w:jc w:val="left"/>
        <w:rPr>
          <w:color w:val="000000"/>
        </w:rPr>
      </w:pPr>
      <w:r>
        <w:rPr>
          <w:color w:val="000000"/>
        </w:rPr>
        <w:t xml:space="preserve">† </w:t>
      </w:r>
      <w:r>
        <w:rPr>
          <w:rFonts w:ascii="Times New Roman;sans-serif" w:hAnsi="Times New Roman;sans-serif"/>
          <w:b w:val="false"/>
          <w:color w:val="000000"/>
          <w:sz w:val="20"/>
        </w:rPr>
        <w:t>Filed herewith.</w:t>
      </w:r>
    </w:p>
    <w:p>
      <w:pPr>
        <w:pStyle w:val="TextBody"/>
        <w:bidi w:val="0"/>
        <w:spacing w:lineRule="auto" w:line="288" w:before="160" w:after="283"/>
        <w:jc w:val="both"/>
        <w:rPr>
          <w:color w:val="000000"/>
        </w:rPr>
      </w:pPr>
      <w:r>
        <w:rPr>
          <w:color w:val="000000"/>
        </w:rPr>
        <w:t xml:space="preserve">†† </w:t>
      </w:r>
      <w:r>
        <w:rPr>
          <w:rFonts w:ascii="Times New Roman;sans-serif" w:hAnsi="Times New Roman;sans-serif"/>
          <w:b w:val="false"/>
          <w:color w:val="000000"/>
          <w:sz w:val="20"/>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pStyle w:val="TextBody"/>
        <w:bidi w:val="0"/>
        <w:spacing w:lineRule="auto" w:line="288" w:before="160" w:after="283"/>
        <w:jc w:val="both"/>
        <w:rPr>
          <w:color w:val="000000"/>
        </w:rPr>
      </w:pPr>
      <w:r>
        <w:rPr>
          <w:color w:val="000000"/>
        </w:rPr>
        <w:t xml:space="preserve">††† </w:t>
      </w:r>
      <w:r>
        <w:rPr>
          <w:rFonts w:ascii="Times New Roman;sans-serif" w:hAnsi="Times New Roman;sans-serif"/>
          <w:b w:val="false"/>
          <w:color w:val="000000"/>
          <w:sz w:val="20"/>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compensation plan or arrangement.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Certain schedules to this Exhibit have been omitted in accordance with Regulation S-K Item 601(b)(2). The Company agrees to furnish supplementally a copy of all omitted schedules to the SEC upon its request.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Portions of this exhibit have been omitted pursuant to a request for confidential treatment and this exhibit has been submitted separately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8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2024 </w:t>
      </w:r>
    </w:p>
    <w:tbl>
      <w:tblPr>
        <w:tblW w:w="4367" w:type="dxa"/>
        <w:jc w:val="left"/>
        <w:tblInd w:w="0" w:type="dxa"/>
        <w:tblLayout w:type="fixed"/>
        <w:tblCellMar>
          <w:top w:w="28" w:type="dxa"/>
          <w:left w:w="28" w:type="dxa"/>
          <w:bottom w:w="28" w:type="dxa"/>
          <w:right w:w="28" w:type="dxa"/>
        </w:tblCellMar>
      </w:tblPr>
      <w:tblGrid>
        <w:gridCol w:w="124"/>
        <w:gridCol w:w="109"/>
        <w:gridCol w:w="109"/>
        <w:gridCol w:w="247"/>
        <w:gridCol w:w="247"/>
        <w:gridCol w:w="247"/>
        <w:gridCol w:w="958"/>
        <w:gridCol w:w="958"/>
        <w:gridCol w:w="13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LendingTree,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DOUGLAS R. LEBDA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R. Lebda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Chairman and Chief Executive Officer</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205f388eefa74f188b4be083d75297f3_7">
        <w:r>
          <w:rPr>
            <w:rStyle w:val="InternetLink"/>
            <w:rFonts w:ascii="Times New Roman;sans-serif" w:hAnsi="Times New Roman;sans-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individual whose signature appears below constitutes and appoints each of Trent Ziegler and Heather Novitsky as his or her true and lawful attorney and agent, with full power of substitution and resubstitution, for him or her and in his or her name, place and stead, in any and all capacities, to sign any and all amendments to the Registrant's Annual Report on Form 10-K for the fiscal year ended December 31, 2023, and to file the same with all exhibits thereto, and all other documents in connection therewith, with the Securities and Exchange Commission, granting unto said attorney and agent full power and authority to do and perform each and every act and thing requisite and necessary to be done, as fully to all intents and purposes as he or she might or could do in person, hereby ratifying and confirming all that said attorney and agent may lawfully do or cause to be done by virtue hereof.</w:t>
      </w:r>
    </w:p>
    <w:p>
      <w:pPr>
        <w:pStyle w:val="TextBody"/>
        <w:bidi w:val="0"/>
        <w:spacing w:lineRule="auto" w:line="288" w:before="160" w:after="1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and on the dates indicated.</w:t>
      </w:r>
    </w:p>
    <w:tbl>
      <w:tblPr>
        <w:tblW w:w="9353" w:type="dxa"/>
        <w:jc w:val="left"/>
        <w:tblInd w:w="0" w:type="dxa"/>
        <w:tblLayout w:type="fixed"/>
        <w:tblCellMar>
          <w:top w:w="28" w:type="dxa"/>
          <w:left w:w="28" w:type="dxa"/>
          <w:bottom w:w="28" w:type="dxa"/>
          <w:right w:w="28" w:type="dxa"/>
        </w:tblCellMar>
      </w:tblPr>
      <w:tblGrid>
        <w:gridCol w:w="986"/>
        <w:gridCol w:w="867"/>
        <w:gridCol w:w="876"/>
        <w:gridCol w:w="109"/>
        <w:gridCol w:w="109"/>
        <w:gridCol w:w="109"/>
        <w:gridCol w:w="1439"/>
        <w:gridCol w:w="1439"/>
        <w:gridCol w:w="1457"/>
        <w:gridCol w:w="109"/>
        <w:gridCol w:w="109"/>
        <w:gridCol w:w="109"/>
        <w:gridCol w:w="477"/>
        <w:gridCol w:w="477"/>
        <w:gridCol w:w="681"/>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DOUGLAS R. LEBDA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Chief Executive Officer and Director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R. Lebda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TRENT ZIEGLER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Trent Ziegler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CARLA SHUMATE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and Chief Accounting Officer </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Carla Shumate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GABRIEL DALPORTO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Gabriel Dalporto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THOMAS DAVIDSON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Davidson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MARK ERNST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Ernst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ROBIN HENDERSON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Robin Henderson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STEVEN OZONIAN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Ozonian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DIEGO RODRIGUEZ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Diego Rodriguez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SARAS SARASVATHY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Saras Sarasvathy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G. KENNEDY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 Kennedy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SEPARATION AGREEMENT AND GENERAL RELEASE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Separation Agreement and General Release (the “Agreement”) is made and entered into by and between John David Moriarty (“Executive”) and LendingTree, Inc. (“LTI”) and LendingTree, LLC (the “Company” which is a wholly-owned subsidiary of LTI; LTI and the Company are collectively the “Company Group”) (each a “Party” and collectively, the “Parties”), pursuant and subject to the terms of the LendingTree Executive Severance Pay Plan (the “Plan”).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The Parties agree and acknowledge that: (i) Executive’s employment with the Company, which is currently on an “at-will” basis, was terminated due to a Qualifying Termination (as defined in the Plan) effective on July 31, 2023 (the “Separation Date”), and such termination was not in connection with or following a Change in Control (as defined in the Plan); (ii) Executive was previously selected by the Plan Sponsor (as defined in the Plan) to participate in the Plan, and has previously executed a Participation Agreement (as defined in the Plan) with respect to the Plan; (iii) Executive is executing this Agreement as a condition for eligibility to receive the separation benefits provided for under the Plan; (iv) this Agreement contains a “Release” as referenced in the Plan, and incorporates by reference all terms, conditions, requirements, and exclusions set forth in the Plan as if fully set forth herein; and (v) Executive has received a copy of a fully completed document captioned “Instructions for Claiming Unemployment Benefits” from the New Jersey Department of Labor and Workforce Development bearing form number BC-10 (R-7-11).</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Consideration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Executive understands and agrees that the value and consideration provided to Executive herein is sufficient to bind Executive to the terms of this Agreement, and that Executive will have twenty-one (21) calendar days after receiving the Agreement during which to consider, sign, and return the Agreement.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Following the Effective Date (as defined in Section 11(c) below) of this Agreement, the Company Group shall provide Executive with the payments and benefits set forth in Schedule A of the Plan applicable for a “Qualifying Termination other than in connection with a Change in Control,” subject to the terms, conditions, requirements, and exclusions set forth in the Plan. For the avoidance of doubt, those benefits include the following: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i.Cash severance equal to 1.0x Executive’s base salary, payable in equal installments over the twelve (12)-month period following Executive’s Qualifying Termination, in accordance with Section 3 of the Plan and regular payroll policies;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ii.Accelerated vesting of Executive’s outstanding equity awards that would have vested during the twelve (12) months following Executive’s Qualifying Termination; and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iii.Coverage of up to twelve (12) months of COBRA premiums for Executive and Executive’s eligible dependents.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 payments made pursuant to this Agreement or the Plan shall be considered as creditable “compensation” under any pension, savings, or other benefit plan maintained by any of the Company Group, unless specifically provided for under the applicable plan documents. </w:t>
      </w: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837565"/>
                <wp:effectExtent l="0" t="0" r="0" b="0"/>
                <wp:wrapNone/>
                <wp:docPr id="111" name="Frame10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General Release of Claims</w:t>
      </w:r>
      <w:r>
        <w:rPr>
          <w:rFonts w:ascii="Times New Roman;sans-serif" w:hAnsi="Times New Roman;sans-serif"/>
          <w:b w:val="false"/>
          <w:color w:val="000000"/>
          <w:sz w:val="24"/>
        </w:rPr>
        <w:t>. Except as specified below, Executive waives and releases the Company, LTI, and their respective former, current, and future parents, affiliates, related entities, predecessors, successors, and subsidiaries, and each of these entities’ respective current and former officers, directors, agents, employees, attorneys, assigns, insurers, Company Group sponsored or established benefit plans, administrators, fiduciaries, and trustees of any Company Group sponsored or established benefit plans (collectively, the “Releasees”), to the maximum extent permitted by law, from any and all claims or causes of action, whether or not now known,</w:t>
      </w:r>
      <w:r>
        <w:rPr>
          <w:color w:val="000000"/>
        </w:rPr>
        <w:t xml:space="preserve"> </w:t>
      </w:r>
      <w:r>
        <w:rPr>
          <w:rFonts w:ascii="Times New Roman;sans-serif" w:hAnsi="Times New Roman;sans-serif"/>
          <w:b w:val="false"/>
          <w:color w:val="000000"/>
          <w:sz w:val="24"/>
        </w:rPr>
        <w:t>foreseen or unforeseen, with respect to any act, event, or omission occurring through and including the date on which Executive signs this Agreement, and including but not limited to any matter arising out of or connected with Executive’s hire or employment with the Company or the termination of such employment, including without limitation, claims for compensation, bonuses, commissions, stock options, restricted stock, equity of any form or nature, shadow stock (excluding, in each case, any Equity Rights, as defined below), wages, monetary damages, and including any claim based in tort, contract, statute, regulation, constitutional provisions, or any other common law claim, any claims of wrongful discharge, defamation, slander, libel, fraud, assault, battery, negligent or intentional infliction of emotional distress, negligent or intentional misrepresentation, negligent or intentional interference with contract or prospective economic advantage, unfair business practices, negligence, personal injury, invasion of privacy, false imprisonment, conversion, breach of contract (whether express, oral, written or implied from any source), and breach of the covenant of good faith and fair dealing, promissory estoppel, fraud, any claims for alleged discrimination, retaliation or harassment based on sex, age, race, national origin, disability, sexual orientation, medical condition, pregnancy, or any other protected basis, claims under Title VII of the Civil Rights Act of 1964, the Civil Rights Act of 1991, the Age Discrimination in Employment Act of 1967 (“ADEA”), the Rehabilitation Act, the Equal Pay Act, the Americans with Disabilities Act, the Employee Retirement Income Security Act of 1974, the Fair Labor Standards Act, the Fair Credit Reporting Act, the Worker Adjustment and Retraining Notification Act, the Family and Medical Leave Act, except as prohibited by law, the Sarbanes-Oxley Act of 2002, the New Jersey Law Against Discrimination, the Conscientious Employee Protection Act, the New Jersey Family Leave Act, and any and all other constitutional, federal, state and local laws and regulations relating to employment, all as amended, and any and all claims for attorneys’ fees and costs, and interest and penalties (collectively, the “Claims”), with the only exceptions to such waiver and release being:</w:t>
      </w:r>
      <w:r>
        <w:rPr>
          <w:color w:val="00000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Any rights to defense or indemnification or insurance coverage that Executive may have as a former officer or director of the Company Group;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Unemployment, state disability, and/or paid family leave insurance benefits pursuant to the terms of applicable law;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Workers’ compensation insurance benefits pursuant to applicable state law under the terms of any workers’ compensation insurance policy or fund;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Continued participation in the Company Group’s group medical benefit plans pursuant to the terms and conditions of the federal law known as “COBRA” and/or any applicable state law counterpart;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Any rights with respect to any stock options, restricted stock units, shares of stock, phantom equity, or other grants or rights made by any member of the Company Group to Executive from time to time pursuant to written documentation executed by any member of the Company Group (collectively, “Equity Rights”); and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Any other rights that, pursuant to applicable law, are not subject to waiver by Executive. </w:t>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837565"/>
                <wp:effectExtent l="0" t="0" r="0" b="0"/>
                <wp:wrapNone/>
                <wp:docPr id="112" name="Frame10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color w:val="000000"/>
        </w:rPr>
      </w:pPr>
      <w:r>
        <w:rPr>
          <w:color w:val="000000"/>
        </w:rPr>
        <w:t>    </w:t>
      </w:r>
      <w:r>
        <w:rPr>
          <w:rFonts w:ascii="Times New Roman;sans-serif" w:hAnsi="Times New Roman;sans-serif"/>
          <w:b w:val="false"/>
          <w:color w:val="000000"/>
          <w:sz w:val="24"/>
        </w:rPr>
        <w:t>It is expressly agreed and acknowledged that the rights referenced in the foregoing clauses (a)-(f) are not “Claims” and are therefore excluded from the scope of the releases set forth in this Section 3.</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and to the extent that any claims, demands, or causes of action Executive released or attempted to release in this Section 3 exist and accrued prior to the execution of this Agreement by Executive, and the approval of any court, agency, administrative body, commission, or other entity is necessary to fully effectuate any such release, Executive agrees to participate in and cooperate fully with the Company Group and any other Releasees in obtaining any such approval.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Permitted Communications</w:t>
      </w:r>
      <w:r>
        <w:rPr>
          <w:rFonts w:ascii="Times New Roman;sans-serif" w:hAnsi="Times New Roman;sans-serif"/>
          <w:b w:val="false"/>
          <w:color w:val="000000"/>
          <w:sz w:val="24"/>
        </w:rPr>
        <w:t xml:space="preserve">. Nothing in this Agreement restricts or prohibits Executive from initiating 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including the U.S. Equal Employment Opportunity Commission, the Department of Labor, the National Labor Relations Board, the Department of Justice, the Securities and Exchange Commission, the Congress, and any agency Inspector General (each a “Regulator” and collectively, the “Regulators”), or from making other disclosures that are protected under the whistleblower provisions of state or federal law or regulation. However, to the maximum extent permitted by law, Executive is waiving Executive’s right to receive any individual monetary relief from the Company Group or any Releasees resulting from such claims or conduct, regardless of whether Executive or another party has filed them, and in the event Executive obtains such monetary relief the Company Group will be entitled to an offset for the payments made pursuant to this Agreement. This Agreement does not limit Executive’s right to receive an award from any Regulator that provides awards for providing information relating to a potential violation of law. Executive does not need the prior authorization of the Company Group to engage in conduct protected by this Section 4, and Executive does not need to notify the Company Group that Executive has engaged in such conduct.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Acknowledgement of Rights</w:t>
      </w:r>
      <w:r>
        <w:rPr>
          <w:rFonts w:ascii="Times New Roman;sans-serif" w:hAnsi="Times New Roman;sans-serif"/>
          <w:b w:val="false"/>
          <w:color w:val="000000"/>
          <w:sz w:val="24"/>
        </w:rPr>
        <w:t xml:space="preserve">. Executive acknowledges and understands that Executive has the right under federal law to certain protections for cooperating with or reporting legal violations to the Securities and Exchange Commission (the “SEC”) and/or its Office of the Whistleblower, as well as certain other governmental entities and self-regulatory organizations. As such, Executive acknowledges and understands that nothing in this Agreement or otherwise prohibits or limits Executive from disclosing this Agreement to, or from cooperating with or reporting violations to or initiating communications with, the SEC or any other such governmental entity or self-regulatory organization, and Executive may do so without notifying the Company or any of the Company Group. Executive further acknowledges and understands that (a) neither the Company nor any of its subsidiaries or affiliates may retaliate against Executive for any of these activities, and nothing in this Agreement or otherwise requires Executive to waive any monetary award or other payment that Executive might become entitled to from the SEC or any other governmental entity or self-regulatory organization, and (b) nothing in this Agreement or otherwise prohibits Executive from notifying the Company or any of the Company Group that Executive will make a report or disclosure to law enforcement.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Confidentiality of Agreement</w:t>
      </w:r>
      <w:r>
        <w:rPr>
          <w:rFonts w:ascii="Times New Roman;sans-serif" w:hAnsi="Times New Roman;sans-serif"/>
          <w:b w:val="false"/>
          <w:color w:val="000000"/>
          <w:sz w:val="24"/>
        </w:rPr>
        <w:t xml:space="preserve">. Executive must keep this Agreement strictly confidential. Executive shall not disclose, directly or indirectly (such as through anyone acting at the direction or on behalf of Executive), to any other persons or entities the existence of this Agreement, the contents or terms of this Agreement, or the monetary consideration paid by the Company Group pursuant to this Agreement, except that Executive may disclose such information to: (a) Executive’s spouse or registered domestic/civil union partner, and/or (b) Executive’s attorney or accountant (solely in order for such individuals to render personal </w:t>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837565"/>
                <wp:effectExtent l="0" t="0" r="0" b="0"/>
                <wp:wrapNone/>
                <wp:docPr id="113" name="Frame11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services to Executive), and only so long as any such individual(s) agrees </w:t>
      </w:r>
      <w:r>
        <w:rPr>
          <w:rFonts w:ascii="Times New Roman;sans-serif" w:hAnsi="Times New Roman;sans-serif"/>
          <w:b w:val="false"/>
          <w:i/>
          <w:color w:val="000000"/>
          <w:sz w:val="24"/>
        </w:rPr>
        <w:t>in advance</w:t>
      </w:r>
      <w:r>
        <w:rPr>
          <w:color w:val="000000"/>
        </w:rPr>
        <w:t xml:space="preserve"> </w:t>
      </w:r>
      <w:r>
        <w:rPr>
          <w:rFonts w:ascii="Times New Roman;sans-serif" w:hAnsi="Times New Roman;sans-serif"/>
          <w:b w:val="false"/>
          <w:color w:val="000000"/>
          <w:sz w:val="24"/>
        </w:rPr>
        <w:t>of the disclosure to keep such information confidential. In the event the prior agreement to be bound by the terms of this confidentiality provision is not obtained from such individuals, then Executive will be deemed to have breached the confidentiality provision of this Agreement if Executive discloses such information. Nothing in this Section or elsewhere in this Agreement is intended to prevent or prohibit Executive from: (a) providing information regarding Executive’s former employment relationship with the Company or this Agreement, in the event required by law or lawful legal process; or (b) cooperating, participating or assisting in any investigation or proceeding conducted by a government entity or Regulators; or (c) discussing or disclosing information about unlawful acts in the workplace, such as harassment, discrimination, retaliation, or any other conduct that Executive has reason to believe is unlawful. Should Executive be required by law, legal process, or subpoena to provide information related to Executive’s employment with the Company, and only as permitted by law, Executive shall, in advance of providing any response, and within three (3) calendar days of her receipt of notice of such law, legal process or subpoena, provide written notice to the Company’s Chief Human Resources Officer via certified/registered U.S. Mail or via email, so that the Company and/or the Releasees may seek to assert its or their rights and interests in connection therewith.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References</w:t>
      </w:r>
      <w:r>
        <w:rPr>
          <w:rFonts w:ascii="Times New Roman;sans-serif" w:hAnsi="Times New Roman;sans-serif"/>
          <w:b w:val="false"/>
          <w:color w:val="000000"/>
          <w:sz w:val="24"/>
        </w:rPr>
        <w:t xml:space="preserve">. Executive shall direct any inquiries by potential future employers or persons/entities seeking references to the Company’s Human Resources Department, which shall communicate only Executive’s fact of employment, last position, and dates of employment.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Acknowledgment of Receipt of Wages Due</w:t>
      </w:r>
      <w:r>
        <w:rPr>
          <w:rFonts w:ascii="Times New Roman;sans-serif" w:hAnsi="Times New Roman;sans-serif"/>
          <w:b w:val="false"/>
          <w:color w:val="000000"/>
          <w:sz w:val="24"/>
        </w:rPr>
        <w:t xml:space="preserve">. Executive understands and agrees that Executive has been paid any and all wages due and owing by the Company Group through the Separation Date, and that the payment of any wages concededly due and owed is not in any way conditioned upon Executive signing this Agreement. This Agreement includes a compromise of any potential </w:t>
      </w:r>
      <w:r>
        <w:rPr>
          <w:rFonts w:ascii="Times New Roman;sans-serif" w:hAnsi="Times New Roman;sans-serif"/>
          <w:b w:val="false"/>
          <w:i/>
          <w:color w:val="000000"/>
          <w:sz w:val="24"/>
        </w:rPr>
        <w:t>bona fide</w:t>
      </w:r>
      <w:r>
        <w:rPr>
          <w:color w:val="000000"/>
        </w:rPr>
        <w:t xml:space="preserve"> </w:t>
      </w:r>
      <w:r>
        <w:rPr>
          <w:rFonts w:ascii="Times New Roman;sans-serif" w:hAnsi="Times New Roman;sans-serif"/>
          <w:b w:val="false"/>
          <w:color w:val="000000"/>
          <w:sz w:val="24"/>
        </w:rPr>
        <w:t xml:space="preserve">and good faith dispute regarding claimed wages by Executive and by signing this Agreement, Executive acknowledges and agrees that with respect to any potential claim for wages by Executive, the Company Group and other Releasees have defenses, based in law or fact that, if successful would preclude any recovery on the part of Executive.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No Pending Actions</w:t>
      </w:r>
      <w:r>
        <w:rPr>
          <w:rFonts w:ascii="Times New Roman;sans-serif" w:hAnsi="Times New Roman;sans-serif"/>
          <w:b w:val="false"/>
          <w:color w:val="000000"/>
          <w:sz w:val="24"/>
        </w:rPr>
        <w:t xml:space="preserve">. Executive represents and certifies that neither Executive nor any person, agent, or entity acting on Executive’s behalf has filed or instituted any complaints, lawsuits, actions, claims, administrative charges, grievances, and/or proceedings against the Company Group or any of the Releasees, in any forum, and to the extent any such claims, charges, complaints have been filed or instituted on behalf of Executive, Executive agrees to dismiss such claims, complaints, charges with prejudice. The dismissal with prejudice of any such pending claims, complaints, or charges shall be a condition precedent to Company Group’s obligation to provide the severance payments and benefits to the Executive under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Cooperation</w:t>
      </w:r>
      <w:r>
        <w:rPr>
          <w:rFonts w:ascii="Times New Roman;sans-serif" w:hAnsi="Times New Roman;sans-serif"/>
          <w:b w:val="false"/>
          <w:color w:val="000000"/>
          <w:sz w:val="24"/>
        </w:rPr>
        <w:t xml:space="preserve">. If the Company Group so requests, then Executive will cooperate with the Company Group about any legal matter, including matters that started after Executive leaves the Company Group. Executive agrees to provide the Company Group with cooperation and reasonable assistance in the preparation, defense, or prosecution of any legal matters involving the Company Group about which Executive has personal knowledge, including any matters which may be filed after the Separation Date (“the Cooperation”). The Company Group acknowledges that Executive’s time associated with the Cooperation will take away from Executive’s other professional and financial pursuits, and for this reason, the Company Group agrees to reimburse Executive for: (i) all Cooperation time at a rate of $165 per hour; and (ii) all expenses actually incurred in connection with the Cooperation, including but not limited to travel and accommodations. This paragraph shall not require Executive to cooperate with the Company Group regarding any charge or litigation in which Executive is a charging or </w:t>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837565"/>
                <wp:effectExtent l="0" t="0" r="0" b="0"/>
                <wp:wrapNone/>
                <wp:docPr id="114" name="Frame11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complaining party, or any confidential investigation by a government agency in which Executive is asked by such agency to maintain information in confidence.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ADEA Waiver; Consideration &amp; Revocation Periods; Effective Date</w:t>
      </w:r>
      <w:r>
        <w:rPr>
          <w:rFonts w:ascii="Times New Roman;sans-serif" w:hAnsi="Times New Roman;sans-serif"/>
          <w:b w:val="false"/>
          <w:color w:val="000000"/>
          <w:sz w:val="24"/>
        </w:rPr>
        <w:t>. Executive acknowledges that Executive is waiving and releasing any claims that Executive may have under the ADEA against Releasees, and Executive represents that this waiver and release is knowing and voluntary.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Consideration Period</w:t>
      </w:r>
      <w:r>
        <w:rPr>
          <w:rFonts w:ascii="Times New Roman;sans-serif" w:hAnsi="Times New Roman;sans-serif"/>
          <w:b w:val="false"/>
          <w:color w:val="000000"/>
          <w:sz w:val="24"/>
        </w:rPr>
        <w:t xml:space="preserve">. Executive has twenty-one (21) calendar days after the date Executive received this Agreement (the “Consideration Period”) in order (i) to read and consider it; (ii) to consult with an attorney of Executive’s own choosing (and cost) regarding whether Executive should sign this Agreement, which consultation the Company Group hereby advises Executive to undertake; and (iii) to sign this Agreement if that is what Executive decides to do; provided, however, that Executive may not sign this Agreement prior to the Separation Date. In the event Executive signs this Agreement on or after the Separation Date, but before expiration of the Consideration Period, Executive hereby acknowledges that Executive has freely and voluntarily chosen to waive the remainder of the Consideration Period.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Revocation Period</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If Executive timely signed this Agreement during the Consideration Period, Executive can change his mind about having signed the Agreement during the seven (7) days after the date Executive signed the Agreement (“Revocation Period”). If Executive changes his mind in this regard, Executive must deliver written notice to the Company Group of the revocation by midnight on the seventh day to LendingTree, Inc., Attn: Chief Human Resources Officer, 1415 Vantage Park Drive, Suite 700, Charlotte, NC 28203.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Effective Date</w:t>
      </w:r>
      <w:r>
        <w:rPr>
          <w:rFonts w:ascii="Times New Roman;sans-serif" w:hAnsi="Times New Roman;sans-serif"/>
          <w:b w:val="false"/>
          <w:color w:val="000000"/>
          <w:sz w:val="24"/>
        </w:rPr>
        <w:t xml:space="preserve">. The “Effective Date” of the Agreement will be the eighth (8th) day after the date Executive timely signed the Agreement, </w:t>
      </w:r>
      <w:r>
        <w:rPr>
          <w:rFonts w:ascii="Times New Roman;sans-serif" w:hAnsi="Times New Roman;sans-serif"/>
          <w:b w:val="false"/>
          <w:i/>
          <w:color w:val="000000"/>
          <w:sz w:val="24"/>
        </w:rPr>
        <w:t>provided that</w:t>
      </w:r>
      <w:r>
        <w:rPr>
          <w:color w:val="000000"/>
        </w:rPr>
        <w:t xml:space="preserve"> </w:t>
      </w:r>
      <w:r>
        <w:rPr>
          <w:rFonts w:ascii="Times New Roman;sans-serif" w:hAnsi="Times New Roman;sans-serif"/>
          <w:b w:val="false"/>
          <w:color w:val="000000"/>
          <w:sz w:val="24"/>
        </w:rPr>
        <w:t>Executive returned Executive’s signed Agreement to the Company Group and did not timely revoke the Agreement during the Revocation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Executive further acknowledges and agrees that following the execution of this Agreement, Executive will not make any negative, derogatory, defamatory, slanderous, or disparaging comments, references, or characterizations, either verbally or in writing, regarding any of the Releasees, including without limitation the services, products, business models, personnel, officers, affiliates, management, and financial status of the Company Group, to any of the following: former or existing employees of the Company Group, customers or business partners of the Company Group, the media, the general public, on the Internet, or any other entity, for any purpose whatsoever, unless a legal duty to do so is imposed. Notwithstanding the foregoing, nothing in this Agreement is intended to prohibit or shall prohibit Executive from: (i) engaging in any conduct set forth in Section 4 above, or otherwise providing truthful information or testimony in connection with any legal or regulatory investigation or proceeding; or (ii) discussing or disclosing information about unlawful acts in the workplace, such as harassment, discrimination, retaliation, or any other conduct that Executive has reason to believe is unlawful. Executive agrees that in the event of any breach or threatened breach of this Section 12, the Company Group (in addition to any other remedies at law or in equity it or he may have) shall be entitled, without the requirement of posting a bond or other security, to equitable relief, including without limitation injunctive relief and specific performance.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General Terms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Nothing contained in this Agreement shall constitute or be treated as an admission by Executive or by Company Group or the Releasees of any liability, or any wrongdoing, or of any violation of law.</w:t>
      </w: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837565"/>
                <wp:effectExtent l="0" t="0" r="0" b="0"/>
                <wp:wrapNone/>
                <wp:docPr id="115" name="Frame11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Executive has been and is hereby advised in writing through this Agreement, which Executive agrees constitutes sufficient notice and which Executive has reviewed prior to signing, that Executive has the right to consult and could consult with an attorney prior to executing this Agreement, and Executive acknowledges that Executive has had the opportunity to consult with an attorney.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Executive and the Company Group shall each bear their own respective costs and fees and expenses incurred in connection with the review and signing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The Company Group reserves the right after receiving the signed Agreement from Executive to reject it and decline to accept it in the event it is untimely or if it has been modified in any way by Executive. In the event the Agreement is rejected and not accepted by the Company Group, it will be void and unenforceable.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Executive and the Company Group intend that this Agreement be construed to give the Releasees the full benefit of the waiver and release provisions. Should any provision of this Agreement be determined by an arbitrator or a court of competent jurisdiction to be wholly or partially invalid or unenforceable, such provision(s) shall be modified to comply with current applicable law. In addition, if any one or more provisions contained in this Agreement shall be held to be excessively broad as to duration, geographical scope, activity, subject, or otherwise, it shall be construed by limiting or reducing it, so as to be enforceable with applicable law. If any provision(s) cannot be modified to comply with current applicable law, such provision(s) shall be severed and the enforceability of the remaining parts, terms, or provisions shall remain in full force and effect.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Except as specified below, this Agreement and the Plan supersede any and all other agreements or understandings, whether oral, implied, or in writing, between the Parties with respect to the subject matter hereof and contain all of the covenants and agreements between the Parties with respect to such matters in their entirety; provided, however, that any written agreement(s) between Executive and any of the Company Group relating to the protection of any of the Company Group’s confidential and proprietary information, intellectual property, trade secrets, or any other applicable covenants or restrictions, including without limitation the Confidentiality, Non-Competition, Non-Solicitation, and Work Product Agreement previously Executed by Executive on March 25, 2022, and the Consultant Agreement between Executive and the Company, shall remain in full force and effect pursuant to the terms thereof. Except as set forth herein, this Agreement shall constitute the full, complete, and exclusive agreement between Executive and the Company Group regarding all of the subject matter covered by this Agreement, and neither the Executive nor the Company Group is relying on any representation or promise that is not expressly stated in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 xml:space="preserve">This Agreement may only be amended by a written agreement signed by Executive and an Officer of the Company Group.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The rights and remedies of the Company Group in this Agreement shall be deemed cumulative, and the exercise of one of such remedies shall not operate to bar the exercise of any other rights and remedies reserved to the Company Group or available at law or in equity. The failure of the Company Group to insist upon strict adherence to any term of this Agreement on any occasion shall not be considered a waiver thereof, or deprive the Company Group of the right thereafter to insist upon strict adherence to that term or any other term of this Agreement. Any waiver must be in writing, and no waiver of any breach of any provision of this Agreement shall constitute a continuing waiver, a waiver of any other breach of that provision, or a waiver of any other provision hereof. Additionally, no delay or failure by the Company Group to </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837565"/>
                <wp:effectExtent l="0" t="0" r="0" b="0"/>
                <wp:wrapNone/>
                <wp:docPr id="116" name="Frame11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exercise any right under this Agreement, and no partial or single exercise of such right, shall constitute a waiver of that or any other right.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This Agreement and all rights hereunder shall be governed by and construed in accordance with the terms of the Plan and the Employee Retirement Income Security Act of 1974, as amended (“ERISA”) and, to the extent not preempted by ERISA or otherwise governed by federal law, the laws of the State of North Carolina, without regard to the conflicts of laws provisions thereof. To the extent that North Carolina law would apply, but is deemed inapplicable by a court of competent jurisdiction, then the laws of the State of New Jersey shall be deemed to apply in lieu of North Carolina law, without regard to the conflicts of laws provisions thereof. The Parties agree that any rule of construction of contracts resolving any ambiguities against the drafting party shall be inapplicable to this Agreement.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 xml:space="preserve">This Agreement may be signed in counterparts. The Parties hereby expressly agree, pursuant to Article 40 of Chapter 66 of the North Carolina General Statutes and (as applicable) the Uniform Electronic Transactions Act, N.J. Stat. § 12A:12-1, </w:t>
      </w:r>
      <w:r>
        <w:rPr>
          <w:rFonts w:ascii="Times New Roman;sans-serif" w:hAnsi="Times New Roman;sans-serif"/>
          <w:b w:val="false"/>
          <w:i/>
          <w:color w:val="000000"/>
          <w:sz w:val="24"/>
        </w:rPr>
        <w:t>et seq.</w:t>
      </w:r>
      <w:r>
        <w:rPr>
          <w:rFonts w:ascii="Times New Roman;sans-serif" w:hAnsi="Times New Roman;sans-serif"/>
          <w:b w:val="false"/>
          <w:color w:val="000000"/>
          <w:sz w:val="24"/>
        </w:rPr>
        <w:t xml:space="preserve">, that either or both of the Parties may execute this Agreement using an electronic signature (as such term is defined in that statute). If and to the extent that separate signature pages are signed by the Parties, each separate signature page shall be affixed to this Agreement and shall constitute one (1) Agreement binding on the Parties, notwithstanding that the signatories are not signing the same page. Facsimile transmissions (including transmission by e-mail in PDF format) of any executed original document shall be deemed the same as a delivered, executed original. Each Party agrees that the electronic signatures, whether digital or encrypted, of the Parties included in this Agreement are intended to authenticate this writing and to have the same force and effect as manual signatures.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Executive acknowledges and agrees that in Executive’s position immediately prior to the termination of Executive’s employment, Executive had the authority, in the interest of the Company, to hire, suspend, lay off, recall, promote, discharge, assign, reward, and discipline certain other employees, as well as the responsibly to direct them and adjust their grievances, and to otherwise effectively to recommend such action; and the exercise of such authority was not of a merely routine or clerical nature, but required the use of Executive’s independent judgment.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 xml:space="preserve">The Company and (as applicable) LTI may each assign their rights and obligations under this Agreement to any successor to all or substantially all the assets of the Company and/or (as applicable) LTI by merger, sale of assets, or otherwise, and all such rights shall inure to and be enforceable by any such assignee to the fullest extent permitted by applicable law. Executive is not permitted to assign or encumber this Agreement, voluntarily or involuntarily, and any such purported assignment shall be void </w:t>
      </w:r>
      <w:r>
        <w:rPr>
          <w:rFonts w:ascii="Times New Roman;sans-serif" w:hAnsi="Times New Roman;sans-serif"/>
          <w:b w:val="false"/>
          <w:i/>
          <w:color w:val="000000"/>
          <w:sz w:val="24"/>
        </w:rPr>
        <w:t>ab initio</w:t>
      </w:r>
      <w:r>
        <w:rPr>
          <w:rFonts w:ascii="Times New Roman;sans-serif" w:hAnsi="Times New Roman;sans-serif"/>
          <w:b w:val="false"/>
          <w:color w:val="000000"/>
          <w:sz w:val="24"/>
        </w:rPr>
        <w:t>. This Agreement shall be binding upon the heirs, executors, administrators, and other legal representatives and assigns of Executive.</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[The remainder of this page is intentionally left blank.]</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837565"/>
                <wp:effectExtent l="0" t="0" r="0" b="0"/>
                <wp:wrapNone/>
                <wp:docPr id="117" name="Frame11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rPr>
        <w:t xml:space="preserve">Executive, by signing this Agreement, acknowledges that Executive has had a full and fair opportunity to review, consider and negotiate the terms of this Agreement, has been advised to seek the advice of an attorney in connection with the decision whether to accept the benefits that have been offered under this Agreement, has had a reasonable period of time to consider whether to enter this Agreement, has reviewed this Agreement with advisors of Executive’s choice subject to Section 6 above, has read and understands this Agreement, and has signed this Agreement freely and voluntarily, without duress, coercion, or undue influence and with full and free understanding of its terms.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I HAVE READ THIS AGREEMENT AND UNDERSTAND IT. I RECOGNIZE THAT I AM GIVING UP IMPORTANT RIGHTS AND THAT AT NO TIME IN THE FUTURE MAY I PURSUE ANY OF THE RIGHTS I HAVE WAIVED AND RELEASED IN THIS AGREEMENT.</w:t>
      </w:r>
    </w:p>
    <w:p>
      <w:pPr>
        <w:pStyle w:val="TextBody"/>
        <w:bidi w:val="0"/>
        <w:spacing w:before="0" w:after="240"/>
        <w:jc w:val="both"/>
        <w:rPr/>
      </w:pPr>
      <w:r>
        <w:rPr/>
      </w:r>
    </w:p>
    <w:tbl>
      <w:tblPr>
        <w:tblW w:w="8383" w:type="dxa"/>
        <w:jc w:val="left"/>
        <w:tblInd w:w="0" w:type="dxa"/>
        <w:tblLayout w:type="fixed"/>
        <w:tblCellMar>
          <w:top w:w="28" w:type="dxa"/>
          <w:left w:w="28" w:type="dxa"/>
          <w:bottom w:w="28" w:type="dxa"/>
          <w:right w:w="28" w:type="dxa"/>
        </w:tblCellMar>
      </w:tblPr>
      <w:tblGrid>
        <w:gridCol w:w="1260"/>
        <w:gridCol w:w="1108"/>
        <w:gridCol w:w="1111"/>
        <w:gridCol w:w="1054"/>
        <w:gridCol w:w="1054"/>
        <w:gridCol w:w="1057"/>
        <w:gridCol w:w="509"/>
        <w:gridCol w:w="509"/>
        <w:gridCol w:w="721"/>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4"/>
              </w:rPr>
              <w:t>Dated: ___</w:t>
            </w:r>
            <w:r>
              <w:rPr>
                <w:rFonts w:ascii="Times New Roman;sans-serif" w:hAnsi="Times New Roman;sans-serif"/>
                <w:b w:val="false"/>
                <w:color w:val="000000"/>
                <w:sz w:val="24"/>
                <w:u w:val="single"/>
              </w:rPr>
              <w:t>August 7</w:t>
            </w:r>
            <w:r>
              <w:rPr>
                <w:rFonts w:ascii="Times New Roman;sans-serif" w:hAnsi="Times New Roman;sans-serif"/>
                <w:b w:val="false"/>
                <w:color w:val="000000"/>
                <w:sz w:val="24"/>
              </w:rPr>
              <w:t>_______, 2023</w:t>
            </w:r>
          </w:p>
        </w:tc>
        <w:tc>
          <w:tcPr>
            <w:tcW w:w="490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 JOHN DAVID MORIARTY</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John David Moriarty</w:t>
            </w:r>
          </w:p>
        </w:tc>
      </w:tr>
      <w:tr>
        <w:trPr/>
        <w:tc>
          <w:tcPr>
            <w:tcW w:w="3479"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val="false"/>
                <w:color w:val="000000"/>
                <w:sz w:val="24"/>
              </w:rPr>
              <w:t>Dated: ___</w:t>
            </w:r>
            <w:r>
              <w:rPr>
                <w:rFonts w:ascii="Times New Roman;sans-serif" w:hAnsi="Times New Roman;sans-serif"/>
                <w:b w:val="false"/>
                <w:color w:val="000000"/>
                <w:sz w:val="24"/>
                <w:u w:val="single"/>
              </w:rPr>
              <w:t>August 7</w:t>
            </w:r>
            <w:r>
              <w:rPr>
                <w:rFonts w:ascii="Times New Roman;sans-serif" w:hAnsi="Times New Roman;sans-serif"/>
                <w:b w:val="false"/>
                <w:color w:val="000000"/>
                <w:sz w:val="24"/>
              </w:rPr>
              <w:t>_______, 2023</w:t>
            </w:r>
          </w:p>
        </w:tc>
        <w:tc>
          <w:tcPr>
            <w:tcW w:w="3165"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LENDINGTREE, INC.</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Jill Olmstead</w:t>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Chief Human Resources Officer</w:t>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JILL OLMSTEAD</w:t>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37565"/>
                <wp:effectExtent l="0" t="0" r="0" b="0"/>
                <wp:wrapNone/>
                <wp:docPr id="118" name="Frame11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tbl>
      <w:tblPr>
        <w:tblW w:w="6689" w:type="dxa"/>
        <w:jc w:val="left"/>
        <w:tblInd w:w="0" w:type="dxa"/>
        <w:tblLayout w:type="fixed"/>
        <w:tblCellMar>
          <w:top w:w="28" w:type="dxa"/>
          <w:left w:w="28" w:type="dxa"/>
          <w:bottom w:w="28" w:type="dxa"/>
          <w:right w:w="28" w:type="dxa"/>
        </w:tblCellMar>
      </w:tblPr>
      <w:tblGrid>
        <w:gridCol w:w="1260"/>
        <w:gridCol w:w="1108"/>
        <w:gridCol w:w="1111"/>
        <w:gridCol w:w="939"/>
        <w:gridCol w:w="939"/>
        <w:gridCol w:w="1332"/>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val="false"/>
                <w:color w:val="000000"/>
                <w:sz w:val="24"/>
              </w:rPr>
              <w:t>Dated: ___</w:t>
            </w:r>
            <w:r>
              <w:rPr>
                <w:rFonts w:ascii="Times New Roman;sans-serif" w:hAnsi="Times New Roman;sans-serif"/>
                <w:b w:val="false"/>
                <w:color w:val="000000"/>
                <w:sz w:val="24"/>
                <w:u w:val="single"/>
              </w:rPr>
              <w:t>August 7</w:t>
            </w:r>
            <w:r>
              <w:rPr>
                <w:rFonts w:ascii="Times New Roman;sans-serif" w:hAnsi="Times New Roman;sans-serif"/>
                <w:b w:val="false"/>
                <w:color w:val="000000"/>
                <w:sz w:val="24"/>
              </w:rPr>
              <w:t>_______, 2023</w:t>
            </w:r>
          </w:p>
        </w:tc>
        <w:tc>
          <w:tcPr>
            <w:tcW w:w="3210"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LENDINGTREE, LLC</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Jill Olmstead</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Chief Human Resources Officer</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JILL OLMSTEAD</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837565"/>
                <wp:effectExtent l="0" t="0" r="0" b="0"/>
                <wp:wrapNone/>
                <wp:docPr id="119" name="Frame11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374"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 of 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79" w:after="283"/>
        <w:jc w:val="center"/>
        <w:rPr>
          <w:rFonts w:ascii="Times New Roman;sans-serif" w:hAnsi="Times New Roman;sans-serif"/>
          <w:b/>
          <w:color w:val="000000"/>
          <w:sz w:val="24"/>
        </w:rPr>
      </w:pPr>
      <w:r>
        <w:rPr>
          <w:rFonts w:ascii="Times New Roman;sans-serif" w:hAnsi="Times New Roman;sans-serif"/>
          <w:b/>
          <w:color w:val="000000"/>
          <w:sz w:val="24"/>
        </w:rPr>
        <w:t>AMENDMENT TO EMPLOYMENT AGREEMENT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This Amendment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made as of December 29, 2023 (the “</w:t>
      </w:r>
      <w:r>
        <w:rPr>
          <w:rFonts w:ascii="Times New Roman;sans-serif" w:hAnsi="Times New Roman;sans-serif"/>
          <w:b w:val="false"/>
          <w:color w:val="000000"/>
          <w:sz w:val="24"/>
          <w:u w:val="single"/>
        </w:rPr>
        <w:t>Amendment</w:t>
      </w:r>
      <w:r>
        <w:rPr>
          <w:color w:val="000000"/>
        </w:rPr>
        <w:t xml:space="preserve"> </w:t>
      </w:r>
      <w:r>
        <w:rPr>
          <w:rFonts w:ascii="Times New Roman;sans-serif" w:hAnsi="Times New Roman;sans-serif"/>
          <w:b w:val="false"/>
          <w:color w:val="000000"/>
          <w:sz w:val="24"/>
          <w:u w:val="single"/>
        </w:rPr>
        <w:t>Date</w:t>
      </w:r>
      <w:r>
        <w:rPr>
          <w:color w:val="000000"/>
        </w:rPr>
        <w:t>”</w:t>
      </w:r>
      <w:r>
        <w:rPr>
          <w:rFonts w:ascii="Times New Roman;sans-serif" w:hAnsi="Times New Roman;sans-serif"/>
          <w:b w:val="false"/>
          <w:color w:val="000000"/>
          <w:sz w:val="24"/>
        </w:rPr>
        <w:t>), is to the Employment Agreement, dated as of November 30, 2020, and effective as of December 1, 2020 (the “</w:t>
      </w:r>
      <w:r>
        <w:rPr>
          <w:rFonts w:ascii="Times New Roman;sans-serif" w:hAnsi="Times New Roman;sans-serif"/>
          <w:b w:val="false"/>
          <w:color w:val="000000"/>
          <w:sz w:val="24"/>
          <w:u w:val="single"/>
        </w:rPr>
        <w:t>Employment Agreement</w:t>
      </w:r>
      <w:r>
        <w:rPr>
          <w:color w:val="000000"/>
        </w:rPr>
        <w:t>”</w:t>
      </w:r>
      <w:r>
        <w:rPr>
          <w:rFonts w:ascii="Times New Roman;sans-serif" w:hAnsi="Times New Roman;sans-serif"/>
          <w:b w:val="false"/>
          <w:color w:val="000000"/>
          <w:sz w:val="24"/>
        </w:rPr>
        <w:t>), by and among Douglas R. Lebda (the “</w:t>
      </w:r>
      <w:r>
        <w:rPr>
          <w:rFonts w:ascii="Times New Roman;sans-serif" w:hAnsi="Times New Roman;sans-serif"/>
          <w:b w:val="false"/>
          <w:color w:val="000000"/>
          <w:sz w:val="24"/>
          <w:u w:val="single"/>
        </w:rPr>
        <w:t>Employee</w:t>
      </w:r>
      <w:r>
        <w:rPr>
          <w:color w:val="000000"/>
        </w:rPr>
        <w:t>”</w:t>
      </w:r>
      <w:r>
        <w:rPr>
          <w:rFonts w:ascii="Times New Roman;sans-serif" w:hAnsi="Times New Roman;sans-serif"/>
          <w:b w:val="false"/>
          <w:color w:val="000000"/>
          <w:sz w:val="24"/>
        </w:rPr>
        <w:t>), LendingTree,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LendingTree, LLC (“</w:t>
      </w:r>
      <w:r>
        <w:rPr>
          <w:rFonts w:ascii="Times New Roman;sans-serif" w:hAnsi="Times New Roman;sans-serif"/>
          <w:b w:val="false"/>
          <w:color w:val="000000"/>
          <w:sz w:val="24"/>
          <w:u w:val="single"/>
        </w:rPr>
        <w:t>LTLLC</w:t>
      </w:r>
      <w:r>
        <w:rPr>
          <w:color w:val="000000"/>
        </w:rPr>
        <w:t>”</w:t>
      </w:r>
      <w:r>
        <w:rPr>
          <w:rFonts w:ascii="Times New Roman;sans-serif" w:hAnsi="Times New Roman;sans-serif"/>
          <w:b w:val="false"/>
          <w:color w:val="000000"/>
          <w:sz w:val="24"/>
        </w:rPr>
        <w:t>, which as of the Amendment Date is a wholly-owned subsidiary of the Company, and together with the Company are collectively the “</w:t>
      </w:r>
      <w:r>
        <w:rPr>
          <w:rFonts w:ascii="Times New Roman;sans-serif" w:hAnsi="Times New Roman;sans-serif"/>
          <w:b w:val="false"/>
          <w:color w:val="000000"/>
          <w:sz w:val="24"/>
          <w:u w:val="single"/>
        </w:rPr>
        <w:t>Company Group</w:t>
      </w:r>
      <w:r>
        <w:rPr>
          <w:color w:val="000000"/>
        </w:rPr>
        <w:t>”</w:t>
      </w:r>
      <w:r>
        <w:rPr>
          <w:rFonts w:ascii="Times New Roman;sans-serif" w:hAnsi="Times New Roman;sans-serif"/>
          <w:b w:val="false"/>
          <w:color w:val="000000"/>
          <w:sz w:val="24"/>
        </w:rPr>
        <w:t>). All capitalized terms used herein but not otherwise defined shall have the meanings set forth in the Agreement (as defined herein).</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Group and Employee previously entered into the Employment Agreement, which will expire on December 31, 2023; and</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Group and Employee desire to amend certain provisions to the Employment Agreement to extend Employee’s service under such Employment Agreement, pursuant to the terms set forth herein.</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above, and for good and valuable consideration, the receipt and sufficiency of which is hereby acknowledged, the parties hereto agree as follows:</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1.The first sentence of Section 2 of the Employment Agreement is hereby amended and restated in its entirety as follows:</w:t>
      </w:r>
    </w:p>
    <w:p>
      <w:pPr>
        <w:pStyle w:val="TextBody"/>
        <w:bidi w:val="0"/>
        <w:spacing w:before="0" w:after="0"/>
        <w:jc w:val="left"/>
        <w:rPr/>
      </w:pPr>
      <w:r>
        <w:rPr/>
      </w:r>
    </w:p>
    <w:p>
      <w:pPr>
        <w:pStyle w:val="TextBody"/>
        <w:bidi w:val="0"/>
        <w:spacing w:lineRule="auto" w:line="240" w:before="0" w:after="0"/>
        <w:jc w:val="both"/>
        <w:rPr>
          <w:color w:val="000000"/>
        </w:rPr>
      </w:pPr>
      <w:r>
        <w:rPr>
          <w:color w:val="000000"/>
        </w:rPr>
        <w:t>“</w:t>
      </w:r>
      <w:r>
        <w:rPr>
          <w:rFonts w:ascii="Times New Roman;sans-serif" w:hAnsi="Times New Roman;sans-serif"/>
          <w:b w:val="false"/>
          <w:color w:val="000000"/>
          <w:sz w:val="24"/>
        </w:rPr>
        <w:t>The term (“Term”) of this Agreement will commence on December 1, 2020 (the “Commencement Date”) and will continue through December 31, 2024, unless sooner terminated in accordance with the provisions of Section 1 of the Standard Terms and Conditions attached hereto; provided, that certain terms and conditions herein may specify a greater period of effectiveness.”</w:t>
      </w:r>
    </w:p>
    <w:p>
      <w:pPr>
        <w:pStyle w:val="TextBody"/>
        <w:bidi w:val="0"/>
        <w:spacing w:before="0" w:after="0"/>
        <w:jc w:val="left"/>
        <w:rPr/>
      </w:pPr>
      <w:r>
        <w:rPr/>
      </w:r>
    </w:p>
    <w:p>
      <w:pPr>
        <w:pStyle w:val="TextBody"/>
        <w:bidi w:val="0"/>
        <w:spacing w:lineRule="auto" w:line="240" w:before="1"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2.This Amendment shall be for the benefit of and be binding upon, the parties hereto and their respective successors and assigns. Except as amended hereby, the terms and provisions of the Agreement shall remain in full force and effect, and the Agreement is in all respects ratified and confirmed. On and after the date of this Amendment, each reference in the Agreement to the “Agreement”, “hereinafter”, “herein”, “hereinafter”, “hereunder”, “hereof”, or words of like import shall mean and be a reference to the Agreement as amended by this Amendment. This Amendment shall be construed, enforced, and governed under the internal laws of the State of North Carolina, without giving effect to any choice of law provision or rule of any other jurisdiction. This Amendment may be executed in counterparts, each of which shall be deemed an original but all of which together will constitute one and the same instrument. Counterpart signature pages to this Amendment transmitted by facsimile transmission, by electronic mail in portable document format (.pdf), or by any other electronic means intended to preserve the original graphic and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81050"/>
                <wp:effectExtent l="0" t="0" r="0" b="0"/>
                <wp:wrapNone/>
                <wp:docPr id="120" name="Frame11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pictorial appearance of a document, will have the same effect as physical delivery of the paper document bearing an original signature.</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81050"/>
                <wp:effectExtent l="0" t="0" r="0" b="0"/>
                <wp:wrapNone/>
                <wp:docPr id="121" name="Frame11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79"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Amendment to be duly executed as of the date first indicated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163"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LENDINGTREE, INC.</w:t>
      </w:r>
    </w:p>
    <w:p>
      <w:pPr>
        <w:pStyle w:val="TextBody"/>
        <w:bidi w:val="0"/>
        <w:spacing w:before="240" w:after="283"/>
        <w:jc w:val="left"/>
        <w:rPr/>
      </w:pPr>
      <w:r>
        <w:rPr/>
      </w:r>
    </w:p>
    <w:p>
      <w:pPr>
        <w:pStyle w:val="TextBody"/>
        <w:bidi w:val="0"/>
        <w:spacing w:lineRule="auto" w:line="240" w:before="0" w:after="0"/>
        <w:ind w:left="0" w:right="0" w:hanging="392"/>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JILL OLMSTEAD    </w:t>
      </w:r>
      <w:r>
        <w:rPr>
          <w:color w:val="000000"/>
        </w:rPr>
        <w:t xml:space="preserve"> </w:t>
      </w:r>
      <w:r>
        <w:rPr>
          <w:rFonts w:ascii="Times New Roman;sans-serif" w:hAnsi="Times New Roman;sans-serif"/>
          <w:b w:val="false"/>
          <w:color w:val="000000"/>
          <w:sz w:val="24"/>
        </w:rPr>
        <w:t>Name: Jill Olmstead</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Human Resources Officer</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LENDINGTREE, LLC</w:t>
      </w:r>
    </w:p>
    <w:p>
      <w:pPr>
        <w:pStyle w:val="TextBody"/>
        <w:bidi w:val="0"/>
        <w:spacing w:before="0" w:after="0"/>
        <w:jc w:val="left"/>
        <w:rPr/>
      </w:pPr>
      <w:r>
        <w:rPr/>
      </w:r>
    </w:p>
    <w:p>
      <w:pPr>
        <w:pStyle w:val="TextBody"/>
        <w:bidi w:val="0"/>
        <w:spacing w:lineRule="auto" w:line="240" w:before="0" w:after="0"/>
        <w:ind w:left="0" w:right="0" w:hanging="392"/>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JILL OLMSTEAD    </w:t>
      </w:r>
      <w:r>
        <w:rPr>
          <w:color w:val="000000"/>
        </w:rPr>
        <w:t xml:space="preserve"> </w:t>
      </w:r>
      <w:r>
        <w:rPr>
          <w:rFonts w:ascii="Times New Roman;sans-serif" w:hAnsi="Times New Roman;sans-serif"/>
          <w:b w:val="false"/>
          <w:color w:val="000000"/>
          <w:sz w:val="24"/>
        </w:rPr>
        <w:t>Name: Jill Olmstead</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Human Resources Officer</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EMPLOYEE</w:t>
      </w:r>
    </w:p>
    <w:p>
      <w:pPr>
        <w:pStyle w:val="TextBody"/>
        <w:bidi w:val="0"/>
        <w:spacing w:before="0" w:after="0"/>
        <w:jc w:val="left"/>
        <w:rPr/>
      </w:pPr>
      <w:r>
        <w:rPr/>
      </w:r>
    </w:p>
    <w:p>
      <w:pPr>
        <w:pStyle w:val="TextBody"/>
        <w:bidi w:val="0"/>
        <w:spacing w:before="0" w:after="0"/>
        <w:jc w:val="left"/>
        <w:rPr/>
      </w:pPr>
      <w:r>
        <w:rPr/>
      </w:r>
    </w:p>
    <w:p>
      <w:pPr>
        <w:pStyle w:val="TextBody"/>
        <w:bidi w:val="0"/>
        <w:spacing w:before="84" w:after="283"/>
        <w:jc w:val="left"/>
        <w:rPr/>
      </w:pPr>
      <w:r>
        <w:rPr/>
      </w:r>
    </w:p>
    <w:p>
      <w:pPr>
        <w:pStyle w:val="TextBody"/>
        <w:bidi w:val="0"/>
        <w:spacing w:lineRule="auto" w:line="240" w:before="1" w:after="283"/>
        <w:ind w:left="0" w:right="0" w:hanging="48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DOUGLAS R. LEBDA    </w:t>
      </w:r>
      <w:r>
        <w:rPr>
          <w:color w:val="000000"/>
        </w:rPr>
        <w:t xml:space="preserve"> </w:t>
      </w:r>
      <w:r>
        <w:rPr>
          <w:rFonts w:ascii="Times New Roman;sans-serif" w:hAnsi="Times New Roman;sans-serif"/>
          <w:b w:val="false"/>
          <w:color w:val="000000"/>
          <w:sz w:val="24"/>
        </w:rPr>
        <w:t>Douglas R. Lebda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81050"/>
                <wp:effectExtent l="0" t="0" r="0" b="0"/>
                <wp:wrapNone/>
                <wp:docPr id="122" name="Frame11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9" w:after="283"/>
        <w:jc w:val="center"/>
        <w:rPr>
          <w:rFonts w:ascii="Times New Roman;sans-serif" w:hAnsi="Times New Roman;sans-serif"/>
          <w:b/>
          <w:color w:val="000000"/>
          <w:sz w:val="24"/>
        </w:rPr>
      </w:pPr>
      <w:r>
        <w:rPr>
          <w:rFonts w:ascii="Times New Roman;sans-serif" w:hAnsi="Times New Roman;sans-serif"/>
          <w:b/>
          <w:color w:val="000000"/>
          <w:sz w:val="24"/>
        </w:rPr>
        <w:t>SECOND AMENDMENT TO EMPLOYMENT AGREEMENT</w:t>
      </w:r>
    </w:p>
    <w:p>
      <w:pPr>
        <w:pStyle w:val="TextBody"/>
        <w:bidi w:val="0"/>
        <w:spacing w:before="0" w:after="0"/>
        <w:jc w:val="left"/>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4"/>
        </w:rPr>
        <w:t>This Second Amendment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made as of February 20, 2024 (the “</w:t>
      </w:r>
      <w:r>
        <w:rPr>
          <w:rFonts w:ascii="Times New Roman;sans-serif" w:hAnsi="Times New Roman;sans-serif"/>
          <w:b w:val="false"/>
          <w:color w:val="000000"/>
          <w:sz w:val="24"/>
          <w:u w:val="single"/>
        </w:rPr>
        <w:t>Amendment Date</w:t>
      </w:r>
      <w:r>
        <w:rPr>
          <w:color w:val="000000"/>
        </w:rPr>
        <w:t>”</w:t>
      </w:r>
      <w:r>
        <w:rPr>
          <w:rFonts w:ascii="Times New Roman;sans-serif" w:hAnsi="Times New Roman;sans-serif"/>
          <w:b w:val="false"/>
          <w:color w:val="000000"/>
          <w:sz w:val="24"/>
        </w:rPr>
        <w:t>), is to the Employment Agreement, dated as of November 30, 2020, and effective as of December 1, 2020, as previously amended December 29, 2023 (the “</w:t>
      </w:r>
      <w:r>
        <w:rPr>
          <w:rFonts w:ascii="Times New Roman;sans-serif" w:hAnsi="Times New Roman;sans-serif"/>
          <w:b w:val="false"/>
          <w:color w:val="000000"/>
          <w:sz w:val="24"/>
          <w:u w:val="single"/>
        </w:rPr>
        <w:t>Employment</w:t>
      </w:r>
      <w:r>
        <w:rPr>
          <w:color w:val="000000"/>
        </w:rPr>
        <w:t xml:space="preserv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by and among Douglas R. Lebda (the “</w:t>
      </w:r>
      <w:r>
        <w:rPr>
          <w:rFonts w:ascii="Times New Roman;sans-serif" w:hAnsi="Times New Roman;sans-serif"/>
          <w:b w:val="false"/>
          <w:color w:val="000000"/>
          <w:sz w:val="24"/>
          <w:u w:val="single"/>
        </w:rPr>
        <w:t>Employee</w:t>
      </w:r>
      <w:r>
        <w:rPr>
          <w:color w:val="000000"/>
        </w:rPr>
        <w:t>”</w:t>
      </w:r>
      <w:r>
        <w:rPr>
          <w:rFonts w:ascii="Times New Roman;sans-serif" w:hAnsi="Times New Roman;sans-serif"/>
          <w:b w:val="false"/>
          <w:color w:val="000000"/>
          <w:sz w:val="24"/>
        </w:rPr>
        <w:t>), LendingTree,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LendingTree, LLC (“</w:t>
      </w:r>
      <w:r>
        <w:rPr>
          <w:rFonts w:ascii="Times New Roman;sans-serif" w:hAnsi="Times New Roman;sans-serif"/>
          <w:b w:val="false"/>
          <w:color w:val="000000"/>
          <w:sz w:val="24"/>
          <w:u w:val="single"/>
        </w:rPr>
        <w:t>LTLLC</w:t>
      </w:r>
      <w:r>
        <w:rPr>
          <w:color w:val="000000"/>
        </w:rPr>
        <w:t>”</w:t>
      </w:r>
      <w:r>
        <w:rPr>
          <w:rFonts w:ascii="Times New Roman;sans-serif" w:hAnsi="Times New Roman;sans-serif"/>
          <w:b w:val="false"/>
          <w:color w:val="000000"/>
          <w:sz w:val="24"/>
        </w:rPr>
        <w:t>, which as of the Amendment Date is a wholly-owned subsidiary of the Company, and together with the Company are collectively the “</w:t>
      </w:r>
      <w:r>
        <w:rPr>
          <w:rFonts w:ascii="Times New Roman;sans-serif" w:hAnsi="Times New Roman;sans-serif"/>
          <w:b w:val="false"/>
          <w:color w:val="000000"/>
          <w:sz w:val="24"/>
          <w:u w:val="single"/>
        </w:rPr>
        <w:t>Company Group</w:t>
      </w:r>
      <w:r>
        <w:rPr>
          <w:color w:val="000000"/>
        </w:rPr>
        <w:t>”</w:t>
      </w:r>
      <w:r>
        <w:rPr>
          <w:rFonts w:ascii="Times New Roman;sans-serif" w:hAnsi="Times New Roman;sans-serif"/>
          <w:b w:val="false"/>
          <w:color w:val="000000"/>
          <w:sz w:val="24"/>
        </w:rPr>
        <w:t>). All capitalized terms used herein but not otherwise defined shall have the meanings set forth in the Agreement (as defined herein).</w:t>
      </w:r>
    </w:p>
    <w:p>
      <w:pPr>
        <w:pStyle w:val="TextBody"/>
        <w:bidi w:val="0"/>
        <w:spacing w:before="0" w:after="0"/>
        <w:jc w:val="left"/>
        <w:rPr/>
      </w:pPr>
      <w:r>
        <w:rPr/>
      </w:r>
    </w:p>
    <w:p>
      <w:pPr>
        <w:pStyle w:val="TextBody"/>
        <w:bidi w:val="0"/>
        <w:spacing w:lineRule="auto" w:line="240" w:before="0" w:after="0"/>
        <w:ind w:left="0" w:right="0" w:firstLine="719"/>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Group and Employee desire to amend certain provisions to the Employment Agreement, pursuant to the terms set forth herein.</w:t>
      </w:r>
    </w:p>
    <w:p>
      <w:pPr>
        <w:pStyle w:val="TextBody"/>
        <w:bidi w:val="0"/>
        <w:spacing w:before="1" w:after="283"/>
        <w:jc w:val="left"/>
        <w:rPr/>
      </w:pPr>
      <w:r>
        <w:rPr/>
      </w:r>
    </w:p>
    <w:p>
      <w:pPr>
        <w:pStyle w:val="TextBody"/>
        <w:bidi w:val="0"/>
        <w:spacing w:lineRule="auto" w:line="240" w:before="0" w:after="0"/>
        <w:ind w:left="0" w:right="0" w:firstLine="719"/>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above, and for good and valuable consideration, the receipt and sufficiency of which is hereby acknowledged, the parties hereto agree as follows: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1.The last sentence of Section 1(c) of the Standard Terms and Conditions to the Employment Agreement is hereby amended and restated in its entirety as follows:</w:t>
      </w:r>
    </w:p>
    <w:p>
      <w:pPr>
        <w:pStyle w:val="TextBody"/>
        <w:bidi w:val="0"/>
        <w:spacing w:before="0" w:after="0"/>
        <w:jc w:val="left"/>
        <w:rPr/>
      </w:pPr>
      <w:r>
        <w:rPr/>
      </w:r>
    </w:p>
    <w:p>
      <w:pPr>
        <w:pStyle w:val="TextBody"/>
        <w:bidi w:val="0"/>
        <w:spacing w:lineRule="auto" w:line="240" w:before="0" w:after="0"/>
        <w:jc w:val="both"/>
        <w:rPr>
          <w:color w:val="000000"/>
        </w:rPr>
      </w:pPr>
      <w:r>
        <w:rPr>
          <w:color w:val="000000"/>
        </w:rPr>
        <w:t>“</w:t>
      </w:r>
      <w:r>
        <w:rPr>
          <w:rFonts w:ascii="Times New Roman;sans-serif" w:hAnsi="Times New Roman;sans-serif"/>
          <w:b w:val="false"/>
          <w:color w:val="000000"/>
          <w:sz w:val="24"/>
        </w:rPr>
        <w:t>As used herein, “Good Reason” means the occurrence of any of the following without Employee’s written consent, (i) a material adverse change in Employee’s title at the Company, duties for the Company Group, operational authorities or reporting responsibilities as they relate to Employee’s position as Chairman of the Company from those in effect immediately following the Agreement Date, excluding for this purpose any such change that is an isolated and inadvertent action not taken in bad faith and that is remedied by the Company Group promptly after receipt of notice thereof given by Employee and for purposes of this subclause it shall not be considered a material adverse change if Employee is not the chief executive officer of the ultimate parent entity, the Company, or LTLLC so long as Employee remains Chairman, (ii) a material reduction in Employee’s annual base salary,</w:t>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(iii) a relocation of Employee’s principal place of business more than 25 miles from the Charlotte, North Carolina metropolitan area, or (iv) a material breach by the Company Group of this Agreement, excluding for this purpose any such action that is an isolated and inadvertent action not taken in bad faith and that is remedied by the Company Group promptly after receipt of notice thereof given by Employee.”</w:t>
      </w:r>
    </w:p>
    <w:p>
      <w:pPr>
        <w:pStyle w:val="TextBody"/>
        <w:bidi w:val="0"/>
        <w:spacing w:before="1" w:after="283"/>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2.Section 3(e) will be added following Section 3(d) of the Employment Agreement, and shall read in its entirety as follows: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81050"/>
                <wp:effectExtent l="0" t="0" r="0" b="0"/>
                <wp:wrapNone/>
                <wp:docPr id="123" name="Frame12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jc w:val="both"/>
        <w:rPr/>
      </w:pPr>
      <w:r>
        <w:rPr>
          <w:color w:val="000000"/>
        </w:rPr>
        <w:t>“</w:t>
      </w:r>
      <w:r>
        <w:rPr>
          <w:rFonts w:ascii="Times New Roman;sans-serif" w:hAnsi="Times New Roman;sans-serif"/>
          <w:b w:val="false"/>
          <w:color w:val="000000"/>
          <w:sz w:val="24"/>
        </w:rPr>
        <w:t xml:space="preserve">(e) </w:t>
      </w:r>
      <w:r>
        <w:rPr>
          <w:rFonts w:ascii="Times New Roman;sans-serif" w:hAnsi="Times New Roman;sans-serif"/>
          <w:b w:val="false"/>
          <w:color w:val="000000"/>
          <w:sz w:val="24"/>
          <w:u w:val="single"/>
        </w:rPr>
        <w:t>Investment Opportunity</w:t>
      </w:r>
      <w:r>
        <w:rPr>
          <w:rFonts w:ascii="Times New Roman;sans-serif" w:hAnsi="Times New Roman;sans-serif"/>
          <w:b w:val="false"/>
          <w:color w:val="000000"/>
          <w:sz w:val="24"/>
        </w:rPr>
        <w:t>. Notwithstanding the foregoing, in lieu of receiving cash payments in respect of Base Salary (as described in Section 3(a)) or annual bonus (as described in Section 3(b)), Employee will have the opportunity to elect, in his sole discretion, for each pay period (or for each year of the Term, in the case of the annual bonus), to invest all or a portion of such Base Salary or annual bonus actually payable after taking into account amounts withheld therefrom by the Company pursuant to Section 6 of the Standard Terms and Conditions or otherwise, for the purchase of LendingTree, Inc. Common Stock (the “Common Stock”) from the Company at a purchase price equal to the Market Value (as such term is used in Nasdaq Marketplace Rule 5635(c)(2)) at the time that such amount would otherwise be paid to Employee (the “Investment Opportunity”). With respect to Base Salary, Employee may exercise the Investment Opportunity and elect to purchase Common Stock from the Company subject to the Investment Opportunity, by delivering written notice (the “Investment Notice”) to the Company in a form provided by the Company no later than the business day prior to the first day of the relevant pay period. If specified therein, such Investment Notice may apply to subsequent pay periods, and if it does so specify, such Investment Notice shall remain in effect in accordance with such specification; provided that, to the extent such Investment Notice applies to subsequent pay periods, Employee may revoke such election with respect to any subsequent pay period up until the business day prior to the first day of the pay period for which the revocation is to apply. With respect to the annual bonus, Employee may exercise the Investment Opportunity and elect to purchase Common Stock from the Company subject to the Investment Opportunity, by delivering an Investment Notice to the Company in a form provided by the Company on or at any time prior to the final day of the Performance Year during the Term (provided that Employee may revoke such Investment Notice prior to the date the Committee or the Board certifies the amount payable under such annual bonus). The Investment Notice may be conditioned upon approval by the Committee or the Board of the Investment Election for the annual bonus in accordance with Rule 16b-3 promulgated under the Securities Exchange Act of 1934, as amended.</w:t>
      </w:r>
    </w:p>
    <w:p>
      <w:pPr>
        <w:pStyle w:val="TextBody"/>
        <w:bidi w:val="0"/>
        <w:spacing w:before="3"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Employee understands that the offer and sale of Common Stock that may be purchased by Employee pursuant to the Investment Election will not be made pursuant to the Company’s Seventh Amended and Restated LendingTree, Inc. 2008 Stock Plan, 2023 Stock Plan, or the ESPP, and will not be registered under the Securities Act of 1933, as amended (the “Securities Act”). Accordingly, such shares will be “restricted securities” as such term is defined in Rule 144 promulgated under the Securities Act, and may not be resold absent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81050"/>
                <wp:effectExtent l="0" t="0" r="0" b="0"/>
                <wp:wrapNone/>
                <wp:docPr id="124" name="Frame12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 available exemption for such resale established to the satisfaction of the Company and its transfer agent, and all certificates for such shares or book entries related thereto shall be marked with an appropriate restrictive legend indicating the status of such shares as restricted securities.”</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3.This Amendment shall be for the benefit of and be binding upon, the parties hereto and their respective successors and assigns. Except as amended hereby, the terms and provisions of the Agreement shall remain in full force and effect, and the Agreement is in all respects ratified and confirmed. On and after the date of this Amendment, each reference in the Agreement to the “Agreement”, “hereinafter”, “herein”, “hereinafter”, “hereunder”, “hereof”, or words of like import shall mean and be a reference to the Agreement as amended by this Amendment. This Amendment shall be construed, enforced, and governed under the internal laws of the State of North Carolina, without giving effect to any choice of law provision or rule of any other jurisdiction. This Amendment may be executed in counterparts, each of which shall be deemed an original but all of which together will constitute one and the same instrument. Counterpart signature pages to this Amendment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before="1"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81050"/>
                <wp:effectExtent l="0" t="0" r="0" b="0"/>
                <wp:wrapNone/>
                <wp:docPr id="125" name="Frame12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79" w:after="283"/>
        <w:ind w:left="0" w:right="0" w:firstLine="719"/>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Amendment to be duly executed as of the date first indicated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163" w:after="283"/>
        <w:jc w:val="left"/>
        <w:rPr/>
      </w:pPr>
      <w:r>
        <w:rPr/>
      </w:r>
    </w:p>
    <w:p>
      <w:pPr>
        <w:pStyle w:val="TextBody"/>
        <w:bidi w:val="0"/>
        <w:spacing w:lineRule="auto" w:line="240" w:before="1" w:after="283"/>
        <w:jc w:val="left"/>
        <w:rPr>
          <w:rFonts w:ascii="Times New Roman;sans-serif" w:hAnsi="Times New Roman;sans-serif"/>
          <w:b/>
          <w:color w:val="000000"/>
          <w:sz w:val="24"/>
        </w:rPr>
      </w:pPr>
      <w:r>
        <w:rPr>
          <w:rFonts w:ascii="Times New Roman;sans-serif" w:hAnsi="Times New Roman;sans-serif"/>
          <w:b/>
          <w:color w:val="000000"/>
          <w:sz w:val="24"/>
        </w:rPr>
        <w:t>LENDINGTREE, INC.</w:t>
      </w:r>
    </w:p>
    <w:p>
      <w:pPr>
        <w:pStyle w:val="TextBody"/>
        <w:bidi w:val="0"/>
        <w:spacing w:before="2" w:after="283"/>
        <w:jc w:val="left"/>
        <w:rPr/>
      </w:pPr>
      <w:r>
        <w:rPr/>
      </w:r>
    </w:p>
    <w:p>
      <w:pPr>
        <w:pStyle w:val="TextBody"/>
        <w:bidi w:val="0"/>
        <w:spacing w:lineRule="auto" w:line="240" w:before="0" w:after="0"/>
        <w:jc w:val="righ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JILL OLMSTEAD</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Jill Olmstead</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Human Resources Officer</w:t>
      </w:r>
    </w:p>
    <w:p>
      <w:pPr>
        <w:pStyle w:val="TextBody"/>
        <w:bidi w:val="0"/>
        <w:spacing w:before="0" w:after="0"/>
        <w:jc w:val="left"/>
        <w:rPr/>
      </w:pPr>
      <w:r>
        <w:rPr/>
      </w:r>
    </w:p>
    <w:p>
      <w:pPr>
        <w:pStyle w:val="TextBody"/>
        <w:bidi w:val="0"/>
        <w:spacing w:before="190"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LENDINGTREE, LLC</w:t>
      </w:r>
    </w:p>
    <w:p>
      <w:pPr>
        <w:pStyle w:val="TextBody"/>
        <w:bidi w:val="0"/>
        <w:spacing w:before="2" w:after="283"/>
        <w:jc w:val="left"/>
        <w:rPr/>
      </w:pPr>
      <w:r>
        <w:rPr/>
      </w:r>
    </w:p>
    <w:p>
      <w:pPr>
        <w:pStyle w:val="TextBody"/>
        <w:bidi w:val="0"/>
        <w:spacing w:lineRule="auto" w:line="240" w:before="0" w:after="0"/>
        <w:jc w:val="righ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JILL OLMSTEAD</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Jill Olmstead</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Human Resources Officer</w:t>
      </w:r>
    </w:p>
    <w:p>
      <w:pPr>
        <w:pStyle w:val="TextBody"/>
        <w:bidi w:val="0"/>
        <w:spacing w:before="0" w:after="0"/>
        <w:jc w:val="left"/>
        <w:rPr/>
      </w:pPr>
      <w:r>
        <w:rPr/>
      </w:r>
    </w:p>
    <w:p>
      <w:pPr>
        <w:pStyle w:val="TextBody"/>
        <w:bidi w:val="0"/>
        <w:spacing w:before="189" w:after="283"/>
        <w:jc w:val="left"/>
        <w:rPr/>
      </w:pPr>
      <w:r>
        <w:rPr/>
      </w:r>
    </w:p>
    <w:p>
      <w:pPr>
        <w:pStyle w:val="TextBody"/>
        <w:bidi w:val="0"/>
        <w:spacing w:lineRule="auto" w:line="240" w:before="0" w:after="0"/>
        <w:jc w:val="left"/>
        <w:rPr/>
      </w:pPr>
      <w:r>
        <w:rPr>
          <w:rFonts w:ascii="Times New Roman;sans-serif" w:hAnsi="Times New Roman;sans-serif"/>
          <w:b/>
          <w:color w:val="000000"/>
          <w:sz w:val="24"/>
        </w:rPr>
        <w:t>EMPLOYEE</w:t>
      </w:r>
      <w:r>
        <w:rPr>
          <w:rFonts w:ascii="Times New Roman;sans-serif" w:hAnsi="Times New Roman;sans-serif"/>
          <w:b w:val="false"/>
          <w:color w:val="000000"/>
          <w:sz w:val="24"/>
        </w:rPr>
        <w:br/>
        <w:br/>
        <w:t xml:space="preserve">By: </w:t>
      </w:r>
      <w:r>
        <w:rPr>
          <w:rFonts w:ascii="Times New Roman;sans-serif" w:hAnsi="Times New Roman;sans-serif"/>
          <w:b w:val="false"/>
          <w:color w:val="000000"/>
          <w:sz w:val="24"/>
          <w:u w:val="single"/>
        </w:rPr>
        <w:t>/s/ DOUGLAS R. LEBDA</w:t>
      </w:r>
    </w:p>
    <w:p>
      <w:pPr>
        <w:pStyle w:val="TextBody"/>
        <w:bidi w:val="0"/>
        <w:spacing w:lineRule="auto" w:line="27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Douglas R. Lebda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81050"/>
                <wp:effectExtent l="0" t="0" r="0" b="0"/>
                <wp:wrapNone/>
                <wp:docPr id="126" name="Frame12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85" w:after="283"/>
        <w:jc w:val="center"/>
        <w:rPr>
          <w:rFonts w:ascii="Times New Roman;sans-serif" w:hAnsi="Times New Roman;sans-serif"/>
          <w:b/>
          <w:color w:val="000000"/>
          <w:sz w:val="20"/>
        </w:rPr>
      </w:pPr>
      <w:r>
        <w:rPr>
          <w:rFonts w:ascii="Times New Roman;sans-serif" w:hAnsi="Times New Roman;sans-serif"/>
          <w:b/>
          <w:color w:val="000000"/>
          <w:sz w:val="20"/>
        </w:rPr>
        <w:t>Consultant Agreement</w:t>
      </w:r>
    </w:p>
    <w:p>
      <w:pPr>
        <w:pStyle w:val="TextBody"/>
        <w:bidi w:val="0"/>
        <w:spacing w:before="40" w:after="283"/>
        <w:jc w:val="left"/>
        <w:rPr/>
      </w:pPr>
      <w:r>
        <w:rPr/>
      </w:r>
    </w:p>
    <w:p>
      <w:pPr>
        <w:pStyle w:val="TextBody"/>
        <w:bidi w:val="0"/>
        <w:spacing w:lineRule="auto" w:line="240" w:before="0" w:after="0"/>
        <w:jc w:val="both"/>
        <w:rPr/>
      </w:pPr>
      <w:r>
        <w:rPr>
          <w:rFonts w:ascii="Times New Roman;sans-serif" w:hAnsi="Times New Roman;sans-serif"/>
          <w:b w:val="false"/>
          <w:color w:val="000000"/>
          <w:sz w:val="20"/>
        </w:rPr>
        <w:t>This Consultant Agreement (“</w:t>
      </w:r>
      <w:r>
        <w:rPr>
          <w:rFonts w:ascii="Times New Roman;sans-serif" w:hAnsi="Times New Roman;sans-serif"/>
          <w:b/>
          <w:i/>
          <w:color w:val="000000"/>
          <w:sz w:val="20"/>
        </w:rPr>
        <w:t>Agreement</w:t>
      </w:r>
      <w:r>
        <w:rPr>
          <w:color w:val="000000"/>
        </w:rPr>
        <w:t>”</w:t>
      </w:r>
      <w:r>
        <w:rPr>
          <w:rFonts w:ascii="Times New Roman;sans-serif" w:hAnsi="Times New Roman;sans-serif"/>
          <w:b w:val="false"/>
          <w:color w:val="000000"/>
          <w:sz w:val="20"/>
        </w:rPr>
        <w:t>) is made and entered into effective as of the 1st day of August, 2023</w:t>
      </w:r>
    </w:p>
    <w:p>
      <w:pPr>
        <w:pStyle w:val="TextBody"/>
        <w:bidi w:val="0"/>
        <w:spacing w:lineRule="auto" w:line="240" w:before="1" w:after="283"/>
        <w:jc w:val="both"/>
        <w:rPr/>
      </w:pPr>
      <w:r>
        <w:rPr>
          <w:rFonts w:ascii="Times New Roman;sans-serif" w:hAnsi="Times New Roman;sans-serif"/>
          <w:b w:val="false"/>
          <w:color w:val="000000"/>
          <w:sz w:val="20"/>
        </w:rPr>
        <w:t>(“</w:t>
      </w:r>
      <w:r>
        <w:rPr>
          <w:rFonts w:ascii="Times New Roman;sans-serif" w:hAnsi="Times New Roman;sans-serif"/>
          <w:b/>
          <w:i/>
          <w:color w:val="000000"/>
          <w:sz w:val="20"/>
        </w:rPr>
        <w:t>Effective Date</w:t>
      </w:r>
      <w:r>
        <w:rPr>
          <w:color w:val="000000"/>
        </w:rPr>
        <w:t>”</w:t>
      </w:r>
      <w:r>
        <w:rPr>
          <w:rFonts w:ascii="Times New Roman;sans-serif" w:hAnsi="Times New Roman;sans-serif"/>
          <w:b w:val="false"/>
          <w:color w:val="000000"/>
          <w:sz w:val="20"/>
        </w:rPr>
        <w:t>), by and between LendingTree, LLC (“</w:t>
      </w:r>
      <w:r>
        <w:rPr>
          <w:rFonts w:ascii="Times New Roman;sans-serif" w:hAnsi="Times New Roman;sans-serif"/>
          <w:b/>
          <w:i/>
          <w:color w:val="000000"/>
          <w:sz w:val="20"/>
        </w:rPr>
        <w:t>LendingTree</w:t>
      </w:r>
      <w:r>
        <w:rPr>
          <w:color w:val="000000"/>
        </w:rPr>
        <w:t>”</w:t>
      </w:r>
      <w:r>
        <w:rPr>
          <w:rFonts w:ascii="Times New Roman;sans-serif" w:hAnsi="Times New Roman;sans-serif"/>
          <w:b w:val="false"/>
          <w:color w:val="000000"/>
          <w:sz w:val="20"/>
        </w:rPr>
        <w:t>), a Delaware limited liability company, with its principal place of business at 1415 Vantage Park Drive, Suite 700, Charlotte, NC 28203 and John David Moriarty (“</w:t>
      </w:r>
      <w:r>
        <w:rPr>
          <w:rFonts w:ascii="Times New Roman;sans-serif" w:hAnsi="Times New Roman;sans-serif"/>
          <w:b/>
          <w:i/>
          <w:color w:val="000000"/>
          <w:sz w:val="20"/>
        </w:rPr>
        <w:t>Consultant</w:t>
      </w:r>
      <w:r>
        <w:rPr>
          <w:color w:val="000000"/>
        </w:rPr>
        <w:t>”</w:t>
      </w:r>
      <w:r>
        <w:rPr>
          <w:rFonts w:ascii="Times New Roman;sans-serif" w:hAnsi="Times New Roman;sans-serif"/>
          <w:b w:val="false"/>
          <w:color w:val="000000"/>
          <w:sz w:val="20"/>
        </w:rPr>
        <w:t>).</w:t>
      </w:r>
    </w:p>
    <w:p>
      <w:pPr>
        <w:pStyle w:val="TextBody"/>
        <w:bidi w:val="0"/>
        <w:spacing w:before="6" w:after="283"/>
        <w:jc w:val="left"/>
        <w:rPr/>
      </w:pPr>
      <w:r>
        <w:rPr/>
      </w:r>
    </w:p>
    <w:p>
      <w:pPr>
        <w:pStyle w:val="TextBody"/>
        <w:bidi w:val="0"/>
        <w:spacing w:lineRule="auto" w:line="240" w:before="0" w:after="0"/>
        <w:ind w:left="0" w:right="0" w:hanging="631"/>
        <w:jc w:val="left"/>
        <w:rPr>
          <w:rFonts w:ascii="Times New Roman;sans-serif" w:hAnsi="Times New Roman;sans-serif"/>
          <w:b/>
          <w:color w:val="000000"/>
          <w:sz w:val="20"/>
        </w:rPr>
      </w:pPr>
      <w:r>
        <w:rPr>
          <w:rFonts w:ascii="Times New Roman;sans-serif" w:hAnsi="Times New Roman;sans-serif"/>
          <w:b/>
          <w:color w:val="000000"/>
          <w:sz w:val="20"/>
        </w:rPr>
        <w:t>1.Responsibilities of Consultant.</w:t>
      </w:r>
    </w:p>
    <w:p>
      <w:pPr>
        <w:pStyle w:val="TextBody"/>
        <w:bidi w:val="0"/>
        <w:spacing w:before="40" w:after="283"/>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 xml:space="preserve">1.1Services. </w:t>
      </w:r>
      <w:r>
        <w:rPr>
          <w:rFonts w:ascii="Times New Roman;sans-serif" w:hAnsi="Times New Roman;sans-serif"/>
          <w:b w:val="false"/>
          <w:color w:val="000000"/>
          <w:sz w:val="20"/>
        </w:rPr>
        <w:t>Consultant will provide transition-related consulting services (collectively, “</w:t>
      </w:r>
      <w:r>
        <w:rPr>
          <w:rFonts w:ascii="Times New Roman;sans-serif" w:hAnsi="Times New Roman;sans-serif"/>
          <w:b/>
          <w:i/>
          <w:color w:val="000000"/>
          <w:sz w:val="20"/>
        </w:rPr>
        <w:t>Services</w:t>
      </w:r>
      <w:r>
        <w:rPr>
          <w:color w:val="000000"/>
        </w:rPr>
        <w:t>”</w:t>
      </w:r>
      <w:r>
        <w:rPr>
          <w:rFonts w:ascii="Times New Roman;sans-serif" w:hAnsi="Times New Roman;sans-serif"/>
          <w:b w:val="false"/>
          <w:color w:val="000000"/>
          <w:sz w:val="20"/>
        </w:rPr>
        <w:t>). The Services will be performed from a location of Consultant’s choosing, or periodically from Company’s Charlotte office as set forth in Section 1.3 below.</w:t>
      </w:r>
    </w:p>
    <w:p>
      <w:pPr>
        <w:pStyle w:val="TextBody"/>
        <w:bidi w:val="0"/>
        <w:spacing w:before="1" w:after="283"/>
        <w:jc w:val="left"/>
        <w:rPr/>
      </w:pPr>
      <w:r>
        <w:rPr/>
      </w:r>
    </w:p>
    <w:p>
      <w:pPr>
        <w:pStyle w:val="TextBody"/>
        <w:bidi w:val="0"/>
        <w:spacing w:lineRule="auto" w:line="240" w:before="1" w:after="283"/>
        <w:ind w:left="0" w:right="0" w:hanging="360"/>
        <w:jc w:val="left"/>
        <w:rPr/>
      </w:pPr>
      <w:r>
        <w:rPr>
          <w:rFonts w:ascii="Times New Roman;sans-serif" w:hAnsi="Times New Roman;sans-serif"/>
          <w:b/>
          <w:color w:val="000000"/>
          <w:sz w:val="20"/>
        </w:rPr>
        <w:t xml:space="preserve">1.2Performance of Services. </w:t>
      </w:r>
      <w:r>
        <w:rPr>
          <w:rFonts w:ascii="Times New Roman;sans-serif" w:hAnsi="Times New Roman;sans-serif"/>
          <w:b w:val="false"/>
          <w:color w:val="000000"/>
          <w:sz w:val="20"/>
        </w:rPr>
        <w:t>Consultant agrees to devote his/her best efforts to performance of the Services. Consultant will determine the method, details and means of performing the Services.</w:t>
      </w:r>
    </w:p>
    <w:p>
      <w:pPr>
        <w:pStyle w:val="TextBody"/>
        <w:bidi w:val="0"/>
        <w:spacing w:lineRule="auto" w:line="240" w:before="229" w:after="283"/>
        <w:ind w:left="0" w:right="0" w:hanging="360"/>
        <w:jc w:val="left"/>
        <w:rPr/>
      </w:pPr>
      <w:r>
        <w:rPr>
          <w:rFonts w:ascii="Times New Roman;sans-serif" w:hAnsi="Times New Roman;sans-serif"/>
          <w:b/>
          <w:color w:val="000000"/>
          <w:sz w:val="20"/>
        </w:rPr>
        <w:t xml:space="preserve">1.3Office Space and Support Staff. </w:t>
      </w:r>
      <w:r>
        <w:rPr>
          <w:rFonts w:ascii="Times New Roman;sans-serif" w:hAnsi="Times New Roman;sans-serif"/>
          <w:b w:val="false"/>
          <w:color w:val="000000"/>
          <w:sz w:val="20"/>
        </w:rPr>
        <w:t>Consultant will be responsible for supplying his/her own office space but may perform Services under this Agreement on LendingTree's premises at LendingTree’s request. The Consultant will be responsible for supplying his/her own office support staff, if any. Any and all personnel hired by the Consultant, as employees, consultants, agents or otherwise (collectively "</w:t>
      </w:r>
      <w:r>
        <w:rPr>
          <w:rFonts w:ascii="Times New Roman;sans-serif" w:hAnsi="Times New Roman;sans-serif"/>
          <w:b/>
          <w:i/>
          <w:color w:val="000000"/>
          <w:sz w:val="20"/>
        </w:rPr>
        <w:t>Staff</w:t>
      </w:r>
      <w:r>
        <w:rPr>
          <w:rFonts w:ascii="Times New Roman;sans-serif" w:hAnsi="Times New Roman;sans-serif"/>
          <w:b w:val="false"/>
          <w:color w:val="000000"/>
          <w:sz w:val="20"/>
        </w:rPr>
        <w:t>") shall be the responsibility of Consultant, and shall not be employees, agents, or independent contractors of LendingTree. Consultant will inform all Staff in writing at the time that such Staff are hired by Consultant that such Staff are not employees, agents, or independent contractors of LendingTree and that LendingTree has no present or future obligation to employ such Staff or provide such Staff with any compensation and/or employment benefits. Consultant will be solely responsible for the acts of such Staff and the Staff will conduct their activities at Consultant's risk, expense and supervision. Consultant warrants and covenants that each of the Staff shall be subject to written confidentiality obligations prohibiting the disclosure of Confidential Information of LendingTree (as defined in Section 7 below) on the terms and for the duration set forth in Section 7.</w:t>
      </w:r>
    </w:p>
    <w:p>
      <w:pPr>
        <w:pStyle w:val="TextBody"/>
        <w:bidi w:val="0"/>
        <w:spacing w:before="1" w:after="283"/>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 xml:space="preserve">1.4Withholding, Taxes and Benefits. </w:t>
      </w:r>
      <w:r>
        <w:rPr>
          <w:rFonts w:ascii="Times New Roman;sans-serif" w:hAnsi="Times New Roman;sans-serif"/>
          <w:b w:val="false"/>
          <w:color w:val="000000"/>
          <w:sz w:val="20"/>
        </w:rPr>
        <w:t>Consultant will be responsible for withholding, accruing and paying all income, social security and other taxes and amounts required by law for the compensation received hereunder and all payments to the Staff, if any. Consultant will also be responsible for all statutory insurance and other benefits required by law for Consultant and the Staff and all other benefits promised to the Staff by Consultant, if any. Consultant shall provide LendingTree with a completed W- 9 form prior to beginning performance of the Services.</w:t>
      </w:r>
    </w:p>
    <w:p>
      <w:pPr>
        <w:pStyle w:val="TextBody"/>
        <w:bidi w:val="0"/>
        <w:spacing w:lineRule="auto" w:line="240" w:before="229" w:after="283"/>
        <w:ind w:left="0" w:right="0" w:hanging="360"/>
        <w:jc w:val="left"/>
        <w:rPr/>
      </w:pPr>
      <w:r>
        <w:rPr>
          <w:rFonts w:ascii="Times New Roman;sans-serif" w:hAnsi="Times New Roman;sans-serif"/>
          <w:b/>
          <w:color w:val="000000"/>
          <w:sz w:val="20"/>
        </w:rPr>
        <w:t>1.5Ownership of Work Product</w:t>
      </w:r>
      <w:r>
        <w:rPr>
          <w:rFonts w:ascii="Times New Roman;sans-serif" w:hAnsi="Times New Roman;sans-serif"/>
          <w:b w:val="false"/>
          <w:color w:val="000000"/>
          <w:sz w:val="20"/>
        </w:rPr>
        <w:t>. Consultant understands and agrees that, except as expressly set forth in this Section, any and all copyrightable material, developments, concepts, improvements, designs, discoveries, ideas, trademarks or trade secrets, whether or not patentable or registrable under copyright or similar laws, which Consultant may solely or jointly conceive or develop or reduce to practice, or cause to be conceived or developed or reduced to practice, in the course of Consultant's performance of Services for LendingTree, together with all intellectual property rights relating to any of the foregoing (collectively, “</w:t>
      </w:r>
      <w:r>
        <w:rPr>
          <w:rFonts w:ascii="Times New Roman;sans-serif" w:hAnsi="Times New Roman;sans-serif"/>
          <w:b/>
          <w:i/>
          <w:color w:val="000000"/>
          <w:sz w:val="20"/>
        </w:rPr>
        <w:t>Work Product”</w:t>
      </w:r>
      <w:r>
        <w:rPr>
          <w:rFonts w:ascii="Times New Roman;sans-serif" w:hAnsi="Times New Roman;sans-serif"/>
          <w:b w:val="false"/>
          <w:color w:val="000000"/>
          <w:sz w:val="20"/>
        </w:rPr>
        <w:t>) shall inure and belong solely and exclusively to LendingTree. Except as expressly set forth below, Consultant hereby fully and irrevocably assigns, transfers and conveys to LendingTree all right, title and interest in and to all such Work Product. In addition, at LendingTree’s request and at LendingTree’s expense, Consultant agrees to take such further actions, including without limitation, execution and delivery of instruments of conveyance as may be appropriate to give full and proper effect to the assignment of all Work Product to LendingTree as contemplated by this Agreement. Notwithstanding anything to the contrary in this Section, and except as set forth in Section 1.6 below, with respect to copyrightable material, Consultant shall retain (and not transfer to LendingTree) ownership of all right, title, and interest in the right to create derivative works based upon Work Product.</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1.6License</w:t>
      </w:r>
      <w:r>
        <w:rPr>
          <w:rFonts w:ascii="Times New Roman;sans-serif" w:hAnsi="Times New Roman;sans-serif"/>
          <w:b w:val="false"/>
          <w:color w:val="000000"/>
          <w:sz w:val="20"/>
        </w:rPr>
        <w:t>. Consultant hereby grants LendingTree a worldwide, non-exclusive, perpetual, fully-paid up, royalty free, worldwide license to create derivative works based upon the Work Product and to use,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81050"/>
                <wp:effectExtent l="0" t="0" r="0" b="0"/>
                <wp:wrapNone/>
                <wp:docPr id="127" name="Frame12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80" w:after="283"/>
        <w:jc w:val="left"/>
        <w:rPr/>
      </w:pPr>
      <w:r>
        <w:rPr>
          <w:rFonts w:ascii="Times New Roman;sans-serif" w:hAnsi="Times New Roman;sans-serif"/>
          <w:b w:val="false"/>
          <w:color w:val="000000"/>
          <w:sz w:val="20"/>
        </w:rPr>
        <w:t xml:space="preserve">publish, distribute, reproduce, display, store, host, cache, transmit, sublicense and promote such derivative works in any form, format, or media, now known or hereafter developed as LendingTree may determine in its sole discretion. This Section will survive the termination or expiration of this Agreement. To the extent Consultant provides images in connection with the Services, LendingTree may continue to use such images in perpetuity on websites owned or operated by LendingTree. No right or license under any patent application, patent, trademark, copyright, trade secret, or other proprietary right of LendingTree (collectively, </w:t>
      </w:r>
      <w:r>
        <w:rPr>
          <w:color w:val="000000"/>
        </w:rPr>
        <w:t>“</w:t>
      </w:r>
      <w:r>
        <w:rPr>
          <w:rFonts w:ascii="Times New Roman;sans-serif" w:hAnsi="Times New Roman;sans-serif"/>
          <w:b/>
          <w:i/>
          <w:color w:val="000000"/>
          <w:sz w:val="20"/>
        </w:rPr>
        <w:t>LT Intellectual Property”</w:t>
      </w:r>
      <w:r>
        <w:rPr>
          <w:rFonts w:ascii="Times New Roman;sans-serif" w:hAnsi="Times New Roman;sans-serif"/>
          <w:b w:val="false"/>
          <w:color w:val="000000"/>
          <w:sz w:val="20"/>
        </w:rPr>
        <w:t>) is granted in this Agreement, by implication or otherwise. Consultant acknowledges that he has no right or interest in any LT Intellectual Property, and acquires none by operation of this Agreement.</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1.7Registration of Copyrights; Patent Applications</w:t>
      </w:r>
      <w:r>
        <w:rPr>
          <w:rFonts w:ascii="Times New Roman;sans-serif" w:hAnsi="Times New Roman;sans-serif"/>
          <w:b w:val="false"/>
          <w:color w:val="000000"/>
          <w:sz w:val="20"/>
        </w:rPr>
        <w:t>. LendingTree may register the copyrights in and/or apply for patents relating to the Work Product conveyed to LendingTree under this Agreement, in its own name or that of a designee. Consultant agrees to assist LendingTree, or its designee, at LendingTree's expense, in every proper way to secure LendingTree's rights in the Work Product and any copyrights, patents, mask work rights or other intellectual property rights relating thereto in any and all countries, including the disclosure to LendingTree of all pertinent information and data with respect thereto, the execution of all applications, specifications, oaths, assignments and all other instruments which LendingTree shall deem necessary in order to apply for and obtain such rights and in order to assign and convey to LendingTree, its successors, assigns, and nominees the sole and exclusive rights, title and interest in and to such Work Product, and any copyrights, patents, mask work rights or other intellectual property rights relating thereto. Consultant further agrees that his/her obligation to execute or cause to be executed, when it is in his/her power to do so, any such instrument or papers shall continue after the termination of this Agreement. If LendingTree is unable for any reason to secure the Consultant's signature to apply for or to pursue any application for any United States or foreign patents or copyright registrations covering Inventions or original works of authorship assigned to LendingTree as above, then Consultant hereby irrevocably designates and appoints LendingTree and its duly authorized officers and agents as his/her agent and attorney in fact, to act for and in his/her behalf and stead to execute and file any such applications and to do all other lawfully permitted acts to further the prosecution and issuance of letters patent or copyright registrations thereon with the same legal force and effect as if executed by him/her. This appointment is irrevocable and coupled with an interest.</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1.8Inventions Retained and Licensed</w:t>
      </w:r>
      <w:r>
        <w:rPr>
          <w:rFonts w:ascii="Times New Roman;sans-serif" w:hAnsi="Times New Roman;sans-serif"/>
          <w:b w:val="false"/>
          <w:color w:val="000000"/>
          <w:sz w:val="20"/>
        </w:rPr>
        <w:t>. If in the course of his/her work for LendingTree, Consultant incorporates into a LendingTree product, process or service any invention, original work of authorship, development, improvement, or trade secret which was made by Consultant prior to his/her retention by LendingTree (collectively referred to as "</w:t>
      </w:r>
      <w:r>
        <w:rPr>
          <w:rFonts w:ascii="Times New Roman;sans-serif" w:hAnsi="Times New Roman;sans-serif"/>
          <w:b/>
          <w:i/>
          <w:color w:val="000000"/>
          <w:sz w:val="20"/>
        </w:rPr>
        <w:t>Prior Inventions</w:t>
      </w:r>
      <w:r>
        <w:rPr>
          <w:rFonts w:ascii="Times New Roman;sans-serif" w:hAnsi="Times New Roman;sans-serif"/>
          <w:b w:val="false"/>
          <w:color w:val="000000"/>
          <w:sz w:val="20"/>
        </w:rPr>
        <w:t>"), LendingTree is hereby granted and shall have a nonexclusive, royalty-free, irrevocable, perpetual, worldwide license to make, have made, modify, use and sell such Prior Inventions as part of or in connection with such product, process or machine.</w:t>
      </w:r>
    </w:p>
    <w:p>
      <w:pPr>
        <w:pStyle w:val="TextBody"/>
        <w:bidi w:val="0"/>
        <w:spacing w:before="1" w:after="283"/>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1.9Maintenance of Records</w:t>
      </w:r>
      <w:r>
        <w:rPr>
          <w:rFonts w:ascii="Times New Roman;sans-serif" w:hAnsi="Times New Roman;sans-serif"/>
          <w:b w:val="false"/>
          <w:color w:val="000000"/>
          <w:sz w:val="20"/>
        </w:rPr>
        <w:t>. Consultant agrees to keep and maintain adequate and current written records of all Work Product made by him/her (solely or jointly with others) during the term of his/her retention by LendingTree. The records will be in the form of notes, sketches, drawings, and any other format that may be specified by LendingTree. The records will be available to and remain the sole property of LendingTree at all times.</w:t>
      </w:r>
    </w:p>
    <w:p>
      <w:pPr>
        <w:pStyle w:val="TextBody"/>
        <w:bidi w:val="0"/>
        <w:spacing w:before="1" w:after="283"/>
        <w:jc w:val="left"/>
        <w:rPr/>
      </w:pPr>
      <w:r>
        <w:rPr/>
      </w:r>
    </w:p>
    <w:p>
      <w:pPr>
        <w:pStyle w:val="TextBody"/>
        <w:bidi w:val="0"/>
        <w:spacing w:lineRule="auto" w:line="240" w:before="0" w:after="0"/>
        <w:ind w:left="0" w:right="0" w:hanging="631"/>
        <w:jc w:val="left"/>
        <w:rPr/>
      </w:pPr>
      <w:r>
        <w:rPr>
          <w:rFonts w:ascii="Times New Roman;sans-serif" w:hAnsi="Times New Roman;sans-serif"/>
          <w:b/>
          <w:color w:val="000000"/>
          <w:sz w:val="20"/>
        </w:rPr>
        <w:t>1.R</w:t>
      </w:r>
      <w:r>
        <w:rPr>
          <w:rFonts w:ascii="Times New Roman;sans-serif" w:hAnsi="Times New Roman;sans-serif"/>
          <w:b/>
          <w:color w:val="000000"/>
          <w:sz w:val="16"/>
        </w:rPr>
        <w:t xml:space="preserve">EPRESENTATIONS AND </w:t>
      </w:r>
      <w:r>
        <w:rPr>
          <w:rFonts w:ascii="Times New Roman;sans-serif" w:hAnsi="Times New Roman;sans-serif"/>
          <w:b/>
          <w:color w:val="000000"/>
          <w:sz w:val="20"/>
        </w:rPr>
        <w:t>W</w:t>
      </w:r>
      <w:r>
        <w:rPr>
          <w:rFonts w:ascii="Times New Roman;sans-serif" w:hAnsi="Times New Roman;sans-serif"/>
          <w:b/>
          <w:color w:val="000000"/>
          <w:sz w:val="16"/>
        </w:rPr>
        <w:t>ARRANTIES</w:t>
      </w:r>
      <w:r>
        <w:rPr>
          <w:rFonts w:ascii="Times New Roman;sans-serif" w:hAnsi="Times New Roman;sans-serif"/>
          <w:b w:val="false"/>
          <w:color w:val="000000"/>
          <w:sz w:val="20"/>
        </w:rPr>
        <w:t>.</w:t>
      </w:r>
    </w:p>
    <w:p>
      <w:pPr>
        <w:pStyle w:val="TextBody"/>
        <w:bidi w:val="0"/>
        <w:spacing w:before="47" w:after="283"/>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Consultant represents and warrants as follows:</w:t>
      </w:r>
    </w:p>
    <w:p>
      <w:pPr>
        <w:pStyle w:val="TextBody"/>
        <w:bidi w:val="0"/>
        <w:spacing w:lineRule="auto" w:line="240" w:before="228" w:after="283"/>
        <w:ind w:left="0" w:right="0" w:hanging="360"/>
        <w:jc w:val="left"/>
        <w:rPr/>
      </w:pPr>
      <w:r>
        <w:rPr>
          <w:rFonts w:ascii="Times New Roman;sans-serif" w:hAnsi="Times New Roman;sans-serif"/>
          <w:b/>
          <w:color w:val="000000"/>
          <w:sz w:val="20"/>
        </w:rPr>
        <w:t>1.1Conflict with Existing Laws or Contracts</w:t>
      </w:r>
      <w:r>
        <w:rPr>
          <w:rFonts w:ascii="Times New Roman;sans-serif" w:hAnsi="Times New Roman;sans-serif"/>
          <w:b w:val="false"/>
          <w:color w:val="000000"/>
          <w:sz w:val="20"/>
        </w:rPr>
        <w:t>. The execution and delivery of this Agreement and the performance of its obligations hereunder by Consultant will not conflict with or result in a breach of or constitute a default (or an event which, with notice or lapse of time, or both, would constitute a default) under any of the terms, conditions or provisions of any understanding, agreement or instrument to which he/she is a party or by which he/she is bound, or which would draw into question the validity of this Agreement, or of any action taken or to be taken in connection with the obligations contemplated herein, or which would be likely to impair materially his/her ability to perform under the terms of this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81050"/>
                <wp:effectExtent l="0" t="0" r="0" b="0"/>
                <wp:wrapNone/>
                <wp:docPr id="128" name="Frame12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w:t>
      </w:r>
    </w:p>
    <w:p>
      <w:pPr>
        <w:pStyle w:val="TextBody"/>
        <w:bidi w:val="0"/>
        <w:spacing w:lineRule="auto" w:line="240" w:before="229" w:after="283"/>
        <w:ind w:left="0" w:right="0" w:hanging="360"/>
        <w:jc w:val="left"/>
        <w:rPr/>
      </w:pPr>
      <w:r>
        <w:rPr>
          <w:rFonts w:ascii="Times New Roman;sans-serif" w:hAnsi="Times New Roman;sans-serif"/>
          <w:b/>
          <w:color w:val="000000"/>
          <w:sz w:val="20"/>
        </w:rPr>
        <w:t>1.2Compliance with Laws</w:t>
      </w:r>
      <w:r>
        <w:rPr>
          <w:rFonts w:ascii="Times New Roman;sans-serif" w:hAnsi="Times New Roman;sans-serif"/>
          <w:b w:val="false"/>
          <w:color w:val="000000"/>
          <w:sz w:val="20"/>
        </w:rPr>
        <w:t>. Consultant will comply with all applicable laws and regulations in performing his/her obligations under this Agreement.</w:t>
      </w:r>
    </w:p>
    <w:p>
      <w:pPr>
        <w:pStyle w:val="TextBody"/>
        <w:bidi w:val="0"/>
        <w:spacing w:before="1" w:after="283"/>
        <w:jc w:val="left"/>
        <w:rPr/>
      </w:pPr>
      <w:r>
        <w:rPr/>
      </w:r>
    </w:p>
    <w:p>
      <w:pPr>
        <w:pStyle w:val="TextBody"/>
        <w:bidi w:val="0"/>
        <w:spacing w:lineRule="auto" w:line="240" w:before="1" w:after="283"/>
        <w:ind w:left="0" w:right="0" w:hanging="360"/>
        <w:jc w:val="left"/>
        <w:rPr/>
      </w:pPr>
      <w:r>
        <w:rPr>
          <w:rFonts w:ascii="Times New Roman;sans-serif" w:hAnsi="Times New Roman;sans-serif"/>
          <w:b/>
          <w:color w:val="000000"/>
          <w:sz w:val="20"/>
        </w:rPr>
        <w:t>1.3Work Product</w:t>
      </w:r>
      <w:r>
        <w:rPr>
          <w:rFonts w:ascii="Times New Roman;sans-serif" w:hAnsi="Times New Roman;sans-serif"/>
          <w:b w:val="false"/>
          <w:color w:val="000000"/>
          <w:sz w:val="20"/>
        </w:rPr>
        <w:t>. Consultant represents, warrants, and agrees that: (i) all Work Product submitted to LendingTree by Consultant pursuant to this Agreement is and shall be created solely by Consultant, and if Consultant is not the sole creator, Consultant has obtained all necessary rights and permissions in the Work Product to transfer ownership of such Work Product to LendingTree as set forth in Section 1 of this Agreement, and will provide Lending Tree with all such rights and permissions at the time Consultant delivers the Work Product; (ii) no portion of the Work Product has been published or displayed in any other manner or location, nor has any portion been previously submitted for publication or display to another party; and (iii) the Work Product is factually accurate and does not: (a) infringe upon any copyright or other intellectual property right, or violate the privacy or publicity rights or any other proprietary right, of any other party, and display or use of the Work Product by LendingTree shall not violate any copyright laws or any third party’s intellectual property rights; (b) contain any libelous, scandalous, obscene, or unlawful matter; or (c) contain any instruction or other material that if reasonably followed by an ordinary reader of the Work Product, would be injurious to the reader or another. Consistent with Consultant’s grant of rights to LendingTree as set forth in Section 1 of this Agreement, Consultant agrees and acknowledges that Consultant shall not publish or display in any manner the Work Product submitted to LendingTree hereunder without the express written consent of LendingTree.</w:t>
      </w:r>
    </w:p>
    <w:p>
      <w:pPr>
        <w:pStyle w:val="TextBody"/>
        <w:bidi w:val="0"/>
        <w:spacing w:before="5" w:after="283"/>
        <w:jc w:val="left"/>
        <w:rPr/>
      </w:pPr>
      <w:r>
        <w:rPr/>
      </w:r>
    </w:p>
    <w:p>
      <w:pPr>
        <w:pStyle w:val="TextBody"/>
        <w:bidi w:val="0"/>
        <w:spacing w:lineRule="auto" w:line="240" w:before="0" w:after="0"/>
        <w:ind w:left="0" w:right="0" w:hanging="631"/>
        <w:jc w:val="left"/>
        <w:rPr>
          <w:rFonts w:ascii="Times New Roman;sans-serif" w:hAnsi="Times New Roman;sans-serif"/>
          <w:b/>
          <w:color w:val="000000"/>
          <w:sz w:val="20"/>
        </w:rPr>
      </w:pPr>
      <w:r>
        <w:rPr>
          <w:rFonts w:ascii="Times New Roman;sans-serif" w:hAnsi="Times New Roman;sans-serif"/>
          <w:b/>
          <w:color w:val="000000"/>
          <w:sz w:val="20"/>
        </w:rPr>
        <w:t>2.Compensation.</w:t>
      </w:r>
    </w:p>
    <w:p>
      <w:pPr>
        <w:pStyle w:val="TextBody"/>
        <w:bidi w:val="0"/>
        <w:spacing w:before="40" w:after="283"/>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 xml:space="preserve">1.1Expenses. </w:t>
      </w:r>
      <w:r>
        <w:rPr>
          <w:rFonts w:ascii="Times New Roman;sans-serif" w:hAnsi="Times New Roman;sans-serif"/>
          <w:b w:val="false"/>
          <w:color w:val="000000"/>
          <w:sz w:val="20"/>
        </w:rPr>
        <w:t>Consultant shall make no claim for reimbursement of any expenses, costs, or liabilities Consultant incurs while performing hereunder unless otherwise authorized in writing by LendingTree.</w:t>
      </w:r>
    </w:p>
    <w:p>
      <w:pPr>
        <w:pStyle w:val="TextBody"/>
        <w:bidi w:val="0"/>
        <w:spacing w:before="1" w:after="283"/>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 xml:space="preserve">1.2Fees. </w:t>
      </w:r>
      <w:r>
        <w:rPr>
          <w:rFonts w:ascii="Times New Roman;sans-serif" w:hAnsi="Times New Roman;sans-serif"/>
          <w:b w:val="false"/>
          <w:color w:val="000000"/>
          <w:sz w:val="20"/>
        </w:rPr>
        <w:t>LendingTree agrees to pay Consultant as follows for the Services: $171,000.00. Consultant shall invoice LendingTree for such fee, and LendingTree shall make payment of such fee within thirty days of receipt of invoice. Invoices must be submitted electronically to accounts.payable@lendingtree.com. LendingTree shall not be obligated to make any payment until a signed W-9 form is received by LendingTree from Consultant.</w:t>
      </w:r>
    </w:p>
    <w:p>
      <w:pPr>
        <w:pStyle w:val="TextBody"/>
        <w:bidi w:val="0"/>
        <w:spacing w:before="1"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0"/>
        </w:rPr>
        <w:t xml:space="preserve">3.Non-Exclusivity. </w:t>
      </w:r>
      <w:r>
        <w:rPr>
          <w:rFonts w:ascii="Times New Roman;sans-serif" w:hAnsi="Times New Roman;sans-serif"/>
          <w:b w:val="false"/>
          <w:color w:val="000000"/>
          <w:sz w:val="20"/>
        </w:rPr>
        <w:t>Consultant shall not provide services similar to the Services for any competitor of LendingTree, or offer his/her own product or service which would compete with LendingTree’s services or products, during the Term and for a period of six (6) months thereafter. Except as provided in the foregoing, this Agreement is a non-exclusive agreement, and both parties remain free to enter into similar agreements with third parties.</w:t>
      </w:r>
    </w:p>
    <w:p>
      <w:pPr>
        <w:pStyle w:val="TextBody"/>
        <w:bidi w:val="0"/>
        <w:spacing w:before="4" w:after="283"/>
        <w:jc w:val="left"/>
        <w:rPr/>
      </w:pPr>
      <w:r>
        <w:rPr/>
      </w:r>
    </w:p>
    <w:p>
      <w:pPr>
        <w:pStyle w:val="TextBody"/>
        <w:bidi w:val="0"/>
        <w:spacing w:lineRule="auto" w:line="240" w:before="1" w:after="283"/>
        <w:ind w:left="0" w:right="0" w:hanging="631"/>
        <w:jc w:val="left"/>
        <w:rPr>
          <w:rFonts w:ascii="Times New Roman;sans-serif" w:hAnsi="Times New Roman;sans-serif"/>
          <w:b/>
          <w:color w:val="000000"/>
          <w:sz w:val="20"/>
        </w:rPr>
      </w:pPr>
      <w:r>
        <w:rPr>
          <w:rFonts w:ascii="Times New Roman;sans-serif" w:hAnsi="Times New Roman;sans-serif"/>
          <w:b/>
          <w:color w:val="000000"/>
          <w:sz w:val="20"/>
        </w:rPr>
        <w:t>4.Term and Termination.</w:t>
      </w:r>
    </w:p>
    <w:p>
      <w:pPr>
        <w:pStyle w:val="TextBody"/>
        <w:bidi w:val="0"/>
        <w:spacing w:before="39" w:after="283"/>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 xml:space="preserve">1.1Term. </w:t>
      </w:r>
      <w:r>
        <w:rPr>
          <w:rFonts w:ascii="Times New Roman;sans-serif" w:hAnsi="Times New Roman;sans-serif"/>
          <w:b w:val="false"/>
          <w:color w:val="000000"/>
          <w:sz w:val="20"/>
        </w:rPr>
        <w:t>This Agreement shall commence on the Effective Date and shall continue for six (6) months from such date (“</w:t>
      </w:r>
      <w:r>
        <w:rPr>
          <w:rFonts w:ascii="Times New Roman;sans-serif" w:hAnsi="Times New Roman;sans-serif"/>
          <w:b/>
          <w:i/>
          <w:color w:val="000000"/>
          <w:sz w:val="20"/>
        </w:rPr>
        <w:t>Term</w:t>
      </w:r>
      <w:r>
        <w:rPr>
          <w:color w:val="000000"/>
        </w:rPr>
        <w:t>”</w:t>
      </w:r>
      <w:r>
        <w:rPr>
          <w:rFonts w:ascii="Times New Roman;sans-serif" w:hAnsi="Times New Roman;sans-serif"/>
          <w:b w:val="false"/>
          <w:color w:val="000000"/>
          <w:sz w:val="20"/>
        </w:rPr>
        <w:t>), unless earlier terminated as set forth in Section 5.2 below.</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81050"/>
                <wp:effectExtent l="0" t="0" r="0" b="0"/>
                <wp:wrapNone/>
                <wp:docPr id="129" name="Frame12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80" w:after="283"/>
        <w:ind w:left="0" w:right="0" w:hanging="360"/>
        <w:jc w:val="left"/>
        <w:rPr/>
      </w:pPr>
      <w:r>
        <w:rPr>
          <w:rFonts w:ascii="Times New Roman;sans-serif" w:hAnsi="Times New Roman;sans-serif"/>
          <w:b/>
          <w:color w:val="000000"/>
          <w:sz w:val="20"/>
        </w:rPr>
        <w:t xml:space="preserve">1.2Termination. </w:t>
      </w:r>
      <w:r>
        <w:rPr>
          <w:rFonts w:ascii="Times New Roman;sans-serif" w:hAnsi="Times New Roman;sans-serif"/>
          <w:b w:val="false"/>
          <w:color w:val="000000"/>
          <w:sz w:val="20"/>
        </w:rPr>
        <w:t>LendingTree may terminate this Agreement at its convenience and without any breach by Consultant upon fifteen (15) days prior written notice. In the event that either party fails to perform its obligations, duties or responsibilities required of it under this Agreement or either party defaults in the performance of or breaches any of its representations, warranties or covenants hereunder (in any case a “</w:t>
      </w:r>
      <w:r>
        <w:rPr>
          <w:rFonts w:ascii="Times New Roman;sans-serif" w:hAnsi="Times New Roman;sans-serif"/>
          <w:b/>
          <w:i/>
          <w:color w:val="000000"/>
          <w:sz w:val="20"/>
        </w:rPr>
        <w:t>Default</w:t>
      </w:r>
      <w:r>
        <w:rPr>
          <w:color w:val="000000"/>
        </w:rPr>
        <w:t>”</w:t>
      </w:r>
      <w:r>
        <w:rPr>
          <w:rFonts w:ascii="Times New Roman;sans-serif" w:hAnsi="Times New Roman;sans-serif"/>
          <w:b w:val="false"/>
          <w:color w:val="000000"/>
          <w:sz w:val="20"/>
        </w:rPr>
        <w:t>), the non-defaulting party may terminate this Agreement provided that the non-defaulting party gives the breaching party written notice of the breach specifying in reasonable detail the nature of the Default. If the breaching party has not cured the breach to the reasonable satisfaction of the non- breaching party within ten (10) days of receipt of the notice (or such other time as may be mutually agreed in writing), the non-breaching party may immediately terminate this Agreement. For purposes of clarity and avoidance of doubt, termination of this Agreement by LendingTree does not relieve LendingTree of its obligations to pay the fee provided for in Section 3.2 above, and the termination of this Agreement by either of the parties does not relieve Consultant of Consultant’s obligations set forth in Sections 2, 4, and 7 herein.</w:t>
      </w:r>
    </w:p>
    <w:p>
      <w:pPr>
        <w:pStyle w:val="TextBody"/>
        <w:bidi w:val="0"/>
        <w:spacing w:lineRule="auto" w:line="240" w:before="230" w:after="283"/>
        <w:ind w:left="0" w:right="0" w:hanging="359"/>
        <w:jc w:val="left"/>
        <w:rPr/>
      </w:pPr>
      <w:r>
        <w:rPr>
          <w:rFonts w:ascii="Times New Roman;sans-serif" w:hAnsi="Times New Roman;sans-serif"/>
          <w:b/>
          <w:color w:val="000000"/>
          <w:sz w:val="20"/>
        </w:rPr>
        <w:t xml:space="preserve">1.3Effect of Termination and Survival. </w:t>
      </w:r>
      <w:r>
        <w:rPr>
          <w:rFonts w:ascii="Times New Roman;sans-serif" w:hAnsi="Times New Roman;sans-serif"/>
          <w:b w:val="false"/>
          <w:color w:val="000000"/>
          <w:sz w:val="20"/>
        </w:rPr>
        <w:t>Upon the termination of this Agreement for whatever reason:</w:t>
      </w:r>
    </w:p>
    <w:p>
      <w:pPr>
        <w:pStyle w:val="TextBody"/>
        <w:bidi w:val="0"/>
        <w:spacing w:lineRule="auto" w:line="240"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all obligations of the parties hereunder shall cease, except for those which survive termination as set forth in Section 8.2; (b) LendingTree shall pay the Consultant the consulting fee due through the date of such termination, to the extent unpaid; and (c) Consultant shall return to LendingTree all Confidential Information (as defined below).</w:t>
      </w:r>
    </w:p>
    <w:p>
      <w:pPr>
        <w:pStyle w:val="TextBody"/>
        <w:bidi w:val="0"/>
        <w:spacing w:lineRule="auto" w:line="240" w:before="229" w:after="283"/>
        <w:ind w:left="0" w:right="0" w:hanging="720"/>
        <w:jc w:val="left"/>
        <w:rPr/>
      </w:pPr>
      <w:r>
        <w:rPr>
          <w:rFonts w:ascii="Times New Roman;sans-serif" w:hAnsi="Times New Roman;sans-serif"/>
          <w:b/>
          <w:color w:val="000000"/>
          <w:sz w:val="20"/>
        </w:rPr>
        <w:t>5.I</w:t>
      </w:r>
      <w:r>
        <w:rPr>
          <w:rFonts w:ascii="Times New Roman;sans-serif" w:hAnsi="Times New Roman;sans-serif"/>
          <w:b/>
          <w:color w:val="000000"/>
          <w:sz w:val="16"/>
        </w:rPr>
        <w:t>NDEMNIFICATION</w:t>
      </w:r>
      <w:r>
        <w:rPr>
          <w:rFonts w:ascii="Times New Roman;sans-serif" w:hAnsi="Times New Roman;sans-serif"/>
          <w:b/>
          <w:color w:val="000000"/>
          <w:sz w:val="20"/>
        </w:rPr>
        <w:t xml:space="preserve">. </w:t>
      </w:r>
      <w:r>
        <w:rPr>
          <w:rFonts w:ascii="Times New Roman;sans-serif" w:hAnsi="Times New Roman;sans-serif"/>
          <w:b w:val="false"/>
          <w:color w:val="000000"/>
          <w:sz w:val="20"/>
        </w:rPr>
        <w:t>Consultant will indemnify and hold LendingTree harmless from and against any and all obligations, debts, suits, costs, claims, judgments, liabilities, attorneys’ fees, liens and attachments arising from or related to the (i) Services rendered by Consultant under the terms of this Agreement or (ii) any breach of Consultant of his/her obligations, representations, warranties or covenants under this Agreement.</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0"/>
        </w:rPr>
        <w:t>6.Confidential Information</w:t>
      </w:r>
      <w:r>
        <w:rPr>
          <w:rFonts w:ascii="Times New Roman;sans-serif" w:hAnsi="Times New Roman;sans-serif"/>
          <w:b w:val="false"/>
          <w:color w:val="000000"/>
          <w:sz w:val="20"/>
        </w:rPr>
        <w:t>.</w:t>
      </w:r>
    </w:p>
    <w:p>
      <w:pPr>
        <w:pStyle w:val="TextBody"/>
        <w:bidi w:val="0"/>
        <w:spacing w:before="47" w:after="283"/>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1.1LendingTree Information</w:t>
      </w:r>
      <w:r>
        <w:rPr>
          <w:rFonts w:ascii="Times New Roman;sans-serif" w:hAnsi="Times New Roman;sans-serif"/>
          <w:b w:val="false"/>
          <w:color w:val="000000"/>
          <w:sz w:val="20"/>
        </w:rPr>
        <w:t xml:space="preserve">. Consultant agrees at all times during the term of his/her retention by LendingTree and thereafter, to hold in strictest confidence, and not to use, except for the benefit of LendingTree, or to disclose to any person, firm or corporation except for the benefit of LendingTree and with written authorization of an authorized officer of LendingTree, any Confidential Information of LendingTree. Consultant understands and agrees that for the purposes of this Agreement, </w:t>
      </w:r>
      <w:r>
        <w:rPr>
          <w:color w:val="000000"/>
        </w:rPr>
        <w:t>“</w:t>
      </w:r>
      <w:r>
        <w:rPr>
          <w:rFonts w:ascii="Times New Roman;sans-serif" w:hAnsi="Times New Roman;sans-serif"/>
          <w:b/>
          <w:i/>
          <w:color w:val="000000"/>
          <w:sz w:val="20"/>
        </w:rPr>
        <w:t xml:space="preserve">Confidential Information” </w:t>
      </w:r>
      <w:r>
        <w:rPr>
          <w:rFonts w:ascii="Times New Roman;sans-serif" w:hAnsi="Times New Roman;sans-serif"/>
          <w:b w:val="false"/>
          <w:color w:val="000000"/>
          <w:sz w:val="20"/>
        </w:rPr>
        <w:t>includes the nature of the Services provided by Consultant hereunder, any LendingTree proprietary information, technical data, trade secrets or know-how, including, but not limited to, marketing strategy, research, product plans, products, services, customer lists and customers, markets, software, developments, inventions, processes, formulas, technology, designs, drawings, marketing, finances or other business information disclosed to the Consultant by LendingTree either directly or indirectly in writing, orally or by drawings or observation of parts or equipment. Unless otherwise provided herein, “Confidential Information” shall not include: (i) information that is generally known or is available to the general public through legitimate origins (and other than as the result of unauthorized disclosure by or through Consultant), as of the date such information becomes generally known or available to the general public; (ii) information that is rightfully acquired by Consultant after the date of this Agreement and outside the course and scope of the Services performed herein from a third party whose disclosure of such information is not in violation of any obligation of confidentiality to LendingTree, as of the date such information is actually acquired by Consultant; and (iii) knowledge, skills or information which is common to the trade or profession of Consultant. Notwithstanding the above, Consultant shall be liable for the unauthorized use or disclosure of any information that was Confidential Information at the time of such use or disclosure, regardless of whether such information loses its status as Confidential Information subsequent to or as a result of such unauthorized use or disclosure.</w:t>
      </w:r>
    </w:p>
    <w:p>
      <w:pPr>
        <w:pStyle w:val="TextBody"/>
        <w:bidi w:val="0"/>
        <w:spacing w:before="1" w:after="283"/>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1.2Former Client Information</w:t>
      </w:r>
      <w:r>
        <w:rPr>
          <w:rFonts w:ascii="Times New Roman;sans-serif" w:hAnsi="Times New Roman;sans-serif"/>
          <w:b w:val="false"/>
          <w:color w:val="000000"/>
          <w:sz w:val="20"/>
        </w:rPr>
        <w:t>. Consultant agrees that he/she will not, during his/her engagement with LendingTree, improperly use or disclose any proprietary information or trade secrets of any former or concurrent client or employer of Consultant or of any other person or entity and that Consultant will not bring onto the premises of, or otherwise transfer to, LendingTree any unpublished document, trade secret, or proprietary information belonging to any such client, employer, person or entity unless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81050"/>
                <wp:effectExtent l="0" t="0" r="0" b="0"/>
                <wp:wrapNone/>
                <wp:docPr id="130" name="Frame12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consented to in writing by such client, employer, person or entity.</w:t>
      </w:r>
    </w:p>
    <w:p>
      <w:pPr>
        <w:pStyle w:val="TextBody"/>
        <w:bidi w:val="0"/>
        <w:spacing w:lineRule="auto" w:line="240" w:before="229" w:after="283"/>
        <w:ind w:left="0" w:right="0" w:hanging="360"/>
        <w:jc w:val="left"/>
        <w:rPr/>
      </w:pPr>
      <w:r>
        <w:rPr>
          <w:rFonts w:ascii="Times New Roman;sans-serif" w:hAnsi="Times New Roman;sans-serif"/>
          <w:b/>
          <w:color w:val="000000"/>
          <w:sz w:val="20"/>
        </w:rPr>
        <w:t>1.3Third Party Information</w:t>
      </w:r>
      <w:r>
        <w:rPr>
          <w:rFonts w:ascii="Times New Roman;sans-serif" w:hAnsi="Times New Roman;sans-serif"/>
          <w:b w:val="false"/>
          <w:color w:val="000000"/>
          <w:sz w:val="20"/>
        </w:rPr>
        <w:t>. Consultant recognizes that LendingTree has received and in the future will receive from third parties their confidential or proprietary information subject to a duty on LendingTree's part to maintain the confidentiality of such information and to use it only for certain limited purposes. Consultant agrees to hold all such confidential or proprietary information in the strictest confidence and not to disclose it to any person, firm or corporation or to use it except as necessary in carrying out his/her work for LendingTree consistent with LendingTree's agreement with such third party.</w:t>
      </w:r>
    </w:p>
    <w:p>
      <w:pPr>
        <w:pStyle w:val="TextBody"/>
        <w:bidi w:val="0"/>
        <w:spacing w:before="1" w:after="283"/>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 xml:space="preserve">1.4Remedies. </w:t>
      </w:r>
      <w:r>
        <w:rPr>
          <w:rFonts w:ascii="Times New Roman;sans-serif" w:hAnsi="Times New Roman;sans-serif"/>
          <w:b w:val="false"/>
          <w:color w:val="000000"/>
          <w:sz w:val="20"/>
        </w:rPr>
        <w:t>Consultant acknowledges that any breach of his/her obligations under this Agreement would result in irreparable injury for which LendingTree shall have no adequate remedy at law. Accordingly, if Consultant breaches or threatens to breach any of Consultant’s obligations under this Agreement, LendingTree shall be entitled, without proving or showing any actual damage sustained and without the requirement of posting a bond or other security, to seek a temporary restraining order, preliminary injunction, permanent injunction and/or order compelling specific performance to prevent or cease the breach of Consultant’s obligations under this Agreement. Nothing in this Agreement shall be interpreted as prohibiting LendingTree from obtaining any other remedies otherwise available to it, in law or at equity, for such breach or threatened breach, including the recovery of damages.</w:t>
      </w:r>
    </w:p>
    <w:p>
      <w:pPr>
        <w:pStyle w:val="TextBody"/>
        <w:bidi w:val="0"/>
        <w:spacing w:before="5" w:after="283"/>
        <w:jc w:val="left"/>
        <w:rPr/>
      </w:pPr>
      <w:r>
        <w:rPr/>
      </w:r>
    </w:p>
    <w:p>
      <w:pPr>
        <w:pStyle w:val="TextBody"/>
        <w:bidi w:val="0"/>
        <w:spacing w:lineRule="auto" w:line="240" w:before="0" w:after="0"/>
        <w:ind w:left="0" w:right="0" w:hanging="631"/>
        <w:jc w:val="left"/>
        <w:rPr>
          <w:rFonts w:ascii="Times New Roman;sans-serif" w:hAnsi="Times New Roman;sans-serif"/>
          <w:b/>
          <w:color w:val="000000"/>
          <w:sz w:val="20"/>
        </w:rPr>
      </w:pPr>
      <w:r>
        <w:rPr>
          <w:rFonts w:ascii="Times New Roman;sans-serif" w:hAnsi="Times New Roman;sans-serif"/>
          <w:b/>
          <w:color w:val="000000"/>
          <w:sz w:val="20"/>
        </w:rPr>
        <w:t>7.Miscellaneous.</w:t>
      </w:r>
    </w:p>
    <w:p>
      <w:pPr>
        <w:pStyle w:val="TextBody"/>
        <w:bidi w:val="0"/>
        <w:spacing w:before="42" w:after="283"/>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 xml:space="preserve">1.1Relationship between LendingTree and Consultant. </w:t>
      </w:r>
      <w:r>
        <w:rPr>
          <w:rFonts w:ascii="Times New Roman;sans-serif" w:hAnsi="Times New Roman;sans-serif"/>
          <w:b w:val="false"/>
          <w:color w:val="000000"/>
          <w:sz w:val="20"/>
        </w:rPr>
        <w:t>On and after the Effective Date, Consultant shall at all times be and be deemed to be and independent contractor of LendingTree. Neither Consultant, nor any of his/her Staff, is an employee or agent of LendingTree for any purpose whatsoever, and shall not be entitled to paid vacation days, sick days, holidays or any other benefits provided to LendingTree employees. Consultant agrees that no income, social security or other taxes or amounts shall be withheld or accrued by LendingTree for Consultant's benefit or for the benefit of his/her Staff and no statutory insurance shall be written by LendingTree on behalf of Consultant or the employees of Consultant. Neither Consultant nor any of his/her Staff shall, under any circumstances, have any authority to act for or to bind LendingTree or to sign the name of LendingTree or to otherwise represent that LendingTree is in any way responsible for his/her acts or omissions. Neither Consultant nor his/her Staff has or have any authority to create any contract or obligation, express or implied, on behalf of, in the name of, or binding upon LendingTree.</w:t>
      </w:r>
    </w:p>
    <w:p>
      <w:pPr>
        <w:pStyle w:val="TextBody"/>
        <w:bidi w:val="0"/>
        <w:spacing w:before="1" w:after="283"/>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 xml:space="preserve">1.2Survival. </w:t>
      </w:r>
      <w:r>
        <w:rPr>
          <w:rFonts w:ascii="Times New Roman;sans-serif" w:hAnsi="Times New Roman;sans-serif"/>
          <w:b w:val="false"/>
          <w:color w:val="000000"/>
          <w:sz w:val="20"/>
        </w:rPr>
        <w:t xml:space="preserve">The following provisions shall expressly survive expiration or termination of this Agreement and shall continue in force and effect: Sections 1.5 through 1.9 inclusive, </w:t>
      </w:r>
      <w:hyperlink w:anchor="ie9884d0d577b411290bb0f2b1d586966_1">
        <w:r>
          <w:rPr>
            <w:rStyle w:val="InternetLink"/>
            <w:rFonts w:ascii="Times New Roman;sans-serif" w:hAnsi="Times New Roman;sans-serif"/>
            <w:b w:val="false"/>
            <w:strike w:val="false"/>
            <w:dstrike w:val="false"/>
            <w:color w:val="000000"/>
            <w:sz w:val="20"/>
            <w:u w:val="none"/>
            <w:effect w:val="none"/>
          </w:rPr>
          <w:t>2,</w:t>
        </w:r>
      </w:hyperlink>
      <w:r>
        <w:rPr>
          <w:rFonts w:ascii="Times New Roman;sans-serif" w:hAnsi="Times New Roman;sans-serif"/>
          <w:b w:val="false"/>
          <w:color w:val="000000"/>
          <w:sz w:val="20"/>
        </w:rPr>
        <w:t xml:space="preserve"> 3.2, </w:t>
      </w:r>
      <w:hyperlink w:anchor="ie9884d0d577b411290bb0f2b1d586966_1">
        <w:r>
          <w:rPr>
            <w:rStyle w:val="InternetLink"/>
            <w:rFonts w:ascii="Times New Roman;sans-serif" w:hAnsi="Times New Roman;sans-serif"/>
            <w:b w:val="false"/>
            <w:strike w:val="false"/>
            <w:dstrike w:val="false"/>
            <w:color w:val="000000"/>
            <w:sz w:val="20"/>
            <w:u w:val="none"/>
            <w:effect w:val="none"/>
          </w:rPr>
          <w:t>5.3,</w:t>
        </w:r>
      </w:hyperlink>
      <w:r>
        <w:rPr>
          <w:rFonts w:ascii="Times New Roman;sans-serif" w:hAnsi="Times New Roman;sans-serif"/>
          <w:b w:val="false"/>
          <w:color w:val="000000"/>
          <w:sz w:val="20"/>
        </w:rPr>
        <w:t xml:space="preserve"> </w:t>
      </w:r>
      <w:hyperlink w:anchor="ie9884d0d577b411290bb0f2b1d586966_1">
        <w:r>
          <w:rPr>
            <w:rStyle w:val="InternetLink"/>
            <w:rFonts w:ascii="Times New Roman;sans-serif" w:hAnsi="Times New Roman;sans-serif"/>
            <w:b w:val="false"/>
            <w:strike w:val="false"/>
            <w:dstrike w:val="false"/>
            <w:color w:val="000000"/>
            <w:sz w:val="20"/>
            <w:u w:val="none"/>
            <w:effect w:val="none"/>
          </w:rPr>
          <w:t>6,</w:t>
        </w:r>
      </w:hyperlink>
      <w:r>
        <w:rPr>
          <w:rFonts w:ascii="Times New Roman;sans-serif" w:hAnsi="Times New Roman;sans-serif"/>
          <w:b w:val="false"/>
          <w:color w:val="000000"/>
          <w:sz w:val="20"/>
        </w:rPr>
        <w:t xml:space="preserve"> 7 and 8.7.</w:t>
      </w:r>
    </w:p>
    <w:p>
      <w:pPr>
        <w:pStyle w:val="TextBody"/>
        <w:bidi w:val="0"/>
        <w:spacing w:lineRule="auto" w:line="240" w:before="229" w:after="283"/>
        <w:ind w:left="0" w:right="0" w:hanging="360"/>
        <w:jc w:val="left"/>
        <w:rPr/>
      </w:pPr>
      <w:r>
        <w:rPr>
          <w:rFonts w:ascii="Times New Roman;sans-serif" w:hAnsi="Times New Roman;sans-serif"/>
          <w:b/>
          <w:color w:val="000000"/>
          <w:sz w:val="20"/>
        </w:rPr>
        <w:t xml:space="preserve">1.3Assignment. </w:t>
      </w:r>
      <w:r>
        <w:rPr>
          <w:rFonts w:ascii="Times New Roman;sans-serif" w:hAnsi="Times New Roman;sans-serif"/>
          <w:b w:val="false"/>
          <w:color w:val="000000"/>
          <w:sz w:val="20"/>
        </w:rPr>
        <w:t>Consultant may not assign this Agreement, in whole or in part and any attempted assignment without such consent shall be null and void. Subject to the foregoing, this Agreement shall be binding upon and shall inure to the benefit of the parties hereto and their respective successors and permitted assigns.</w:t>
      </w:r>
    </w:p>
    <w:p>
      <w:pPr>
        <w:pStyle w:val="TextBody"/>
        <w:bidi w:val="0"/>
        <w:spacing w:lineRule="auto" w:line="240" w:before="230" w:after="283"/>
        <w:ind w:left="0" w:right="0" w:hanging="360"/>
        <w:jc w:val="left"/>
        <w:rPr/>
      </w:pPr>
      <w:r>
        <w:rPr>
          <w:rFonts w:ascii="Times New Roman;sans-serif" w:hAnsi="Times New Roman;sans-serif"/>
          <w:b/>
          <w:color w:val="000000"/>
          <w:sz w:val="20"/>
        </w:rPr>
        <w:t xml:space="preserve">1.4Severability. </w:t>
      </w:r>
      <w:r>
        <w:rPr>
          <w:rFonts w:ascii="Times New Roman;sans-serif" w:hAnsi="Times New Roman;sans-serif"/>
          <w:b w:val="false"/>
          <w:color w:val="000000"/>
          <w:sz w:val="20"/>
        </w:rPr>
        <w:t>If any provision of this Agreement is declared or found to be illegal, unenforceable or void, this Agreement shall be construed as if not containing that provision, and the rest of the Agreement shall remain in full force and effect.</w:t>
      </w:r>
    </w:p>
    <w:p>
      <w:pPr>
        <w:pStyle w:val="TextBody"/>
        <w:bidi w:val="0"/>
        <w:spacing w:before="2" w:after="283"/>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 xml:space="preserve">1.5Publicity. </w:t>
      </w:r>
      <w:r>
        <w:rPr>
          <w:rFonts w:ascii="Times New Roman;sans-serif" w:hAnsi="Times New Roman;sans-serif"/>
          <w:b w:val="false"/>
          <w:color w:val="000000"/>
          <w:sz w:val="20"/>
        </w:rPr>
        <w:t>Neither party shall use the name of the other party in publicity releases, advertising, or similar activities without the prior written consent of the other.</w:t>
      </w:r>
    </w:p>
    <w:p>
      <w:pPr>
        <w:pStyle w:val="TextBody"/>
        <w:bidi w:val="0"/>
        <w:spacing w:lineRule="auto" w:line="240" w:before="229" w:after="283"/>
        <w:ind w:left="0" w:right="0" w:hanging="360"/>
        <w:jc w:val="left"/>
        <w:rPr/>
      </w:pPr>
      <w:r>
        <w:rPr>
          <w:rFonts w:ascii="Times New Roman;sans-serif" w:hAnsi="Times New Roman;sans-serif"/>
          <w:b/>
          <w:color w:val="000000"/>
          <w:sz w:val="20"/>
        </w:rPr>
        <w:t xml:space="preserve">1.6Notices. </w:t>
      </w:r>
      <w:r>
        <w:rPr>
          <w:rFonts w:ascii="Times New Roman;sans-serif" w:hAnsi="Times New Roman;sans-serif"/>
          <w:b w:val="false"/>
          <w:color w:val="000000"/>
          <w:sz w:val="20"/>
        </w:rPr>
        <w:t>All notices, requests, consents, demands or other communications required or permitted to be given under this Agreement shall be in writing and shall be deemed to have been duly given: (i) when delivered, if sent by United States registered or certified mail (return receipt requested); (ii) when delivered, if delivered personally by commercial courier; (iii) on the second following business day, if sent by United States Express Mail or commercial overnight courier; or (iv) upon the date reflected on a fax confirmation from the transmitting fax machine, if sent by facsimile transmission and delivery of</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81050"/>
                <wp:effectExtent l="0" t="0" r="0" b="0"/>
                <wp:wrapNone/>
                <wp:docPr id="131" name="Frame12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facsimile transmission is subsequently confirmed telephonically within one (1) business day; in each case to the parties at the addresses set forth in the first paragraph (or at such other addresses as shall be specified by like notice).</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 xml:space="preserve">1.7Governing Law. </w:t>
      </w:r>
      <w:r>
        <w:rPr>
          <w:rFonts w:ascii="Times New Roman;sans-serif" w:hAnsi="Times New Roman;sans-serif"/>
          <w:b w:val="false"/>
          <w:color w:val="000000"/>
          <w:sz w:val="20"/>
        </w:rPr>
        <w:t>The parties agree that this Agreement shall be governed by and construed in accordance with the laws of the State of North Carolina without regard to any conflict of law provisions. Should a dispute arise under this contract the parties agree that jurisdiction over and venue of any suit arising out of this Agreement shall be exclusively in the state and federal courts of Charlotte, North Carolina. If either party employs attorneys to enforce any right arising out of or relating to this Agreement, the prevailing party shall be entitled to recover reasonable attorneys' fees.</w:t>
      </w:r>
    </w:p>
    <w:p>
      <w:pPr>
        <w:pStyle w:val="TextBody"/>
        <w:bidi w:val="0"/>
        <w:spacing w:before="1" w:after="283"/>
        <w:jc w:val="left"/>
        <w:rPr/>
      </w:pPr>
      <w:r>
        <w:rPr/>
      </w:r>
    </w:p>
    <w:p>
      <w:pPr>
        <w:pStyle w:val="TextBody"/>
        <w:bidi w:val="0"/>
        <w:spacing w:lineRule="auto" w:line="240" w:before="0" w:after="0"/>
        <w:ind w:left="0" w:right="0" w:hanging="360"/>
        <w:jc w:val="left"/>
        <w:rPr/>
      </w:pPr>
      <w:r>
        <w:rPr>
          <w:rFonts w:ascii="Times New Roman;sans-serif" w:hAnsi="Times New Roman;sans-serif"/>
          <w:b/>
          <w:color w:val="000000"/>
          <w:sz w:val="20"/>
        </w:rPr>
        <w:t xml:space="preserve">1.8Entire Agreement. </w:t>
      </w:r>
      <w:r>
        <w:rPr>
          <w:rFonts w:ascii="Times New Roman;sans-serif" w:hAnsi="Times New Roman;sans-serif"/>
          <w:b w:val="false"/>
          <w:color w:val="000000"/>
          <w:sz w:val="20"/>
        </w:rPr>
        <w:t>This Agreement constitutes the entire agreement between the parties relating to the subject matter hereof, with the exception of any other restrictive covenants to which Consultant may otherwise be bound in any capacity, and all prior and contemporaneous negotiations, agreements and understandings regarding any of the subject matter herein, whether oral or written, are superseded hereby except as to: (i) the Separation Agreement and General Release to which Consultant and LendingTree are parties; and (ii) any other restrictive covenants to which Consultant may otherwise be bound in any capacity. This Agreement may not be amended or modified except by a writing signed by both parties.</w:t>
      </w:r>
    </w:p>
    <w:p>
      <w:pPr>
        <w:pStyle w:val="TextBody"/>
        <w:bidi w:val="0"/>
        <w:spacing w:lineRule="auto" w:line="240" w:before="229" w:after="283"/>
        <w:ind w:left="0" w:right="0" w:hanging="360"/>
        <w:jc w:val="left"/>
        <w:rPr/>
      </w:pPr>
      <w:r>
        <w:rPr>
          <w:rFonts w:ascii="Times New Roman;sans-serif" w:hAnsi="Times New Roman;sans-serif"/>
          <w:b/>
          <w:color w:val="000000"/>
          <w:sz w:val="20"/>
        </w:rPr>
        <w:t xml:space="preserve">1.9Waiver. </w:t>
      </w:r>
      <w:r>
        <w:rPr>
          <w:rFonts w:ascii="Times New Roman;sans-serif" w:hAnsi="Times New Roman;sans-serif"/>
          <w:b w:val="false"/>
          <w:color w:val="000000"/>
          <w:sz w:val="20"/>
        </w:rPr>
        <w:t>No term or provision hereof will be deemed waived or modified, and no variation of terms or provisions hereof shall be deemed consented to, unless such waiver or consent is in writing signed by the party against whom such waiver or consent is sought to be enforced. Any delay, waiver or omission by either party to exercise any right or power arising from breach or default of this Agreement by the other party shall not be construed to be a waiver by that party of any subsequent breach or default.</w:t>
      </w:r>
    </w:p>
    <w:p>
      <w:pPr>
        <w:pStyle w:val="TextBody"/>
        <w:bidi w:val="0"/>
        <w:spacing w:before="0" w:after="0"/>
        <w:jc w:val="left"/>
        <w:rPr/>
      </w:pPr>
      <w:r>
        <w:rPr/>
      </w:r>
    </w:p>
    <w:p>
      <w:pPr>
        <w:pStyle w:val="TextBody"/>
        <w:bidi w:val="0"/>
        <w:spacing w:lineRule="auto" w:line="240" w:before="0" w:after="0"/>
        <w:ind w:left="0" w:right="0" w:firstLine="631"/>
        <w:jc w:val="left"/>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each party has caused this Agreement to be signed, sealed and delivered by its duly authorized officer on the dates set forth below, to be effective as of the Effective Date.</w:t>
      </w:r>
    </w:p>
    <w:p>
      <w:pPr>
        <w:pStyle w:val="TextBody"/>
        <w:bidi w:val="0"/>
        <w:spacing w:before="1" w:after="283"/>
        <w:jc w:val="left"/>
        <w:rPr/>
      </w:pPr>
      <w:r>
        <w:rPr/>
      </w:r>
    </w:p>
    <w:p>
      <w:pPr>
        <w:pStyle w:val="TextBody"/>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LENDINGTREE     CONSULTANT</w:t>
      </w:r>
    </w:p>
    <w:p>
      <w:pPr>
        <w:pStyle w:val="TextBody"/>
        <w:bidi w:val="0"/>
        <w:spacing w:lineRule="auto" w:line="240" w:before="228" w:after="283"/>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JILL OLMSTEAD    </w:t>
      </w:r>
      <w:r>
        <w:rPr>
          <w:color w:val="000000"/>
        </w:rPr>
        <w:t xml:space="preserve">     </w:t>
      </w: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JOHN DAVID MORIARTY    </w:t>
      </w:r>
    </w:p>
    <w:p>
      <w:pPr>
        <w:pStyle w:val="TextBody"/>
        <w:bidi w:val="0"/>
        <w:spacing w:lineRule="auto" w:line="240"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David Moriarty</w:t>
      </w:r>
    </w:p>
    <w:p>
      <w:pPr>
        <w:pStyle w:val="TextBody"/>
        <w:bidi w:val="0"/>
        <w:spacing w:lineRule="auto" w:line="230" w:before="180" w:after="283"/>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 xml:space="preserve">Jill Olmstead </w:t>
      </w:r>
    </w:p>
    <w:p>
      <w:pPr>
        <w:pStyle w:val="TextBody"/>
        <w:bidi w:val="0"/>
        <w:spacing w:before="0" w:after="0"/>
        <w:jc w:val="left"/>
        <w:rPr/>
      </w:pPr>
      <w:r>
        <w:rPr/>
      </w:r>
    </w:p>
    <w:p>
      <w:pPr>
        <w:pStyle w:val="TextBody"/>
        <w:bidi w:val="0"/>
        <w:spacing w:lineRule="auto" w:line="424" w:before="147" w:after="283"/>
        <w:ind w:left="0" w:right="0" w:hanging="467"/>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Chief, HR &amp; Administrative Officer</w:t>
      </w:r>
      <w:r>
        <w:rPr>
          <w:color w:val="000000"/>
        </w:rPr>
        <w:t xml:space="preserve"> </w:t>
      </w:r>
    </w:p>
    <w:p>
      <w:pPr>
        <w:pStyle w:val="TextBody"/>
        <w:bidi w:val="0"/>
        <w:spacing w:lineRule="auto" w:line="206" w:before="0" w:after="0"/>
        <w:jc w:val="left"/>
        <w:rPr/>
      </w:pPr>
      <w:r>
        <w:rPr>
          <w:rFonts w:ascii="Times New Roman;sans-serif" w:hAnsi="Times New Roman;sans-serif"/>
          <w:b w:val="false"/>
          <w:color w:val="000000"/>
          <w:sz w:val="20"/>
        </w:rPr>
        <w:t xml:space="preserve">Date: </w:t>
      </w:r>
      <w:r>
        <w:rPr>
          <w:rFonts w:ascii="Times New Roman;sans-serif" w:hAnsi="Times New Roman;sans-serif"/>
          <w:b w:val="false"/>
          <w:color w:val="000000"/>
          <w:sz w:val="20"/>
          <w:u w:val="single"/>
        </w:rPr>
        <w:t xml:space="preserve">8/7/2023 </w:t>
      </w:r>
    </w:p>
    <w:p>
      <w:pPr>
        <w:pStyle w:val="TextBody"/>
        <w:bidi w:val="0"/>
        <w:spacing w:before="126" w:after="283"/>
        <w:jc w:val="left"/>
        <w:rPr/>
      </w:pPr>
      <w:r>
        <w:rPr/>
      </w:r>
    </w:p>
    <w:p>
      <w:pPr>
        <w:pStyle w:val="TextBody"/>
        <w:bidi w:val="0"/>
        <w:spacing w:before="0" w:after="0"/>
        <w:jc w:val="left"/>
        <w:rPr/>
      </w:pPr>
      <w:r>
        <w:rPr/>
      </w:r>
    </w:p>
    <w:p>
      <w:pPr>
        <w:pStyle w:val="TextBody"/>
        <w:bidi w:val="0"/>
        <w:spacing w:lineRule="auto" w:line="230" w:before="0" w:after="0"/>
        <w:jc w:val="left"/>
        <w:rPr/>
      </w:pPr>
      <w:r>
        <w:rPr>
          <w:rFonts w:ascii="Times New Roman;sans-serif" w:hAnsi="Times New Roman;sans-serif"/>
          <w:b w:val="false"/>
          <w:color w:val="000000"/>
          <w:sz w:val="20"/>
        </w:rPr>
        <w:t xml:space="preserve">Date: </w:t>
      </w:r>
      <w:r>
        <w:rPr>
          <w:rFonts w:ascii="Times New Roman;sans-serif" w:hAnsi="Times New Roman;sans-serif"/>
          <w:b w:val="false"/>
          <w:color w:val="000000"/>
          <w:sz w:val="20"/>
          <w:u w:val="single"/>
        </w:rPr>
        <w:t xml:space="preserve">8/7/2023 </w:t>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81050"/>
                <wp:effectExtent l="0" t="0" r="0" b="0"/>
                <wp:wrapNone/>
                <wp:docPr id="132" name="Frame12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LENDINGTREE, INC.</w:t>
      </w:r>
    </w:p>
    <w:p>
      <w:pPr>
        <w:pStyle w:val="TextBody"/>
        <w:bidi w:val="0"/>
        <w:spacing w:lineRule="auto" w:line="240" w:before="0" w:after="0"/>
        <w:jc w:val="center"/>
        <w:rPr/>
      </w:pPr>
      <w:r>
        <w:rPr>
          <w:rFonts w:ascii="Times New Roman;sans-serif" w:hAnsi="Times New Roman;sans-serif"/>
          <w:b/>
          <w:color w:val="000000"/>
          <w:sz w:val="24"/>
        </w:rPr>
        <w:t>SECURITIES TRADING AND RELATED MATTERS POLICY</w:t>
      </w:r>
      <w:r>
        <w:rPr>
          <w:rFonts w:ascii="Times New Roman;sans-serif" w:hAnsi="Times New Roman;sans-serif"/>
          <w:b/>
          <w:color w:val="000000"/>
          <w:sz w:val="16"/>
        </w:rPr>
        <w:t>1</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FEBRUARY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Introduction</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LendingTree, Inc. (“</w:t>
      </w:r>
      <w:r>
        <w:rPr>
          <w:rFonts w:ascii="Times New Roman;sans-serif" w:hAnsi="Times New Roman;sans-serif"/>
          <w:b w:val="false"/>
          <w:i/>
          <w:color w:val="000000"/>
          <w:sz w:val="24"/>
        </w:rPr>
        <w:t>LendingTree</w:t>
      </w:r>
      <w:r>
        <w:rPr>
          <w:color w:val="000000"/>
        </w:rPr>
        <w:t xml:space="preserve">” </w:t>
      </w:r>
      <w:r>
        <w:rPr>
          <w:rFonts w:ascii="Times New Roman;sans-serif" w:hAnsi="Times New Roman;sans-serif"/>
          <w:b w:val="false"/>
          <w:color w:val="000000"/>
          <w:sz w:val="24"/>
        </w:rPr>
        <w:t>or the “</w:t>
      </w:r>
      <w:r>
        <w:rPr>
          <w:rFonts w:ascii="Times New Roman;sans-serif" w:hAnsi="Times New Roman;sans-serif"/>
          <w:b w:val="false"/>
          <w:i/>
          <w:color w:val="000000"/>
          <w:sz w:val="24"/>
        </w:rPr>
        <w:t>Company</w:t>
      </w:r>
      <w:r>
        <w:rPr>
          <w:color w:val="000000"/>
        </w:rPr>
        <w:t>”</w:t>
      </w:r>
      <w:r>
        <w:rPr>
          <w:rFonts w:ascii="Times New Roman;sans-serif" w:hAnsi="Times New Roman;sans-serif"/>
          <w:b w:val="false"/>
          <w:color w:val="000000"/>
          <w:sz w:val="24"/>
        </w:rPr>
        <w:t>) has adopted this Securities Trading and Related Matters Policy (the “</w:t>
      </w:r>
      <w:r>
        <w:rPr>
          <w:rFonts w:ascii="Times New Roman;sans-serif" w:hAnsi="Times New Roman;sans-serif"/>
          <w:b w:val="false"/>
          <w:i/>
          <w:color w:val="000000"/>
          <w:sz w:val="24"/>
        </w:rPr>
        <w:t>Policy</w:t>
      </w:r>
      <w:r>
        <w:rPr>
          <w:color w:val="000000"/>
        </w:rPr>
        <w:t>”</w:t>
      </w:r>
      <w:r>
        <w:rPr>
          <w:rFonts w:ascii="Times New Roman;sans-serif" w:hAnsi="Times New Roman;sans-serif"/>
          <w:b w:val="false"/>
          <w:color w:val="000000"/>
          <w:sz w:val="24"/>
        </w:rPr>
        <w:t>) to promote compliance with applicable United States federal, state and foreign securities laws that prohibit certain persons who are aware of material non-public information about a company from (i) engaging in transactions involving securities of that company; and (ii) providing, or tipping, material non-public information to other persons who may trade on the basis of that information. The Policy also is designed to protect an important corporate asset: LendingTree’s reputation for integrity and ethical conduct. The Policy governs transactions in securities of LendingTree or any other issuer where conflicts of interest could arise. As a result of applicable securities laws and this Policy, a Covered Person (defined below) may, from time to time, have to forego or delay a desired securities transaction even if he or she planned to make the transaction before becoming aware of the material non-public information, he or she was not influenced in the trading decision by the material non-public information and/or he or she will suffer economic loss, lost opportunity or anticipated profit as a result.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Scope</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This Policy applies globally regardless of location or nationality and covers all Insiders (as defined below) and their Related Parties (as defined below). Insiders are responsible for ensuring compliance by their Related Parties. This Policy generally applies to any and all transactions in the Company’s common stock and all other Company Securities (as defined below) by Insiders and their Related Parties. Transactions subject to this Policy include purchases, sales and </w:t>
      </w:r>
      <w:r>
        <w:rPr>
          <w:rFonts w:ascii="Times New Roman;sans-serif" w:hAnsi="Times New Roman;sans-serif"/>
          <w:b w:val="false"/>
          <w:i/>
          <w:color w:val="000000"/>
          <w:sz w:val="24"/>
        </w:rPr>
        <w:t>bona fide</w:t>
      </w:r>
      <w:r>
        <w:rPr>
          <w:color w:val="000000"/>
        </w:rPr>
        <w:t xml:space="preserve"> </w:t>
      </w:r>
      <w:r>
        <w:rPr>
          <w:rFonts w:ascii="Times New Roman;sans-serif" w:hAnsi="Times New Roman;sans-serif"/>
          <w:b w:val="false"/>
          <w:color w:val="000000"/>
          <w:sz w:val="24"/>
        </w:rPr>
        <w:t xml:space="preserve">gifts of Company Securities. In addition, this Policy generally applies to any and all transactions by an Insider and their Related Parties in the securities of any other public company (i) with which the Company does business, such as the Company’s distributors, vendors, customers and suppliers, or (ii) that is involved in a potential transaction or business relationship with the Company while the Insider is in possession of material non-public information concerning that Company which was obtained by the Insider during the course of providing services to the Company. There are no exceptions to this Policy except as specifically described herein.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Definitions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i/>
          <w:color w:val="000000"/>
          <w:sz w:val="24"/>
        </w:rPr>
        <w:t>Board</w:t>
      </w:r>
      <w:r>
        <w:rPr>
          <w:color w:val="000000"/>
        </w:rPr>
        <w:t xml:space="preserve">” </w:t>
      </w:r>
      <w:r>
        <w:rPr>
          <w:rFonts w:ascii="Times New Roman;sans-serif" w:hAnsi="Times New Roman;sans-serif"/>
          <w:b w:val="false"/>
          <w:color w:val="000000"/>
          <w:sz w:val="24"/>
        </w:rPr>
        <w:t>means the board of directors of LendingTree, Inc.</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i/>
          <w:color w:val="000000"/>
          <w:sz w:val="24"/>
        </w:rPr>
        <w:t>Company</w:t>
      </w:r>
      <w:r>
        <w:rPr>
          <w:color w:val="000000"/>
        </w:rPr>
        <w:t xml:space="preserve">” </w:t>
      </w:r>
      <w:r>
        <w:rPr>
          <w:rFonts w:ascii="Times New Roman;sans-serif" w:hAnsi="Times New Roman;sans-serif"/>
          <w:b w:val="false"/>
          <w:color w:val="000000"/>
          <w:sz w:val="24"/>
        </w:rPr>
        <w:t xml:space="preserve">means LendingTree, Inc. and its direct and indirect subsidiaries.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i/>
          <w:color w:val="000000"/>
          <w:sz w:val="24"/>
        </w:rPr>
        <w:t>Company Securities</w:t>
      </w:r>
      <w:r>
        <w:rPr>
          <w:color w:val="000000"/>
        </w:rPr>
        <w:t xml:space="preserve">” </w:t>
      </w:r>
      <w:r>
        <w:rPr>
          <w:rFonts w:ascii="Times New Roman;sans-serif" w:hAnsi="Times New Roman;sans-serif"/>
          <w:b w:val="false"/>
          <w:color w:val="000000"/>
          <w:sz w:val="24"/>
        </w:rPr>
        <w:t xml:space="preserve">means shares of the Company’s common stock, options to purchase common stock, or any other type of securities that the Company may issue, including but not limited to preferred stock, convertible notes, and warrants, as well as derivative securities that are not issued by the Company, such as exchange-traded put or call options or swaps relating to the Company’s securities. </w:t>
      </w:r>
    </w:p>
    <w:p>
      <w:pPr>
        <w:pStyle w:val="TextBody"/>
        <w:bidi w:val="0"/>
        <w:spacing w:lineRule="auto" w:line="240"/>
        <w:jc w:val="left"/>
        <w:rPr/>
      </w:pPr>
      <w:r>
        <w:rPr>
          <w:rFonts w:ascii="Times New Roman;sans-serif" w:hAnsi="Times New Roman;sans-serif"/>
          <w:b/>
          <w:color w:val="000000"/>
          <w:sz w:val="13"/>
        </w:rPr>
        <w:t>1</w:t>
      </w:r>
      <w:r>
        <w:rPr>
          <w:color w:val="000000"/>
        </w:rPr>
        <w:t xml:space="preserve"> </w:t>
      </w:r>
      <w:r>
        <w:rPr>
          <w:rFonts w:ascii="Times New Roman;sans-serif" w:hAnsi="Times New Roman;sans-serif"/>
          <w:b/>
          <w:color w:val="000000"/>
          <w:sz w:val="20"/>
        </w:rPr>
        <w:t>Important Notice: LendingTree has the right to modify, change or terminate this Policy at any time. A hard copy of the document may not reflect the policy currently in effect. An official copy of the current version may be obtained from the Legal Department or can be viewed on Treehouse</w:t>
      </w:r>
      <w:r>
        <w:rPr>
          <w:rFonts w:ascii="Times New Roman;sans-serif" w:hAnsi="Times New Roman;sans-serif"/>
          <w:b w:val="false"/>
          <w:color w:val="000000"/>
          <w:sz w:val="2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i/>
          <w:color w:val="000000"/>
          <w:sz w:val="24"/>
        </w:rPr>
        <w:t>Covered Persons</w:t>
      </w:r>
      <w:r>
        <w:rPr>
          <w:color w:val="000000"/>
        </w:rPr>
        <w:t xml:space="preserve">” </w:t>
      </w:r>
      <w:r>
        <w:rPr>
          <w:rFonts w:ascii="Times New Roman;sans-serif" w:hAnsi="Times New Roman;sans-serif"/>
          <w:b w:val="false"/>
          <w:color w:val="000000"/>
          <w:sz w:val="24"/>
        </w:rPr>
        <w:t xml:space="preserve">means (1) all of the Company’s directors, executive officers and other Section 16 Reporting Persons, and (2) certain employees, consultants, contractors or advisors who are reasonably expected to be in possession of material non-public information about the Company, as determined from time to time by the Legal Department. The Company will promptly notify orally or in writing each person designated a Covered Person and shall keep a record of such persons, which will be maintained by the Legal Department.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i/>
          <w:color w:val="000000"/>
          <w:sz w:val="24"/>
        </w:rPr>
        <w:t>Exchange Act</w:t>
      </w:r>
      <w:r>
        <w:rPr>
          <w:color w:val="000000"/>
        </w:rPr>
        <w:t xml:space="preserve">” </w:t>
      </w:r>
      <w:r>
        <w:rPr>
          <w:rFonts w:ascii="Times New Roman;sans-serif" w:hAnsi="Times New Roman;sans-serif"/>
          <w:b w:val="false"/>
          <w:color w:val="000000"/>
          <w:sz w:val="24"/>
        </w:rPr>
        <w:t xml:space="preserve">means the Securities Exchange Act of 1934, as amended.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i/>
          <w:color w:val="000000"/>
          <w:sz w:val="24"/>
        </w:rPr>
        <w:t>Family Members</w:t>
      </w:r>
      <w:r>
        <w:rPr>
          <w:color w:val="000000"/>
        </w:rPr>
        <w:t xml:space="preserve">” </w:t>
      </w:r>
      <w:r>
        <w:rPr>
          <w:rFonts w:ascii="Times New Roman;sans-serif" w:hAnsi="Times New Roman;sans-serif"/>
          <w:b w:val="false"/>
          <w:color w:val="000000"/>
          <w:sz w:val="24"/>
        </w:rPr>
        <w:t xml:space="preserve">of an Insider means that Insider’s spouse, minor children, anyone else living in the Insider’s household, and any family member or other individual who does not live in the Insider’s household but whose transactions in Company Securities are directed by the Insider or subject to the Insider’s influence or control, such as parents or adult children who consult with the Insider before they trade in Company Securities.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i/>
          <w:color w:val="000000"/>
          <w:sz w:val="24"/>
        </w:rPr>
        <w:t>Insiders</w:t>
      </w:r>
      <w:r>
        <w:rPr>
          <w:color w:val="000000"/>
        </w:rPr>
        <w:t xml:space="preserve">” </w:t>
      </w:r>
      <w:r>
        <w:rPr>
          <w:rFonts w:ascii="Times New Roman;sans-serif" w:hAnsi="Times New Roman;sans-serif"/>
          <w:b w:val="false"/>
          <w:color w:val="000000"/>
          <w:sz w:val="24"/>
        </w:rPr>
        <w:t>means all employees, officers, and directors of the Company. “Insiders” may also include other persons, as determined from time to time by the Legal Department or the Chief Financial Officer, such as Company consultants, contractors or advisors who are reasonably expected to have access to material non-public information.</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i/>
          <w:color w:val="000000"/>
          <w:sz w:val="24"/>
        </w:rPr>
        <w:t>Legal Department</w:t>
      </w:r>
      <w:r>
        <w:rPr>
          <w:color w:val="000000"/>
        </w:rPr>
        <w:t xml:space="preserve">” </w:t>
      </w:r>
      <w:r>
        <w:rPr>
          <w:rFonts w:ascii="Times New Roman;sans-serif" w:hAnsi="Times New Roman;sans-serif"/>
          <w:b w:val="false"/>
          <w:color w:val="000000"/>
          <w:sz w:val="24"/>
        </w:rPr>
        <w:t xml:space="preserve">means the Company’s Legal Department. </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i/>
          <w:color w:val="000000"/>
          <w:sz w:val="24"/>
        </w:rPr>
        <w:t xml:space="preserve">Material” </w:t>
      </w:r>
      <w:r>
        <w:rPr>
          <w:rFonts w:ascii="Times New Roman;sans-serif" w:hAnsi="Times New Roman;sans-serif"/>
          <w:b w:val="false"/>
          <w:color w:val="000000"/>
          <w:sz w:val="24"/>
        </w:rPr>
        <w:t xml:space="preserve">information is information that would be viewed by a reasonable investor as important to making an investment decision regarding the purchase or sale of securities. In practice, this is often information that when disclosed, results in a significant change to the market price of the stock. There is no bright-line standard for assessing materiality; rather, materiality is based on an assessment of all of the facts and circumstances, and is often evaluated by enforcement authorities with the benefit of hindsight. Either positive or negative information may be material.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Material information is “</w:t>
      </w:r>
      <w:r>
        <w:rPr>
          <w:rFonts w:ascii="Times New Roman;sans-serif" w:hAnsi="Times New Roman;sans-serif"/>
          <w:b w:val="false"/>
          <w:i/>
          <w:color w:val="000000"/>
          <w:sz w:val="24"/>
        </w:rPr>
        <w:t>non-public</w:t>
      </w:r>
      <w:r>
        <w:rPr>
          <w:color w:val="000000"/>
        </w:rPr>
        <w:t xml:space="preserve">” </w:t>
      </w:r>
      <w:r>
        <w:rPr>
          <w:rFonts w:ascii="Times New Roman;sans-serif" w:hAnsi="Times New Roman;sans-serif"/>
          <w:b w:val="false"/>
          <w:color w:val="000000"/>
          <w:sz w:val="24"/>
        </w:rPr>
        <w:t>if (1) it has not been widely disseminated to the public through a major newswire service, national news service or financial service, publicly-available filings with the SEC, and in some cases, publication on a company’s website or through a social media platform, and (2) the investing public has not had sufficient time to absorb the information fully. Examples of such non-public information which should always be presumed to be material include:</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earnings reports or projections,</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changes to previously announced earnings guidance, or the decision to suspend earnings guidance,</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proposed major spending programs,</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regulatory or litigation problems, including the threat of significant litigation or the resolution of litigation,</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significant changes in senior management,</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a pending or proposed merger, acquisition or tender offer,</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a pending or proposed acquisition or divestiture of a significant business or significant assets,</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a Company restructuring,</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securities offerings or other financings,</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new major contracts, suppliers, customers or the loss thereof,</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significant related party transactions,</w:t>
      </w:r>
    </w:p>
    <w:p>
      <w:pPr>
        <w:pStyle w:val="TextBody"/>
        <w:bidi w:val="0"/>
        <w:spacing w:lineRule="auto" w:line="24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development of a significant new product, process or service,</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major developments with LendingTree's intellectual property portfolio, including the grant of patent rights,</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significant write-offs or increases in reserves,</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impending bankruptcy or financial liquidity problems,</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delays in product development or problems with quality control,</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a stock split or other recapitalization,</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 xml:space="preserve">a redemption or purchase by LendingTree of its securities, </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bank borrowings or other financing transactions out of the ordinary course of business,</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major marketing changes,</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a significant cybersecurity incident, such as a data breach, or any other significant disruption in the company’s operations or loss, potential loss, breach or unauthorized access of its property or assets, whether at its facilities or through its information technology infrastructure,</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a change in auditors or notification that the auditor's reports may no longer be relied upon, and</w:t>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any other information which is likely to have a significant impact on LendingTree.</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color w:val="000000"/>
        </w:rPr>
      </w:pPr>
      <w:r>
        <w:rPr>
          <w:color w:val="000000"/>
        </w:rPr>
        <w:t>    </w:t>
      </w:r>
      <w:r>
        <w:rPr>
          <w:rFonts w:ascii="Times New Roman;sans-serif" w:hAnsi="Times New Roman;sans-serif"/>
          <w:b w:val="false"/>
          <w:color w:val="000000"/>
          <w:sz w:val="24"/>
        </w:rPr>
        <w:t>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expected to have a large effect on stock price if it were to occur, such as a merger, may be considered material even if the possibility that the event will occur is relatively small. When in doubt about whether particular non-public information is material, Insiders should either presume the information is material or consult with the Company’s Legal Department before making any decision to disclose such information (other than to persons who need to know it) or to engage in transactions in or recommend Company Securities or securities of other companies to which that information relates.</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i/>
          <w:color w:val="000000"/>
          <w:sz w:val="24"/>
        </w:rPr>
        <w:t>Related Parties</w:t>
      </w:r>
      <w:r>
        <w:rPr>
          <w:color w:val="000000"/>
        </w:rPr>
        <w:t xml:space="preserve">” </w:t>
      </w:r>
      <w:r>
        <w:rPr>
          <w:rFonts w:ascii="Times New Roman;sans-serif" w:hAnsi="Times New Roman;sans-serif"/>
          <w:b w:val="false"/>
          <w:color w:val="000000"/>
          <w:sz w:val="24"/>
        </w:rPr>
        <w:t>of an Insider means that Insider’s (i) Family Members, and (ii) any entity that the Insider or the Insider’s Family Members influence or control, such as (but not limited to) partnerships in which the Insider or a Family Member is a general partner, trusts of which the Insider or a Family Member is a trustee, estates of which the Insider or a Family Member is an executor, and corporations or limited liability companies over which the Insider or a Family Member has or shares voting or investment control.</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i/>
          <w:color w:val="000000"/>
          <w:sz w:val="24"/>
        </w:rPr>
        <w:t>SEC</w:t>
      </w:r>
      <w:r>
        <w:rPr>
          <w:color w:val="000000"/>
        </w:rPr>
        <w:t xml:space="preserve">” </w:t>
      </w:r>
      <w:r>
        <w:rPr>
          <w:rFonts w:ascii="Times New Roman;sans-serif" w:hAnsi="Times New Roman;sans-serif"/>
          <w:b w:val="false"/>
          <w:color w:val="000000"/>
          <w:sz w:val="24"/>
        </w:rPr>
        <w:t xml:space="preserve">means the U.S. Securities and Exchange Commission.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i/>
          <w:color w:val="000000"/>
          <w:sz w:val="24"/>
        </w:rPr>
        <w:t>Section 16 Reporting Persons</w:t>
      </w:r>
      <w:r>
        <w:rPr>
          <w:color w:val="000000"/>
        </w:rPr>
        <w:t xml:space="preserve">” </w:t>
      </w:r>
      <w:r>
        <w:rPr>
          <w:rFonts w:ascii="Times New Roman;sans-serif" w:hAnsi="Times New Roman;sans-serif"/>
          <w:b w:val="false"/>
          <w:color w:val="000000"/>
          <w:sz w:val="24"/>
        </w:rPr>
        <w:t xml:space="preserve">means the directors and officers of the Company subject to Section 16 of the Exchange Act. Section 16 Reporting Persons are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to this Policy. Exhibit A will be deemed to be updated automatically to conform to the Board’s designation of Section 16 Reporting Persons from time to time.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i/>
          <w:color w:val="000000"/>
          <w:sz w:val="24"/>
        </w:rPr>
        <w:t>Senior Leadership Team</w:t>
      </w:r>
      <w:r>
        <w:rPr>
          <w:color w:val="000000"/>
        </w:rPr>
        <w:t xml:space="preserve">” </w:t>
      </w:r>
      <w:r>
        <w:rPr>
          <w:rFonts w:ascii="Times New Roman;sans-serif" w:hAnsi="Times New Roman;sans-serif"/>
          <w:b w:val="false"/>
          <w:color w:val="000000"/>
          <w:sz w:val="24"/>
        </w:rPr>
        <w:t xml:space="preserve">means the officers of the Company who are Section 16 Reporting Persons.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i/>
          <w:color w:val="000000"/>
          <w:sz w:val="24"/>
        </w:rPr>
        <w:t>Trading day</w:t>
      </w:r>
      <w:r>
        <w:rPr>
          <w:color w:val="000000"/>
        </w:rPr>
        <w:t xml:space="preserve">” </w:t>
      </w:r>
      <w:r>
        <w:rPr>
          <w:rFonts w:ascii="Times New Roman;sans-serif" w:hAnsi="Times New Roman;sans-serif"/>
          <w:b w:val="false"/>
          <w:color w:val="000000"/>
          <w:sz w:val="24"/>
        </w:rPr>
        <w:t xml:space="preserve">means a day on which the U.S. stock markets are generally open.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i/>
          <w:color w:val="000000"/>
          <w:sz w:val="24"/>
        </w:rPr>
        <w:t>Trading Window</w:t>
      </w:r>
      <w:r>
        <w:rPr>
          <w:color w:val="000000"/>
        </w:rPr>
        <w:t xml:space="preserve">” </w:t>
      </w:r>
      <w:r>
        <w:rPr>
          <w:rFonts w:ascii="Times New Roman;sans-serif" w:hAnsi="Times New Roman;sans-serif"/>
          <w:b w:val="false"/>
          <w:color w:val="000000"/>
          <w:sz w:val="24"/>
        </w:rPr>
        <w:t xml:space="preserve">means the specified period during which Covered Persons and their Related Parties can engage in transactions in Company Securities, subject to and in accordance with this Policy.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Transactions Not Covered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Policy governs sales, purchases or other transfers of all Company Securities. Trading also includes transactions under Company employee plans such as:</w:t>
      </w:r>
    </w:p>
    <w:p>
      <w:pPr>
        <w:pStyle w:val="TextBody"/>
        <w:bidi w:val="0"/>
        <w:spacing w:before="0" w:after="0"/>
        <w:jc w:val="left"/>
        <w:rPr/>
      </w:pPr>
      <w:r>
        <w:rPr/>
      </w:r>
    </w:p>
    <w:p>
      <w:pPr>
        <w:pStyle w:val="TextBody"/>
        <w:bidi w:val="0"/>
        <w:spacing w:lineRule="auto" w:line="240" w:before="0" w:after="0"/>
        <w:ind w:left="0" w:right="0" w:hanging="540"/>
        <w:jc w:val="left"/>
        <w:rPr/>
      </w:pPr>
      <w:r>
        <w:rPr>
          <w:color w:val="000000"/>
        </w:rPr>
        <w:t>•</w:t>
      </w:r>
      <w:r>
        <w:rPr>
          <w:rFonts w:ascii="Times New Roman;sans-serif" w:hAnsi="Times New Roman;sans-serif"/>
          <w:b w:val="false"/>
          <w:i/>
          <w:color w:val="000000"/>
          <w:sz w:val="24"/>
        </w:rPr>
        <w:t>Restricted Stock and RSU Awards</w:t>
      </w:r>
      <w:r>
        <w:rPr>
          <w:rFonts w:ascii="Times New Roman;sans-serif" w:hAnsi="Times New Roman;sans-serif"/>
          <w:b w:val="false"/>
          <w:color w:val="000000"/>
          <w:sz w:val="24"/>
        </w:rPr>
        <w:t>. This Policy does not apply to the vesting of restricted stock or restricted stock units (</w:t>
      </w:r>
      <w:r>
        <w:rPr>
          <w:rFonts w:ascii="Times New Roman;sans-serif" w:hAnsi="Times New Roman;sans-serif"/>
          <w:b w:val="false"/>
          <w:i/>
          <w:color w:val="000000"/>
          <w:sz w:val="24"/>
        </w:rPr>
        <w:t>RSU Awards</w:t>
      </w:r>
      <w:r>
        <w:rPr>
          <w:rFonts w:ascii="Times New Roman;sans-serif" w:hAnsi="Times New Roman;sans-serif"/>
          <w:b w:val="false"/>
          <w:color w:val="000000"/>
          <w:sz w:val="24"/>
        </w:rPr>
        <w:t>), or the exercise of a tax withholding right pursuant to which you elect to have the Company withhold shares of stock to satisfy tax withholding requirements upon the vesting of any restricted stock or RSU. This Policy does apply, however, to any market sale of restricted stock or stock issued on settlement of an RSU.</w:t>
      </w:r>
    </w:p>
    <w:p>
      <w:pPr>
        <w:pStyle w:val="TextBody"/>
        <w:bidi w:val="0"/>
        <w:spacing w:before="0" w:after="0"/>
        <w:jc w:val="left"/>
        <w:rPr/>
      </w:pPr>
      <w:r>
        <w:rPr/>
      </w:r>
    </w:p>
    <w:p>
      <w:pPr>
        <w:pStyle w:val="TextBody"/>
        <w:bidi w:val="0"/>
        <w:spacing w:lineRule="auto" w:line="240" w:before="0" w:after="0"/>
        <w:ind w:left="0" w:right="0" w:hanging="540"/>
        <w:jc w:val="left"/>
        <w:rPr/>
      </w:pPr>
      <w:r>
        <w:rPr>
          <w:color w:val="000000"/>
        </w:rPr>
        <w:t>•</w:t>
      </w:r>
      <w:r>
        <w:rPr>
          <w:rFonts w:ascii="Times New Roman;sans-serif" w:hAnsi="Times New Roman;sans-serif"/>
          <w:b w:val="false"/>
          <w:i/>
          <w:color w:val="000000"/>
          <w:sz w:val="24"/>
        </w:rPr>
        <w:t>Stock Options.</w:t>
      </w:r>
      <w:r>
        <w:rPr>
          <w:color w:val="000000"/>
        </w:rPr>
        <w:t xml:space="preserve"> </w:t>
      </w:r>
      <w:r>
        <w:rPr>
          <w:rFonts w:ascii="Times New Roman;sans-serif" w:hAnsi="Times New Roman;sans-serif"/>
          <w:b w:val="false"/>
          <w:color w:val="000000"/>
          <w:sz w:val="24"/>
        </w:rPr>
        <w:t>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and to any other market sale for the purpose of generating the cash needed to pay the exercise price of an option.</w:t>
      </w:r>
    </w:p>
    <w:p>
      <w:pPr>
        <w:pStyle w:val="TextBody"/>
        <w:bidi w:val="0"/>
        <w:spacing w:before="0" w:after="0"/>
        <w:jc w:val="left"/>
        <w:rPr/>
      </w:pPr>
      <w:r>
        <w:rPr/>
      </w:r>
    </w:p>
    <w:p>
      <w:pPr>
        <w:pStyle w:val="TextBody"/>
        <w:bidi w:val="0"/>
        <w:spacing w:lineRule="auto" w:line="240" w:before="0" w:after="0"/>
        <w:ind w:left="0" w:right="0" w:hanging="540"/>
        <w:jc w:val="left"/>
        <w:rPr/>
      </w:pPr>
      <w:r>
        <w:rPr>
          <w:color w:val="000000"/>
        </w:rPr>
        <w:t>•</w:t>
      </w:r>
      <w:r>
        <w:rPr>
          <w:rFonts w:ascii="Times New Roman;sans-serif" w:hAnsi="Times New Roman;sans-serif"/>
          <w:b w:val="false"/>
          <w:i/>
          <w:color w:val="000000"/>
          <w:sz w:val="24"/>
        </w:rPr>
        <w:t>401(k) Plan and Employee Stock Purchase Plan</w:t>
      </w:r>
      <w:r>
        <w:rPr>
          <w:rFonts w:ascii="Times New Roman;sans-serif" w:hAnsi="Times New Roman;sans-serif"/>
          <w:b w:val="false"/>
          <w:color w:val="000000"/>
          <w:sz w:val="24"/>
        </w:rPr>
        <w:t>. This Policy’s trading restrictions do not apply to purchases of Company Securities through the 401(k) plan or employee stock purchase plan (</w:t>
      </w:r>
      <w:r>
        <w:rPr>
          <w:rFonts w:ascii="Times New Roman;sans-serif" w:hAnsi="Times New Roman;sans-serif"/>
          <w:b w:val="false"/>
          <w:i/>
          <w:color w:val="000000"/>
          <w:sz w:val="24"/>
        </w:rPr>
        <w:t>ESPP</w:t>
      </w:r>
      <w:r>
        <w:rPr>
          <w:rFonts w:ascii="Times New Roman;sans-serif" w:hAnsi="Times New Roman;sans-serif"/>
          <w:b w:val="false"/>
          <w:color w:val="000000"/>
          <w:sz w:val="24"/>
        </w:rPr>
        <w:t>) resulting from your periodic contribution of money to the plan pursuant to your payroll deduction election. The trading restrictions do apply, however, to elections you may make to (a) begin participation or change participation levels in any ESPP or Company stock fund in the 401(k) plan, (b) sell any shares purchased under the ESPP, and (c) initiate an intra-plan transfer of an existing account balance into or out of the Company stock fund in the 401(k) plan.</w: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Purchases of Company Securities from the Company or sales of Company Securities to the Company are not subject to this Policy. Likewise, the transfer of Company Securities to a trust’s beneficiary by a Covered Person who serves as a trustee of the trust is not subject to the Policy so long as the trustee does not control the beneficiary and does not give the beneficiary material non-public information about the Company.</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Transactions in mutual funds that hold Company Securities are generally not transactions subject to this Policy. However, transactions in mutual funds may be prohibited under this Policy if a Covered Person becomes aware of material non-public information which might materially affect the value of the mutual fund as a whole.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Covered Persons are expected to use good judgment and contact the Legal Department in advance of a transaction if they have any doubt about whether a transaction is covered by this Policy.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Responsibilities</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Insiders.</w:t>
      </w:r>
      <w:r>
        <w:rPr>
          <w:color w:val="000000"/>
        </w:rPr>
        <w:t xml:space="preserve"> </w:t>
      </w:r>
      <w:r>
        <w:rPr>
          <w:rFonts w:ascii="Times New Roman;sans-serif" w:hAnsi="Times New Roman;sans-serif"/>
          <w:b w:val="false"/>
          <w:color w:val="000000"/>
          <w:sz w:val="24"/>
        </w:rPr>
        <w:t xml:space="preserve">Subject to the “General Securities Trading Policy” section below, responsibilities of Insiders include the following: </w:t>
      </w:r>
    </w:p>
    <w:p>
      <w:pPr>
        <w:pStyle w:val="TextBody"/>
        <w:bidi w:val="0"/>
        <w:ind w:left="0" w:right="0" w:hanging="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Only engaging in transactions in Company Securities, including purchases, sales and gifts, when the Insider is not in possession of material non-public information concerning the Company.</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To the extent the Insider is a Covered Person, only engaging in transactions in Company Securities, including purchases, sales and gifts, during a Trading Window.</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To the extent the Insider is a member of the Board or Senior Leadership Team, obtaining pre-clearance of all transactions in Company Securities.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Not engaging in any transactions in Company Securities during a special trading blackout period.</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Not engaging in certain speculative transactions involving Company Securities described below.</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Not recommending that others engage in transactions in Company Securities.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Consulting with the Legal Department for guidance regarding the material or non-public nature of any information the Insider possesses prior to engaging in any transaction involving any Company Securities.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Protecting the confidence of Company information and not disclosing material non-public information to others in violation of this Policy or engaging in unauthorized communications on behalf of or concerning the Company.</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Not engaging in transactions involving another public company’s securities when the Insider is in possession of material non-public information concerning such other company that was learned in the course of in the course of the Insider’s employment or other relationship with LendingTree and such other company is a company (i) with which LendingTree does business or (ii) that is involved in a potential transaction or business relationship with LendingTree.</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 xml:space="preserve">Ensuring that the Insider’s Related Parties comply with this Policy because transactions by the Insider’s Related Parties will be treated as transactions of the Insider for purposes of this Policy. This Policy does not, however, apply to personal securities transactions of Family Members where the decision to purchase, sell or otherwise dispose of Company Securities is made by a third party not controlled by, influenced by or related to the Insider or the Insider’s Family Members.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 all cases, the responsibility for determining whether an individual is in possession of material non-public information rests with that individual, and any action on the part of the Company, the Legal Department or any other employee or director pursuant to this Policy (or otherwise) does not in any way constitute legal advice or insulate an individual from liability under applicable securities laws.</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Legal Department. The Legal Department shall be responsible for administering and interpreting this Policy and has the authority to enforce compliance with all Policy provisions and procedures. All determinations and interpretations by the Legal Department shall be final and not subject to further review.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General Securities Trading Policy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40" w:before="0" w:after="0"/>
        <w:ind w:left="0" w:right="0" w:hanging="72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 Policy.</w:t>
      </w:r>
      <w:r>
        <w:rPr>
          <w:color w:val="000000"/>
        </w:rPr>
        <w:t xml:space="preserve"> </w:t>
      </w:r>
      <w:r>
        <w:rPr>
          <w:rFonts w:ascii="Times New Roman;sans-serif" w:hAnsi="Times New Roman;sans-serif"/>
          <w:b w:val="false"/>
          <w:color w:val="000000"/>
          <w:sz w:val="24"/>
        </w:rPr>
        <w:t xml:space="preserve">Any Insider who is aware of material non-public information concerning the Company may not engage in any transactions involving Company Securities, including any purchase, sale or gift or any offer to purchase or offer to sell, directly or indirectly through Related Parties or other intermediaries, except as otherwise specified in the “Transactions Not Covered” section of this Policy. It does not matter if there is an independent, justifiable reason for the transaction, or if the Trading Window is open. Rather, if an Insider is in possession of material non-public information concerning the Company, the prohibition on engaging in transactions in Company Securities applies.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Covered Persons and their Related Parties may not engage in transactions involving Company Securities unless it is during an open Trading Window, except as otherwise specified in the “Transactions Not Covered” section of this Policy. Unless otherwise determined by the Legal Department, the Trading Window opens quarterly immediately following the close of market on the second (2</w:t>
      </w:r>
      <w:r>
        <w:rPr>
          <w:rFonts w:ascii="Times New Roman;sans-serif" w:hAnsi="Times New Roman;sans-serif"/>
          <w:b w:val="false"/>
          <w:color w:val="000000"/>
          <w:sz w:val="16"/>
        </w:rPr>
        <w:t>nd</w:t>
      </w:r>
      <w:r>
        <w:rPr>
          <w:rFonts w:ascii="Times New Roman;sans-serif" w:hAnsi="Times New Roman;sans-serif"/>
          <w:b w:val="false"/>
          <w:color w:val="000000"/>
          <w:sz w:val="24"/>
        </w:rPr>
        <w:t>) full trading day following the Company’s widespread public release of its material financial results for the preceding fiscal quarter or year and closes immediately following the close of market on the seventh (7</w:t>
      </w:r>
      <w:r>
        <w:rPr>
          <w:rFonts w:ascii="Times New Roman;sans-serif" w:hAnsi="Times New Roman;sans-serif"/>
          <w:b w:val="false"/>
          <w:color w:val="000000"/>
          <w:sz w:val="16"/>
        </w:rPr>
        <w:t>th</w:t>
      </w:r>
      <w:r>
        <w:rPr>
          <w:rFonts w:ascii="Times New Roman;sans-serif" w:hAnsi="Times New Roman;sans-serif"/>
          <w:b w:val="false"/>
          <w:color w:val="000000"/>
          <w:sz w:val="24"/>
        </w:rPr>
        <w:t xml:space="preserve">) day of the third month of each fiscal quarter. Covered Persons are responsible for knowing when a Trading Window begins and ends, regardless of whether the Company typically notifies Covered Persons of Trading Window periods. Even during an open Trading Window, any Covered Person possessing material non-public information concerning the Company must not engage in any transactions in Company Securities until such information has been known publicly for at least two full trading days or is no longer material in nature. </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Prohibition on Tipping.</w:t>
      </w:r>
      <w:r>
        <w:rPr>
          <w:color w:val="000000"/>
        </w:rPr>
        <w:t xml:space="preserve"> </w:t>
      </w:r>
      <w:r>
        <w:rPr>
          <w:rFonts w:ascii="Times New Roman;sans-serif" w:hAnsi="Times New Roman;sans-serif"/>
          <w:b w:val="false"/>
          <w:color w:val="000000"/>
          <w:sz w:val="24"/>
        </w:rPr>
        <w:t>An Insider may not recommend the purchase or sale of any Company Securities, or pass on to any other person (including Family Members) any material non-public information concerning the Company, whether or not the Insider has any information regarding such person’s intention to engage in any transaction involving Company Securities, except in accordance with the Company's policies regarding the protection or authorized external disclosure of information regarding the Company. It is important to note that the Insider need not receive a financial benefit in order to be found liable for insider trading. The SEC has imposed large penalties even when the disclosing person did not profit from the trading. Even if an Insider is not in possession of material non-public information, he or she should not recommend to any other person that they buy or sell Company Securities. If an Insider receives inquiries about the Company from securities analysts, reporters or investors, decline comment and direct them to the Legal Department.</w:t>
      </w:r>
    </w:p>
    <w:p>
      <w:pPr>
        <w:pStyle w:val="TextBody"/>
        <w:bidi w:val="0"/>
        <w:spacing w:before="0" w:after="0"/>
        <w:jc w:val="left"/>
        <w:rPr/>
      </w:pPr>
      <w:r>
        <w:rPr/>
      </w:r>
    </w:p>
    <w:p>
      <w:pPr>
        <w:pStyle w:val="TextBody"/>
        <w:bidi w:val="0"/>
        <w:spacing w:lineRule="auto" w:line="240" w:before="0" w:after="0"/>
        <w:ind w:left="0" w:right="0" w:hanging="45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Blackout Periods</w:t>
      </w:r>
      <w:r>
        <w:rPr>
          <w:rFonts w:ascii="Times New Roman;sans-serif" w:hAnsi="Times New Roman;sans-serif"/>
          <w:b w:val="false"/>
          <w:color w:val="000000"/>
          <w:sz w:val="24"/>
        </w:rPr>
        <w:t>. The Company may from time to time impose a special trading blackout on a select group of Insiders or all Insiders (e.g., if there is an event or other development that is or may be material non-public information). Insiders who are informed that they are subject to a special trading blackout may not (and their Related Parties may not) engage in any transactions involving Company Securities during the special blackout period. A special trading blackout period may result in the Trading Window not being opened or being closed early and therefore not available for transactions in Company Securities. In addition, the Company may impose a special trading blackout on Insiders who are not subject to Trading Window periods. Special trading blackout periods may be imposed for varying groups of Insiders, at the discretion of the Legal Department. Insiders may be informed that a special trading blackout period applies to them without being informed of the reason for the restriction. The existence of a special trading blackout period generally will not be announced to the Company as a whole and Insiders should not communicate it to any other person. Insiders who are subject to a special trading blackout will be notified when the blackout period ends.</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0" w:after="0"/>
        <w:ind w:left="0" w:right="0" w:hanging="45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Pre-Clearance.</w:t>
      </w:r>
      <w:r>
        <w:rPr>
          <w:color w:val="000000"/>
        </w:rPr>
        <w:t xml:space="preserve"> </w:t>
      </w:r>
      <w:r>
        <w:rPr>
          <w:rFonts w:ascii="Times New Roman;sans-serif" w:hAnsi="Times New Roman;sans-serif"/>
          <w:b w:val="false"/>
          <w:color w:val="000000"/>
          <w:sz w:val="24"/>
        </w:rPr>
        <w:t xml:space="preserve">All members of the Board and Senior Leadership Team must obtain pre-clearance of any and all transactions in Company Securities (including all purchases, sales, gifts, option exercises and 401(k) plan transactions) by such persons and their Related Parties (subject to the exceptions described in the “Transactions Not Covered” section of this Policy). In addition, from time to time, the Legal Department may designate other Insiders as subject to this pre-clearance requirement. Each such Insider will be notified of such designation, and the Legal Department will maintain a record of Insiders who are subject to this pre-clearance requirement. This pre-clearance requirement applies even to transactions involving Company Securities that occur during an open Trading Window.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A request for pre-clearance should be submitted to the Legal Department at least three (3) business days prior to the proposed transaction in Company Securities. The request should be made in writing using the form attached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to this Policy or in such other manner as permitted by the Legal Department. If the pre-clearance request is approved, unless otherwise stated in the written approval (which may be by email), the approval will be valid only until the close of market on the fifth calendar day following the date of approval and only on the terms indicated in such approval (which may not be the same terms as the terms originally proposed by the requesting person). Approval of a transaction may be cancelled at any time (e.g., in the event of a special trading blackout period). After the two (2) day period or the time limit otherwise stated in the written approval, or upon cancellation of a prior approval, transactions are again subject to these pre-clearance procedures. When a request for pre-clearance is made, the requesting person should carefully consider whether he or she may be aware of any material non-public information concerning the Company, and should describe fully those circumstances to the Legal Department. The requesting person should also indicate whether he or she has effected any non-exempt “opposite-way” transactions within the past six months, and should be prepared to report the proposed transaction on an appropriate Form 4 or Form 5. A requesting person should also be prepared to comply with SEC Rule 144 and file a Form 144, if necessary, concurrently with either the placing of an order with a broker to execute the sale or the execution of a sale directly with a market maker.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Legal Department is under no obligation to approve a proposed transaction, and may determine not to permit the transaction. If a person seeks pre-clearance and the proposed transaction is not approved, then the person must refrain from initiating any transaction in Company Securities, and should not inform any other person of the restriction. </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Prohibition on Electronic Posting of Confidential Information</w:t>
      </w:r>
      <w:r>
        <w:rPr>
          <w:rFonts w:ascii="Times New Roman;sans-serif" w:hAnsi="Times New Roman;sans-serif"/>
          <w:b w:val="false"/>
          <w:color w:val="000000"/>
          <w:sz w:val="24"/>
        </w:rPr>
        <w:t xml:space="preserve">. Insiders are prohibited from posting confidential information relating to the Company, including but not limited to material non-public information, in internet chat rooms, on online message boards, on social media and social networking websites or through the use of any other form of electronic communication.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Confidential information relating to LendingTree is the property of LendingTree and the unauthorized disclosure of such information is a serious violation of company policy.</w:t>
      </w:r>
    </w:p>
    <w:p>
      <w:pPr>
        <w:pStyle w:val="TextBody"/>
        <w:bidi w:val="0"/>
        <w:spacing w:before="0" w:after="0"/>
        <w:jc w:val="left"/>
        <w:rPr/>
      </w:pPr>
      <w:r>
        <w:rPr/>
      </w:r>
    </w:p>
    <w:p>
      <w:pPr>
        <w:pStyle w:val="TextBody"/>
        <w:bidi w:val="0"/>
        <w:spacing w:lineRule="auto" w:line="240"/>
        <w:ind w:left="0" w:right="0" w:hanging="720"/>
        <w:jc w:val="left"/>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Short-Term Trading</w:t>
      </w:r>
      <w:r>
        <w:rPr>
          <w:rFonts w:ascii="Times New Roman;sans-serif" w:hAnsi="Times New Roman;sans-serif"/>
          <w:b w:val="false"/>
          <w:color w:val="000000"/>
          <w:sz w:val="24"/>
        </w:rPr>
        <w:t xml:space="preserve">. Short-term trading of Company Securities may unduly focus a person on the Company’s short-term stock market performance instead of the Company’s long-term business objectives, potentially creating misalignment of personal interests and those of the Company. For these reasons, any director, officer or other employee of the Company (or their Related Parties) who purchases Company Securities in the open market may not sell any Company Securities of the same class during the six months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following the purchase (or vice versa) unless pre-cleared in accordance with the procedures set forth above. Section 16(b) under the Exchange Act prohibits Section 16 Reporting Persons from engaging in short-term trading in Company Securities.</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Short</w:t>
      </w:r>
      <w:r>
        <w:rPr>
          <w:color w:val="000000"/>
          <w:u w:val="single"/>
        </w:rPr>
        <w:t xml:space="preserve"> </w:t>
      </w:r>
      <w:r>
        <w:rPr>
          <w:rFonts w:ascii="Times New Roman;sans-serif" w:hAnsi="Times New Roman;sans-serif"/>
          <w:b w:val="false"/>
          <w:color w:val="000000"/>
          <w:sz w:val="24"/>
          <w:u w:val="single"/>
        </w:rPr>
        <w:t>Sales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4"/>
        </w:rPr>
        <w:t>Short sales of Company Securities (i.e., the sale of a security that the seller does not own) may evidence an expectation on the part of the seller that the securities will decline in value. These transactions therefore have the potential to signal to the market that the seller lacks confidence in the Company's prospects and to reduce the seller's incentive to seek to improve the Company's performance. For these reasons, short sales of Company Securities are prohibited under this Policy unless part of an approved hedging transaction (see “</w:t>
      </w:r>
      <w:r>
        <w:rPr>
          <w:rFonts w:ascii="Times New Roman;sans-serif" w:hAnsi="Times New Roman;sans-serif"/>
          <w:b w:val="false"/>
          <w:i/>
          <w:color w:val="000000"/>
          <w:sz w:val="24"/>
        </w:rPr>
        <w:t>Hedging Transactions</w:t>
      </w:r>
      <w:r>
        <w:rPr>
          <w:color w:val="000000"/>
        </w:rPr>
        <w:t xml:space="preserve">” </w:t>
      </w:r>
      <w:r>
        <w:rPr>
          <w:rFonts w:ascii="Times New Roman;sans-serif" w:hAnsi="Times New Roman;sans-serif"/>
          <w:b w:val="false"/>
          <w:color w:val="000000"/>
          <w:sz w:val="24"/>
        </w:rPr>
        <w:t xml:space="preserve">below). In addition, Section 16(c) of the Securities Exchange Act of 1934, as amended (the </w:t>
      </w:r>
      <w:r>
        <w:rPr>
          <w:rFonts w:ascii="Times New Roman;sans-serif" w:hAnsi="Times New Roman;sans-serif"/>
          <w:b w:val="false"/>
          <w:i/>
          <w:color w:val="000000"/>
          <w:sz w:val="24"/>
        </w:rPr>
        <w:t>Exchange Act</w:t>
      </w:r>
      <w:r>
        <w:rPr>
          <w:rFonts w:ascii="Times New Roman;sans-serif" w:hAnsi="Times New Roman;sans-serif"/>
          <w:b w:val="false"/>
          <w:color w:val="000000"/>
          <w:sz w:val="24"/>
        </w:rPr>
        <w:t>) prohibits officers and directors from engaging in short sales. Short sales arising from certain types of hedging transactions are governed by the paragraph below captioned “</w:t>
      </w:r>
      <w:r>
        <w:rPr>
          <w:rFonts w:ascii="Times New Roman;sans-serif" w:hAnsi="Times New Roman;sans-serif"/>
          <w:b w:val="false"/>
          <w:i/>
          <w:color w:val="000000"/>
          <w:sz w:val="24"/>
        </w:rPr>
        <w:t>Hedging Transactions</w:t>
      </w:r>
      <w:r>
        <w:rPr>
          <w:color w:val="000000"/>
        </w:rPr>
        <w:t>”</w:t>
      </w:r>
      <w:r>
        <w:rPr>
          <w:rFonts w:ascii="Times New Roman;sans-serif" w:hAnsi="Times New Roman;sans-serif"/>
          <w:b w:val="false"/>
          <w:color w:val="000000"/>
          <w:sz w:val="24"/>
        </w:rPr>
        <w:t xml:space="preserve">), </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Publicly-Traded Options</w:t>
      </w:r>
      <w:r>
        <w:rPr>
          <w:rFonts w:ascii="Times New Roman;sans-serif" w:hAnsi="Times New Roman;sans-serif"/>
          <w:b w:val="false"/>
          <w:color w:val="000000"/>
          <w:sz w:val="24"/>
        </w:rPr>
        <w:t>. Given the relatively short term of publicly-traded options, transactions in options may create the appearance that a Covered Person is trading based on material non-public information and focus a Covered Person’s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Hedging Transactions</w:t>
      </w:r>
      <w:r>
        <w:rPr>
          <w:rFonts w:ascii="Times New Roman;sans-serif" w:hAnsi="Times New Roman;sans-serif"/>
          <w:b w:val="false"/>
          <w:color w:val="000000"/>
          <w:sz w:val="24"/>
        </w:rPr>
        <w:t>. Hedging or monetization transactions can be accomplished through a number of possible mechanisms, including financial instruments such as prepaid variable forwards, equity swaps, collars and exchange funds. Such hedging transactions may permit a Covered Person to continue to own Company Securities obtained through employee benefit plans or otherwise, but without the full risks and rewards of ownership. When that occurs, the Covered Person may no longer have the same objectives as the Company's other shareholders. Therefore, the Company strongly discourages you from engaging in such transactions. Any person wishing to enter into such an arrangement must first submit the proposed transaction for approval by the Legal Department. Any request for preclearance of a hedging or similar arrangement must be submitted to the Legal Department at least two weeks prior to the proposed execution of documents evidencing the proposed transaction and must set forth a justification for the proposed transaction. The Legal Department may accept, reject or condition such transaction in its sole discretion.</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Margin Accounts and Pledges.</w:t>
      </w:r>
      <w:r>
        <w:rPr>
          <w:color w:val="000000"/>
        </w:rPr>
        <w:t xml:space="preserve"> </w:t>
      </w:r>
      <w:r>
        <w:rPr>
          <w:rFonts w:ascii="Times New Roman;sans-serif" w:hAnsi="Times New Roman;sans-serif"/>
          <w:b w:val="false"/>
          <w:color w:val="000000"/>
          <w:sz w:val="24"/>
        </w:rPr>
        <w:t>Securities held in a margin account may be sold by the broker without the customer’s consent if the customer fails to meet a margin call. Similarly, securities pledged as collateral for a loan may be sold in foreclosure if the borrower defaults on the loan or, in many instances, if the value of the collateral declines. Because a margin sale or foreclosure sale may occur at a time when the pledgor is aware of material non-public information regarding the Company or otherwise is not permitted to trade in Company Securities, Covered Persons are prohibited from holding Company Securities in a margin account or pledging such securities as collateral for a loan. An exception to this prohibition may be permitted in certain limited circumstances with the advance written approval of the Legal Department. The Legal Department may accept, reject or condition such transaction in its sole discretion.</w:t>
      </w:r>
    </w:p>
    <w:p>
      <w:pPr>
        <w:pStyle w:val="TextBody"/>
        <w:bidi w:val="0"/>
        <w:spacing w:before="0" w:after="0"/>
        <w:jc w:val="left"/>
        <w:rPr/>
      </w:pPr>
      <w:r>
        <w:rPr/>
      </w:r>
    </w:p>
    <w:p>
      <w:pPr>
        <w:pStyle w:val="TextBody"/>
        <w:bidi w:val="0"/>
        <w:spacing w:lineRule="auto" w:line="240"/>
        <w:ind w:left="0" w:right="0" w:hanging="720"/>
        <w:jc w:val="left"/>
        <w:rPr/>
      </w:pPr>
      <w:r>
        <w:rPr>
          <w:rFonts w:ascii="Times New Roman;sans-serif" w:hAnsi="Times New Roman;sans-serif"/>
          <w:b w:val="false"/>
          <w:color w:val="000000"/>
          <w:sz w:val="24"/>
        </w:rPr>
        <w:t>K.</w:t>
      </w:r>
      <w:r>
        <w:rPr>
          <w:color w:val="000000"/>
        </w:rPr>
        <w:t xml:space="preserve"> </w:t>
      </w:r>
      <w:r>
        <w:rPr>
          <w:rFonts w:ascii="Times New Roman;sans-serif" w:hAnsi="Times New Roman;sans-serif"/>
          <w:b w:val="false"/>
          <w:color w:val="000000"/>
          <w:sz w:val="24"/>
          <w:u w:val="single"/>
        </w:rPr>
        <w:t>Standing and Limit Orders</w:t>
      </w:r>
      <w:r>
        <w:rPr>
          <w:rFonts w:ascii="Times New Roman;sans-serif" w:hAnsi="Times New Roman;sans-serif"/>
          <w:b w:val="false"/>
          <w:color w:val="000000"/>
          <w:sz w:val="24"/>
        </w:rPr>
        <w:t xml:space="preserve">. Standing and limit orders (except standing and limit orders under approved Rule 10b5-1 Plans) create heightened risks for insider trading violations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val="false"/>
          <w:color w:val="000000"/>
          <w:sz w:val="24"/>
        </w:rPr>
        <w:t>similar to the use of margin accounts. There is no control over the timing of purchases or sales that result from standing instructions to a broker, and as a result the broker could execute a transaction when a Covered Person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under the heading “</w:t>
      </w:r>
      <w:r>
        <w:rPr>
          <w:rFonts w:ascii="Times New Roman;sans-serif" w:hAnsi="Times New Roman;sans-serif"/>
          <w:b w:val="false"/>
          <w:i/>
          <w:color w:val="000000"/>
          <w:sz w:val="24"/>
        </w:rPr>
        <w:t>General Securities Trading Policy</w:t>
      </w:r>
      <w:r>
        <w:rPr>
          <w:color w:val="000000"/>
        </w:rPr>
        <w:t xml:space="preserve">” </w:t>
      </w:r>
      <w:r>
        <w:rPr>
          <w:rFonts w:ascii="Times New Roman;sans-serif" w:hAnsi="Times New Roman;sans-serif"/>
          <w:b w:val="false"/>
          <w:color w:val="000000"/>
          <w:sz w:val="24"/>
        </w:rPr>
        <w:t>and with any applicable written permission to trade from the Legal Department provided to the Covered Person.</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L.</w:t>
      </w:r>
      <w:r>
        <w:rPr>
          <w:color w:val="000000"/>
        </w:rPr>
        <w:t xml:space="preserve"> </w:t>
      </w:r>
      <w:r>
        <w:rPr>
          <w:rFonts w:ascii="Times New Roman;sans-serif" w:hAnsi="Times New Roman;sans-serif"/>
          <w:b w:val="false"/>
          <w:color w:val="000000"/>
          <w:sz w:val="24"/>
          <w:u w:val="single"/>
        </w:rPr>
        <w:t>Further Restrictions.</w:t>
      </w:r>
      <w:r>
        <w:rPr>
          <w:color w:val="000000"/>
        </w:rPr>
        <w:t xml:space="preserve"> </w:t>
      </w:r>
      <w:r>
        <w:rPr>
          <w:rFonts w:ascii="Times New Roman;sans-serif" w:hAnsi="Times New Roman;sans-serif"/>
          <w:b w:val="false"/>
          <w:color w:val="000000"/>
          <w:sz w:val="24"/>
        </w:rPr>
        <w:t xml:space="preserve">The trading prohibitions and restrictions set forth in this Policy will be superseded by any greater contractual restrictions on transactions in Company Securities (e.g., lock-up agreements or 401(k) plan blackout periods) or any greater prohibitions or restrictions prescribed by federal or state securities laws and regulations. Section 16 Reporting Persons should take care (i) not to violate the prohibition on short-swing trading (Exchange Act Section 16(b)), the rules against short sales (Exchange Act Section 16(c)), and the restrictions on sales of restricted and control securities under SEC Rule 144 and (ii) to file all required reports (Forms 3, 4, 5 and 144 and, in certain cases, Schedules 13D and 13G). Section 16 Reporting Persons should be aware that a Form 4 is due before the end of the second business day following the day on which a reportable transaction occurs and a Form 144 is due concurrently with either the placing of an order with a broker to execute the sale or the execution of a sale directly with a market maker.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Transactions by Family Members and Others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The Policy applies Family Members.</w:t>
      </w:r>
      <w:r>
        <w:rPr>
          <w:color w:val="000000"/>
        </w:rPr>
        <w:t xml:space="preserve"> </w:t>
      </w:r>
      <w:r>
        <w:rPr>
          <w:rFonts w:ascii="Times New Roman;sans-serif" w:hAnsi="Times New Roman;sans-serif"/>
          <w:b w:val="false"/>
          <w:color w:val="000000"/>
          <w:sz w:val="24"/>
        </w:rPr>
        <w:t xml:space="preserve">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Questions as to which persons are subject to the restrictions of the Policy should be directed to the Legal Department.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Transactions by Entities that You Influence or Control</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This Policy applies to any entities whose transactions in Company Securities are influenced or controlled by an Insider, including corporations, partnerships or trusts (collectively, </w:t>
      </w:r>
      <w:r>
        <w:rPr>
          <w:rFonts w:ascii="Times New Roman;sans-serif" w:hAnsi="Times New Roman;sans-serif"/>
          <w:b w:val="false"/>
          <w:i/>
          <w:color w:val="000000"/>
          <w:sz w:val="24"/>
        </w:rPr>
        <w:t>Controlled Entities</w:t>
      </w:r>
      <w:r>
        <w:rPr>
          <w:rFonts w:ascii="Times New Roman;sans-serif" w:hAnsi="Times New Roman;sans-serif"/>
          <w:b w:val="false"/>
          <w:color w:val="000000"/>
          <w:sz w:val="24"/>
        </w:rPr>
        <w:t>). Transactions by these Controlled Entities will be treated for the purposes of the Policy and applicable securities laws as if they are for the account of the affiliated Insider.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Post-Termination Transactions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Upon your termination of service with the Company, an Insider continues to be subject to this Policy, as well as applicable securities laws, for so long as such person is aware of material non-public information. Insiders also remain subject to the Company’s policies regarding the safeguarding of confidential information.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If a Covered Person’s relationship with the Company terminates during a closed trading window, such Covered Person will continue to be subject to this Policy, and specifically to the ongoing prohibition against trading, until the commencement of the next open trading window or, if determined to be earlier by the Legal Department in its sole discretion, the commencement of trading on the second trading day following public announcement of the last material non-public information of which an Covered Person is aware. The Legal Department may use stop transfer instructions to the Company’s transfer agent in order to enforce this provision.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Rule 10b5-1 Exemption</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Rule 10b5-1 of the Exchange Act allows a person to trade while aware of material non-public information if the trade was executed pursuant to a plan satisfying the requirements of Rule 10b5-1 (a “</w:t>
      </w:r>
      <w:r>
        <w:rPr>
          <w:rFonts w:ascii="Times New Roman;sans-serif" w:hAnsi="Times New Roman;sans-serif"/>
          <w:b w:val="false"/>
          <w:i/>
          <w:color w:val="000000"/>
          <w:sz w:val="24"/>
        </w:rPr>
        <w:t>trading plan</w:t>
      </w:r>
      <w:r>
        <w:rPr>
          <w:color w:val="000000"/>
        </w:rPr>
        <w:t>”</w:t>
      </w:r>
      <w:r>
        <w:rPr>
          <w:rFonts w:ascii="Times New Roman;sans-serif" w:hAnsi="Times New Roman;sans-serif"/>
          <w:b w:val="false"/>
          <w:color w:val="000000"/>
          <w:sz w:val="24"/>
        </w:rPr>
        <w:t xml:space="preserve">) that was established at a time when the person was not aware of material non-public information. Rule 10b5-1 is a complicated rule that requires sophisticated planning and should not be relied upon without the advice of one’s own legal counsel or personal financial adviser. Once the plan is adopted, the person must not exercise any influence over the amount of securities to be traded, the price at which they are to be traded or the date of the trade, and the person must act in good faith with respect to the plan.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Trades in Company Securities that are executed pursuant to an approved trading plan are not subject to the prohibitions in this Policy, including open window period or pre-clearance requirements for Covered Persons. Trading plans must be approved in advance in writing by the Legal Department, implemented during an open trading window and meet both the requirements of Rule 10b5-1 and these guidelines. Any Rule 10b5-1 Plan must be submitted to the Legal Department for approval at least 10 days prior to the entry into the Rule 10b5-1 Plan. Trading plans may not be instituted, amended or terminated, and deviations from such plans may not be made outside of a window period or at a time when an Insider is aware of material non-public information. Any amendment or termination of an approved trading plan requires the advance approval of the Legal Department. Section 16 Reporting Persons must provide prompt notice to the Legal Department of all transactions under trading plans to facilitate filings required under Section 16(a) of the Exchange Act. Such filings are generally due within two (2) business days of a trade. The Company reserves the right to bar any transactions in Company Securities, even those pursuant to trading plans previously approved, if the Legal Department or the Board, in consultation with the Legal Department, determines that such a bar is appropriate under the circumstances.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Prior to adoption of any Rule 10b5-1 Plan, the person entering the Rule 10b5-1 Plan must certify to the Legal Department that (a) he or she is not aware of any material non-public information; (b) he or she is adopting the plan in good faith and not as a scheme to avoid the prohibition on insider trading; (c) all such trades to be made pursuant to the Rule 10b5-1 Plan will be made in accordance with the Exchange Act, the Securities Act of 1933, as amended, and applicable state securities laws; and (d) the Rule 10b5-1 Plan complies with the requirements of Rule 10b5-1. No approval by the Legal Department shall be considered the Legal Department’s or the Company’s approval that the Rule 10b5-1 Plan satisfies the requirements of Rule 10b5-1. It shall be the responsibility of the person establishing the Rule 10b5-1 Plan to ensure that such plan complies with the requirements of Rule 10b5-1. The existence of the foregoing approval procedures does not in any way obligate the Legal Department to approve any Rule 10b5-1 Plan. The Legal Department may reject any trading requests or Rule 10b5-1 Plans in its sole discretion. The Company reserves the right to require that additional provisions be included in a Rule 10b5-1 Plan with the objective of complying with Rule 10b5-1. The Company also reserves the right to require that transactions under a Rule 10b5-1 Plan be suspended during periods when the Company believes that legal, contractual or regulatory restrictions could prohibit such transactions or make them undesirable. These might include periods during which persons subject to this Policy have agreed with underwriters that they will not sell Company Securities for specified periods before and after a public offering, or periods in proximity to a public offering during which SEC Regulation M prohibits purchases by affiliates.</w:t>
      </w:r>
    </w:p>
    <w:p>
      <w:pPr>
        <w:pStyle w:val="TextBody"/>
        <w:bidi w:val="0"/>
        <w:spacing w:before="0" w:after="0"/>
        <w:jc w:val="left"/>
        <w:rPr/>
      </w:pPr>
      <w:r>
        <w:rPr/>
      </w:r>
    </w:p>
    <w:p>
      <w:pPr>
        <w:pStyle w:val="TextBody"/>
        <w:bidi w:val="0"/>
        <w:spacing w:lineRule="auto" w:line="240" w:before="0" w:after="240"/>
        <w:ind w:left="0" w:right="0" w:hanging="90"/>
        <w:jc w:val="left"/>
        <w:rPr>
          <w:rFonts w:ascii="Times New Roman;sans-serif" w:hAnsi="Times New Roman;sans-serif"/>
          <w:b w:val="false"/>
          <w:color w:val="000000"/>
          <w:sz w:val="24"/>
        </w:rPr>
      </w:pPr>
      <w:r>
        <w:rPr>
          <w:rFonts w:ascii="Times New Roman;sans-serif" w:hAnsi="Times New Roman;sans-serif"/>
          <w:b w:val="false"/>
          <w:color w:val="000000"/>
          <w:sz w:val="24"/>
        </w:rPr>
        <w:t>The following guidelines apply to all Rule 10b5-1 Plans:</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 xml:space="preserve">You may not enter into, modify or discretionarily terminate a trading program during a blackout period or while in possession of material non-public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The Rule 10b5-1 Plan must include a representation from the person establishing the plan that he or she (a) is not aware of any material non-public information and (b) is adopting the plan in good faith and not as a scheme to avoid the prohibition on insider trading.</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Subject to limited exceptions, a person can enter into only one effective Rule 10b5-1 Plan at any time.</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Subject to limited exceptions, a person can enter into only one “single trade” Rule 10b5-1 Plan in any 12-month period.</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 xml:space="preserve">All Rule 10b5-1 Plans must have a duration of at least six months and no more than two years. </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 xml:space="preserve">If a Rule 10b5-1 Plan is terminated, you must wait at least 30 days before trading outside of the Rule 10b5-1 Plan. </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 xml:space="preserve">If a trading program is terminated, you must wait until the commencement of the next Window Period before a new Rule 10b5-1 Plan may be adopted. </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 xml:space="preserve">The Rule 10b5-1 Plan must include a “cooling off” period such that (a) for all employees and any person other than a director or officer, trading under a Rule 10b5-1 Plan cannot begin until 30 days after the adoption or modification of the plan and (b) for directors and officers subject to Section 16 reporting obligations under the Exchange Act, trading under a Rule 10b5-1 Plan cannot begin until the later of (i) 90 days after adoption or modification of the Rule 10b5-1 Plan or (ii) two business days after disclosure of the Company’s financial results in a Form 10-Q or Form 10-K for the fiscal quarter in which the Rule 10b5-1 Plan was adopted, subject to a maximum cooling off period of 120 days. </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Modifications to Rule 10b5-1 Plans will trigger a new cooling-off period if the modification changes the amount, price, or timing of trades, including a change to a formula that affects these inputs. Modifications do not trigger a new cooling-off period if they are immaterial or administrative, such as an adjustment for stock splits or a change in account information.</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You may not enter into any transaction in Company Securities while the Rule 10b5-1 Plan is in effect. This prohibition includes but is not limited to any corresponding or hedging transaction with respect to the securities subject to the plan. An exception may be permitted, to the extent not unlawful, for a Rule 10b5-1 Plan that (a) relates solely to Company Securities acquired under the Company’s equity incentive plans and (b) is designed and actually operated to authorize the sale of only enough securities necessary to pay or otherwise discharge income or withholding tax obligations that accrue upon the exercise, vesting or settlement of awards under the Company’s equity incentive plan, in which case the Section 16 Reporting Person must not otherwise exercise control over the timing of such sales. This exception does not apply to sales incident to the exercise of stock options.</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Each director, officer and other Section 16 Reporting Person understands that the approval or adoption of a pre-planned selling program in no way reduces or eliminates such person’s obligations under Section 16 of the Exchange Act, including such person’s disclosure and short-swing trading liabilities thereunder. If any questions arise, such person should consult with their own counsel in implementing a Rule 10b5-1 Plan.</w: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Consequences of Violation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purchase or sale of securities while aware of material nonpublic information, or the disclosure of material nonpublic information to others who then engage in transactions in the Company’s Securities, is prohibited by the federal and state laws. Insider trading violations are pursued vigorously by the SEC, U.S. Attorneys and state enforcement authorities, as well as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enforcement authorities in foreign jurisdictions. Punishment for insider trading violations is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severe, and could include significant fines and imprisonment. While the regulatory authorities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concentrate their efforts on the individuals who trade, or who tip inside information to others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who trade, the federal securities laws also impose potential liability on companies and other </w:t>
      </w:r>
    </w:p>
    <w:p>
      <w:pPr>
        <w:pStyle w:val="TextBody"/>
        <w:bidi w:val="0"/>
        <w:spacing w:lineRule="auto" w:line="240" w:before="0" w:after="0"/>
        <w:jc w:val="left"/>
        <w:rPr>
          <w:color w:val="000000"/>
        </w:rPr>
      </w:pPr>
      <w:r>
        <w:rPr>
          <w:color w:val="000000"/>
        </w:rPr>
        <w:t>“</w:t>
      </w:r>
      <w:r>
        <w:rPr>
          <w:rFonts w:ascii="Times New Roman;sans-serif" w:hAnsi="Times New Roman;sans-serif"/>
          <w:b w:val="false"/>
          <w:color w:val="000000"/>
          <w:sz w:val="24"/>
        </w:rPr>
        <w:t xml:space="preserve">controlling persons” if they fail to take reasonable steps to prevent insider trading by company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personnel.</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violation of law, or even a governmental investigation that does not result in prosecution, can tarnish a person’s reputation and irreparably damage a career. In addition, the Company, may in its discretion, impose or maintain stop transfer orders on securities held by Insiders to enforce this Policy.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Any violation of this Policy can be expected to result in serious sanctions by the Company, including dismissal, suspension without pay, loss of pay or bonus, loss of benefits, demotion or other sanctions, whether or not the violation of this Policy also constituted a violation of law.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Other Limited Exceptions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 exception to the restrictions in this Policy may be permitted with the advance written approval of the Legal Department if all material information concerning the Company has been publicly disclosed or is known by both parties to the proposed transaction.  This type of exception is intended to be used only in unusual circumstances, and an Insider should not assume that such an exception will be granted even if the pre-conditions to the exception are satisfied.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Questions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you have any questions regarding a particular securities transaction or whether you are in possession of material non-public information concerning the Company or Company Securities, or this Policy generally, please do not hesitate to contact the Legal Department.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40" w:before="0" w:after="480"/>
        <w:jc w:val="center"/>
        <w:rPr/>
      </w:pPr>
      <w:r>
        <w:rPr>
          <w:rFonts w:ascii="Times New Roman;sans-serif" w:hAnsi="Times New Roman;sans-serif"/>
          <w:b/>
          <w:color w:val="000000"/>
          <w:sz w:val="20"/>
        </w:rPr>
        <w:t>EXHIBIT A</w:t>
        <w:br/>
        <w:br/>
      </w:r>
      <w:r>
        <w:rPr>
          <w:rFonts w:ascii="Times New Roman;sans-serif" w:hAnsi="Times New Roman;sans-serif"/>
          <w:b/>
          <w:color w:val="000000"/>
          <w:sz w:val="20"/>
          <w:u w:val="single"/>
        </w:rPr>
        <w:t>SECTION 16 Reporting Persons</w:t>
      </w:r>
    </w:p>
    <w:tbl>
      <w:tblPr>
        <w:tblW w:w="8113" w:type="dxa"/>
        <w:jc w:val="left"/>
        <w:tblInd w:w="0" w:type="dxa"/>
        <w:tblLayout w:type="fixed"/>
        <w:tblCellMar>
          <w:top w:w="28" w:type="dxa"/>
          <w:left w:w="28" w:type="dxa"/>
          <w:bottom w:w="28" w:type="dxa"/>
          <w:right w:w="28" w:type="dxa"/>
        </w:tblCellMar>
      </w:tblPr>
      <w:tblGrid>
        <w:gridCol w:w="570"/>
        <w:gridCol w:w="500"/>
        <w:gridCol w:w="504"/>
        <w:gridCol w:w="1902"/>
        <w:gridCol w:w="1902"/>
        <w:gridCol w:w="2735"/>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Name</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Douglas R. Lebda</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&amp; Chief Executive Officer</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Gabe Dalporto</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Tom Davidson</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Ernst</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Robin Henderson</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Steve Ozonian</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Diego Rodriguez</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Saras Sarasvathy</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Ken Thompson</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Trent Ziegler</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Carla Shumate</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Scott Peyree</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LendingTree and President, LendingTree Marketplace</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Jill Olmstead</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Human Resources Officer</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Heather Novitsky</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Scott Totman</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Technology Officer</w:t>
            </w:r>
          </w:p>
        </w:tc>
      </w:tr>
    </w:tbl>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240"/>
        <w:jc w:val="center"/>
        <w:rPr/>
      </w:pPr>
      <w:r>
        <w:rPr>
          <w:rFonts w:ascii="Times New Roman;sans-serif" w:hAnsi="Times New Roman;sans-serif"/>
          <w:b/>
          <w:color w:val="000000"/>
          <w:sz w:val="24"/>
        </w:rPr>
        <w:t>EXHIBIT B</w:t>
        <w:br/>
        <w:br/>
      </w:r>
      <w:r>
        <w:rPr>
          <w:rFonts w:ascii="Times New Roman;sans-serif" w:hAnsi="Times New Roman;sans-serif"/>
          <w:b/>
          <w:color w:val="000000"/>
          <w:sz w:val="21"/>
        </w:rPr>
        <w:t>APPLICATION FOR APPROVAL OF TRANSACTIONS IN LENDINGTREE SECURITIES</w:t>
      </w:r>
    </w:p>
    <w:p>
      <w:pPr>
        <w:pStyle w:val="TextBody"/>
        <w:bidi w:val="0"/>
        <w:spacing w:before="0" w:after="0"/>
        <w:jc w:val="center"/>
        <w:rPr/>
      </w:pPr>
      <w:r>
        <w:rPr/>
      </w:r>
    </w:p>
    <w:p>
      <w:pPr>
        <w:pStyle w:val="TextBody"/>
        <w:bidi w:val="0"/>
        <w:spacing w:lineRule="auto" w:line="240" w:before="0" w:after="60"/>
        <w:jc w:val="left"/>
        <w:rPr/>
      </w:pPr>
      <w:r>
        <w:rPr>
          <w:rFonts w:ascii="Times New Roman;sans-serif" w:hAnsi="Times New Roman;sans-serif"/>
          <w:b w:val="false"/>
          <w:color w:val="000000"/>
          <w:sz w:val="21"/>
        </w:rPr>
        <w:t xml:space="preserve">Name: </w:t>
      </w:r>
      <w:r>
        <w:rPr>
          <w:color w:val="000000"/>
          <w:u w:val="single"/>
        </w:rPr>
        <w:t>                                                </w:t>
      </w:r>
    </w:p>
    <w:p>
      <w:pPr>
        <w:pStyle w:val="TextBody"/>
        <w:bidi w:val="0"/>
        <w:spacing w:lineRule="auto" w:line="240" w:before="0" w:after="60"/>
        <w:jc w:val="left"/>
        <w:rPr/>
      </w:pPr>
      <w:r>
        <w:rPr>
          <w:rFonts w:ascii="Times New Roman;sans-serif" w:hAnsi="Times New Roman;sans-serif"/>
          <w:b w:val="false"/>
          <w:color w:val="000000"/>
          <w:sz w:val="21"/>
        </w:rPr>
        <w:t xml:space="preserve">Title: </w:t>
      </w:r>
      <w:r>
        <w:rPr>
          <w:color w:val="000000"/>
          <w:u w:val="single"/>
        </w:rPr>
        <w:t>                                                </w:t>
      </w:r>
    </w:p>
    <w:p>
      <w:pPr>
        <w:pStyle w:val="TextBody"/>
        <w:bidi w:val="0"/>
        <w:spacing w:lineRule="auto" w:line="240" w:before="0" w:after="60"/>
        <w:jc w:val="left"/>
        <w:rPr/>
      </w:pPr>
      <w:r>
        <w:rPr>
          <w:rFonts w:ascii="Times New Roman;sans-serif" w:hAnsi="Times New Roman;sans-serif"/>
          <w:b w:val="false"/>
          <w:color w:val="000000"/>
          <w:sz w:val="21"/>
        </w:rPr>
        <w:t xml:space="preserve">Proposed Initial Trade Date: </w:t>
      </w:r>
      <w:r>
        <w:rPr>
          <w:color w:val="000000"/>
          <w:u w:val="single"/>
        </w:rPr>
        <w:t>                                    </w:t>
      </w:r>
    </w:p>
    <w:p>
      <w:pPr>
        <w:pStyle w:val="TextBody"/>
        <w:bidi w:val="0"/>
        <w:spacing w:lineRule="auto" w:line="240" w:before="0" w:after="60"/>
        <w:jc w:val="left"/>
        <w:rPr/>
      </w:pPr>
      <w:r>
        <w:rPr>
          <w:rFonts w:ascii="Times New Roman;sans-serif" w:hAnsi="Times New Roman;sans-serif"/>
          <w:b w:val="false"/>
          <w:color w:val="000000"/>
          <w:sz w:val="21"/>
        </w:rPr>
        <w:t xml:space="preserve">Type of Security to be Traded: </w:t>
      </w:r>
      <w:r>
        <w:rPr>
          <w:color w:val="000000"/>
          <w:u w:val="single"/>
        </w:rPr>
        <w:t>                                    </w:t>
      </w:r>
    </w:p>
    <w:p>
      <w:pPr>
        <w:pStyle w:val="TextBody"/>
        <w:bidi w:val="0"/>
        <w:spacing w:lineRule="auto" w:line="240" w:before="0" w:after="60"/>
        <w:jc w:val="left"/>
        <w:rPr/>
      </w:pPr>
      <w:r>
        <w:rPr>
          <w:rFonts w:ascii="Times New Roman;sans-serif" w:hAnsi="Times New Roman;sans-serif"/>
          <w:b w:val="false"/>
          <w:color w:val="000000"/>
          <w:sz w:val="21"/>
        </w:rPr>
        <w:t xml:space="preserve">Type of Transaction (e.g., purchase, sale, gift): </w:t>
      </w:r>
      <w:r>
        <w:rPr>
          <w:color w:val="000000"/>
          <w:u w:val="single"/>
        </w:rPr>
        <w:t>                            </w:t>
      </w:r>
    </w:p>
    <w:p>
      <w:pPr>
        <w:pStyle w:val="TextBody"/>
        <w:bidi w:val="0"/>
        <w:spacing w:lineRule="auto" w:line="240" w:before="0" w:after="0"/>
        <w:jc w:val="left"/>
        <w:rPr/>
      </w:pPr>
      <w:r>
        <w:rPr>
          <w:rFonts w:ascii="Times New Roman;sans-serif" w:hAnsi="Times New Roman;sans-serif"/>
          <w:b w:val="false"/>
          <w:color w:val="000000"/>
          <w:sz w:val="21"/>
        </w:rPr>
        <w:t xml:space="preserve">Number of Shares to be Transacted: </w:t>
      </w:r>
      <w:r>
        <w:rPr>
          <w:color w:val="000000"/>
          <w:u w:val="single"/>
        </w:rPr>
        <w:t>                                </w:t>
      </w:r>
    </w:p>
    <w:p>
      <w:pPr>
        <w:pStyle w:val="TextBody"/>
        <w:bidi w:val="0"/>
        <w:spacing w:before="0" w:after="0"/>
        <w:jc w:val="left"/>
        <w:rPr/>
      </w:pPr>
      <w:r>
        <w:rPr/>
      </w:r>
    </w:p>
    <w:p>
      <w:pPr>
        <w:pStyle w:val="TextBody"/>
        <w:bidi w:val="0"/>
        <w:spacing w:lineRule="auto" w:line="240" w:before="0" w:after="0"/>
        <w:jc w:val="left"/>
        <w:rPr/>
      </w:pPr>
      <w:r>
        <w:rPr>
          <w:color w:val="000000"/>
        </w:rPr>
        <w:t xml:space="preserve">☐ </w:t>
      </w:r>
      <w:r>
        <w:rPr>
          <w:rFonts w:ascii="Times New Roman;sans-serif" w:hAnsi="Times New Roman;sans-serif"/>
          <w:b w:val="false"/>
          <w:color w:val="000000"/>
          <w:sz w:val="21"/>
        </w:rPr>
        <w:t xml:space="preserve">I have NOT (and none of my Related Parties has) bought or sold LendingTree securities in the past 6 months. </w:t>
      </w:r>
    </w:p>
    <w:p>
      <w:pPr>
        <w:pStyle w:val="TextBody"/>
        <w:bidi w:val="0"/>
        <w:spacing w:lineRule="auto" w:line="240" w:before="0" w:after="0"/>
        <w:jc w:val="left"/>
        <w:rPr/>
      </w:pPr>
      <w:r>
        <w:rPr>
          <w:color w:val="000000"/>
        </w:rPr>
        <w:t xml:space="preserve">☐ </w:t>
      </w:r>
      <w:r>
        <w:rPr>
          <w:rFonts w:ascii="Times New Roman;sans-serif" w:hAnsi="Times New Roman;sans-serif"/>
          <w:b w:val="false"/>
          <w:color w:val="000000"/>
          <w:sz w:val="21"/>
        </w:rPr>
        <w:t>I HAVE (or one of my Related Parties has) bought or sold LendingTree securities in the past 6 months. Details of the transaction(s) (e.g., name of person(s) who traded, date and type of transaction, whether it was pursuant to a Rule 10b5-1 trading plan):</w:t>
      </w:r>
      <w:r>
        <w:rPr>
          <w:color w:val="000000"/>
          <w:u w:val="single"/>
        </w:rPr>
        <w:t xml:space="preserve">                                                                                         </w:t>
      </w:r>
    </w:p>
    <w:p>
      <w:pPr>
        <w:pStyle w:val="TextBody"/>
        <w:bidi w:val="0"/>
        <w:spacing w:lineRule="auto" w:line="240" w:before="0" w:after="0"/>
        <w:jc w:val="left"/>
        <w:rPr>
          <w:color w:val="000000"/>
          <w:u w:val="single"/>
        </w:rPr>
      </w:pPr>
      <w:r>
        <w:rPr>
          <w:color w:val="000000"/>
          <w:u w:val="single"/>
        </w:rPr>
        <w:t>                                                    </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1"/>
          <w:u w:val="single"/>
        </w:rPr>
      </w:pPr>
      <w:r>
        <w:rPr>
          <w:rFonts w:ascii="Times New Roman;sans-serif" w:hAnsi="Times New Roman;sans-serif"/>
          <w:b w:val="false"/>
          <w:color w:val="000000"/>
          <w:sz w:val="21"/>
          <w:u w:val="single"/>
        </w:rPr>
        <w:t>Certification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 xml:space="preserve">I hereby certify that have read and understand the LendingTree, Inc. Insider Trading and Related Matters Policy (the “Policy”), including what information may be considered material non-public information, and I understand that Legal Department is available to answer any questions I have regarding the Policy.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 xml:space="preserve">I hereby further certify that (1) I am not in possession of any material non-public information concerning LendingTree, Inc. or any of its direct or indirect subsidiaries and (2) to the best of my knowledge, the proposed transaction(s) described above do not violate the trading restrictions of Section 16 of the Securities Exchange Act of 1934, as amended, or Rule 144 under the Securities Act of 1933, as amended. I understand that if I trade while in possession of such information or in violation of such trading restrictions, I may be subject to severe civil and/or criminal penalties and discipline by LendingTree, up to and including termination for cause.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u w:val="single"/>
        </w:rPr>
        <w:t>                        </w:t>
      </w:r>
      <w:r>
        <w:rPr>
          <w:color w:val="000000"/>
        </w:rPr>
        <w:t>            </w:t>
      </w:r>
      <w:r>
        <w:rPr>
          <w:color w:val="000000"/>
          <w:u w:val="single"/>
        </w:rPr>
        <w:t>            </w:t>
      </w:r>
    </w:p>
    <w:p>
      <w:pPr>
        <w:pStyle w:val="TextBody"/>
        <w:bidi w:val="0"/>
        <w:spacing w:lineRule="auto" w:line="240" w:before="0" w:after="0"/>
        <w:ind w:left="0" w:right="0" w:firstLine="360"/>
        <w:jc w:val="left"/>
        <w:rPr>
          <w:rFonts w:ascii="Times New Roman;sans-serif" w:hAnsi="Times New Roman;sans-serif"/>
          <w:b w:val="false"/>
          <w:color w:val="000000"/>
          <w:sz w:val="21"/>
        </w:rPr>
      </w:pPr>
      <w:r>
        <w:rPr>
          <w:rFonts w:ascii="Times New Roman;sans-serif" w:hAnsi="Times New Roman;sans-serif"/>
          <w:b w:val="false"/>
          <w:color w:val="000000"/>
          <w:sz w:val="21"/>
        </w:rPr>
        <w:t>Signature                                    Date</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1"/>
          <w:u w:val="single"/>
        </w:rPr>
      </w:pPr>
      <w:r>
        <w:rPr>
          <w:rFonts w:ascii="Times New Roman;sans-serif" w:hAnsi="Times New Roman;sans-serif"/>
          <w:b/>
          <w:color w:val="000000"/>
          <w:sz w:val="21"/>
          <w:u w:val="single"/>
        </w:rPr>
        <w:t>Review and Decision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1"/>
        </w:rPr>
      </w:pPr>
      <w:r>
        <w:rPr>
          <w:rFonts w:ascii="Times New Roman;sans-serif" w:hAnsi="Times New Roman;sans-serif"/>
          <w:b w:val="false"/>
          <w:color w:val="000000"/>
          <w:sz w:val="21"/>
        </w:rPr>
        <w:t>This Application is:    _____ APPROVED    _____ NOT APPROVED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u w:val="single"/>
        </w:rPr>
        <w:t>                        </w:t>
      </w:r>
      <w:r>
        <w:rPr>
          <w:color w:val="000000"/>
        </w:rPr>
        <w:t xml:space="preserve"> </w:t>
      </w:r>
      <w:r>
        <w:rPr>
          <w:rFonts w:ascii="Times New Roman;sans-serif" w:hAnsi="Times New Roman;sans-serif"/>
          <w:b w:val="false"/>
          <w:color w:val="000000"/>
          <w:sz w:val="21"/>
        </w:rPr>
        <w:t xml:space="preserve">First Trade Date: </w:t>
      </w:r>
      <w:r>
        <w:rPr>
          <w:color w:val="000000"/>
          <w:u w:val="single"/>
        </w:rPr>
        <w:t xml:space="preserve">         </w:t>
      </w:r>
      <w:r>
        <w:rPr>
          <w:rFonts w:ascii="Times New Roman;sans-serif" w:hAnsi="Times New Roman;sans-serif"/>
          <w:b w:val="false"/>
          <w:color w:val="000000"/>
          <w:sz w:val="21"/>
          <w:u w:val="single"/>
        </w:rPr>
        <w:t>___</w:t>
      </w:r>
      <w:r>
        <w:rPr>
          <w:rFonts w:ascii="Times New Roman;sans-serif" w:hAnsi="Times New Roman;sans-serif"/>
          <w:b w:val="false"/>
          <w:color w:val="000000"/>
          <w:sz w:val="21"/>
        </w:rPr>
        <w:t>at 9:30 am (ET)</w:t>
      </w:r>
    </w:p>
    <w:p>
      <w:pPr>
        <w:pStyle w:val="TextBody"/>
        <w:bidi w:val="0"/>
        <w:spacing w:lineRule="auto" w:line="240" w:before="0" w:after="60"/>
        <w:jc w:val="left"/>
        <w:rPr/>
      </w:pPr>
      <w:r>
        <w:rPr>
          <w:rFonts w:ascii="Times New Roman;sans-serif" w:hAnsi="Times New Roman;sans-serif"/>
          <w:b w:val="false"/>
          <w:color w:val="000000"/>
          <w:sz w:val="21"/>
        </w:rPr>
        <w:t xml:space="preserve">Signature                     Final Trade Date: </w:t>
      </w:r>
      <w:r>
        <w:rPr>
          <w:color w:val="000000"/>
          <w:u w:val="single"/>
        </w:rPr>
        <w:t xml:space="preserve">         </w:t>
      </w:r>
      <w:r>
        <w:rPr>
          <w:rFonts w:ascii="Times New Roman;sans-serif" w:hAnsi="Times New Roman;sans-serif"/>
          <w:b w:val="false"/>
          <w:color w:val="000000"/>
          <w:sz w:val="21"/>
          <w:u w:val="single"/>
        </w:rPr>
        <w:t>___</w:t>
      </w:r>
      <w:r>
        <w:rPr>
          <w:rFonts w:ascii="Times New Roman;sans-serif" w:hAnsi="Times New Roman;sans-serif"/>
          <w:b w:val="false"/>
          <w:color w:val="000000"/>
          <w:sz w:val="21"/>
        </w:rPr>
        <w:t>at 4:00 pm (ET)</w:t>
      </w:r>
    </w:p>
    <w:p>
      <w:pPr>
        <w:pStyle w:val="TextBody"/>
        <w:bidi w:val="0"/>
        <w:spacing w:lineRule="auto" w:line="240" w:before="0" w:after="60"/>
        <w:jc w:val="left"/>
        <w:rPr/>
      </w:pPr>
      <w:r>
        <w:rPr>
          <w:rFonts w:ascii="Times New Roman;sans-serif" w:hAnsi="Times New Roman;sans-serif"/>
          <w:b w:val="false"/>
          <w:color w:val="000000"/>
          <w:sz w:val="21"/>
        </w:rPr>
        <w:t xml:space="preserve">Name: </w:t>
      </w:r>
      <w:r>
        <w:rPr>
          <w:color w:val="000000"/>
          <w:u w:val="single"/>
        </w:rPr>
        <w:t>                        </w:t>
      </w:r>
    </w:p>
    <w:p>
      <w:pPr>
        <w:pStyle w:val="TextBody"/>
        <w:bidi w:val="0"/>
        <w:spacing w:lineRule="auto" w:line="240" w:before="0" w:after="60"/>
        <w:jc w:val="left"/>
        <w:rPr/>
      </w:pPr>
      <w:r>
        <w:rPr>
          <w:rFonts w:ascii="Times New Roman;sans-serif" w:hAnsi="Times New Roman;sans-serif"/>
          <w:b w:val="false"/>
          <w:color w:val="000000"/>
          <w:sz w:val="21"/>
        </w:rPr>
        <w:t xml:space="preserve">Title: </w:t>
      </w:r>
      <w:r>
        <w:rPr>
          <w:color w:val="000000"/>
          <w:u w:val="single"/>
        </w:rPr>
        <w:t>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60" w:after="16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SUBSIDIARIES OF LENDINGTREE, INC. </w:t>
      </w:r>
    </w:p>
    <w:tbl>
      <w:tblPr>
        <w:tblW w:w="5160" w:type="dxa"/>
        <w:jc w:val="center"/>
        <w:tblInd w:w="0" w:type="dxa"/>
        <w:tblLayout w:type="fixed"/>
        <w:tblCellMar>
          <w:top w:w="28" w:type="dxa"/>
          <w:left w:w="28" w:type="dxa"/>
          <w:bottom w:w="28" w:type="dxa"/>
          <w:right w:w="28" w:type="dxa"/>
        </w:tblCellMar>
      </w:tblPr>
      <w:tblGrid>
        <w:gridCol w:w="1134"/>
        <w:gridCol w:w="996"/>
        <w:gridCol w:w="1005"/>
        <w:gridCol w:w="592"/>
        <w:gridCol w:w="592"/>
        <w:gridCol w:w="841"/>
      </w:tblGrid>
      <w:tr>
        <w:trPr/>
        <w:tc>
          <w:tcPr>
            <w:tcW w:w="113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Jurisdiction of Formation</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LendingTree, LLC</w:t>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Tree.com BU Holding Company, Inc.</w:t>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 India Holding Company, LLC</w:t>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LendingTree Research Services LLP</w:t>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Ovation Credit Services, Inc.</w:t>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QuoteWizard.com, LLC</w:t>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QW Insurance Solutions, LLC</w:t>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 Intermediate Company, LLC</w:t>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LTIM, LLC</w:t>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LendingTree JVIC, LLC</w:t>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60" w:after="160"/>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CONSENT OF INDEPENDENT REGISTERED PUBLIC ACCOUNTING FIRM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We hereby consent to the incorporation by reference in the Registration Statements on Form S-3 (No. 333-266172) and S-8 (No. 333-273547, 333-258391, No. 333-233035, No. 333-218747, No. 333-197952) of LendingTree, Inc. of our report dated</w:t>
      </w:r>
      <w:r>
        <w:rPr>
          <w:color w:val="000000"/>
        </w:rPr>
        <w:t xml:space="preserve"> </w:t>
      </w:r>
      <w:r>
        <w:rPr>
          <w:rFonts w:ascii="Times New Roman;sans-serif" w:hAnsi="Times New Roman;sans-serif"/>
          <w:b w:val="false"/>
          <w:color w:val="000000"/>
          <w:sz w:val="20"/>
        </w:rPr>
        <w:t>February 28, 2024 relating to the financial statements and the effectiveness of internal control over financial reporting, which appears in this Form 10-K.</w:t>
      </w:r>
    </w:p>
    <w:p>
      <w:pPr>
        <w:pStyle w:val="TextBody"/>
        <w:bidi w:val="0"/>
        <w:spacing w:before="240" w:after="100"/>
        <w:jc w:val="left"/>
        <w:rPr/>
      </w:pPr>
      <w:r>
        <w:rPr/>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PricewaterhouseCoopers LLP </w:t>
      </w:r>
    </w:p>
    <w:p>
      <w:pPr>
        <w:pStyle w:val="TextBody"/>
        <w:bidi w:val="0"/>
        <w:spacing w:before="100" w:after="100"/>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60" w:after="16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RULE 15d-14(a)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 Douglas R. Lebda, certify that: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for the period ended December 31, 2023 of LendingTree, Inc.;</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February 28, 2024 </w:t>
      </w:r>
    </w:p>
    <w:tbl>
      <w:tblPr>
        <w:tblW w:w="40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79"/>
        <w:gridCol w:w="979"/>
        <w:gridCol w:w="13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 DOUGLAS R. LEBDA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Douglas R. Lebda</w:t>
            </w:r>
          </w:p>
          <w:p>
            <w:pPr>
              <w:pStyle w:val="TableContents"/>
              <w:bidi w:val="0"/>
              <w:spacing w:lineRule="auto" w:line="240" w:before="0" w:after="0"/>
              <w:jc w:val="center"/>
              <w:rPr/>
            </w:pPr>
            <w:r>
              <w:rPr>
                <w:color w:val="000000"/>
              </w:rPr>
              <w:t> </w:t>
            </w:r>
            <w:r>
              <w:rPr>
                <w:rFonts w:ascii="Times New Roman;sans-serif" w:hAnsi="Times New Roman;sans-serif"/>
                <w:b w:val="false"/>
                <w:i/>
                <w:color w:val="000000"/>
                <w:sz w:val="20"/>
              </w:rPr>
              <w:t>Chairman and Chief Executive Officer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60" w:after="16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RULE 15d-14(a)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 Trent Ziegler, certify that:</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for the period ended December 31, 2023 of LendingTree, Inc.;</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28, 2024</w:t>
      </w:r>
    </w:p>
    <w:tbl>
      <w:tblPr>
        <w:tblW w:w="30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05"/>
        <w:gridCol w:w="705"/>
        <w:gridCol w:w="10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 TRENT ZIEGLER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Trent Ziegler</w:t>
            </w:r>
          </w:p>
          <w:p>
            <w:pPr>
              <w:pStyle w:val="TableContents"/>
              <w:bidi w:val="0"/>
              <w:spacing w:lineRule="auto" w:line="240" w:before="0" w:after="0"/>
              <w:jc w:val="center"/>
              <w:rPr/>
            </w:pPr>
            <w:r>
              <w:rPr>
                <w:color w:val="000000"/>
              </w:rPr>
              <w:t> </w:t>
            </w:r>
            <w:r>
              <w:rPr>
                <w:rFonts w:ascii="Times New Roman;sans-serif" w:hAnsi="Times New Roman;sans-serif"/>
                <w:b w:val="false"/>
                <w:i/>
                <w:color w:val="000000"/>
                <w:sz w:val="20"/>
              </w:rPr>
              <w:t>Chief Financial Officer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60" w:after="16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 Douglas R. Lebda, certify, pursuant to 18 U.S.C. Section 1350, as adopted pursuant to Section 906 of the Sarbanes-Oxley Act of 2002, that to my knowledge: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for the fiscal year ended December 31, 2023 of LendingTree, Inc. (the "Report") which this statement accompanies fully complies with the requirements of Section 13(a) or 15(d) of the Securities Exchange Act of 1934 (15 U.S.C. 78m or 78o(d));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LendingTree, Inc.</w:t>
      </w:r>
    </w:p>
    <w:p>
      <w:pPr>
        <w:pStyle w:val="TextBody"/>
        <w:bidi w:val="0"/>
        <w:spacing w:before="0" w:after="0"/>
        <w:jc w:val="both"/>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28, 2024</w:t>
      </w:r>
    </w:p>
    <w:tbl>
      <w:tblPr>
        <w:tblW w:w="43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8"/>
        <w:gridCol w:w="978"/>
        <w:gridCol w:w="13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 DOUGLAS R. LEBDA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Douglas R. Lebda</w:t>
            </w:r>
          </w:p>
          <w:p>
            <w:pPr>
              <w:pStyle w:val="TableContents"/>
              <w:bidi w:val="0"/>
              <w:spacing w:lineRule="auto" w:line="240" w:before="0" w:after="0"/>
              <w:jc w:val="center"/>
              <w:rPr/>
            </w:pPr>
            <w:r>
              <w:rPr>
                <w:color w:val="000000"/>
              </w:rPr>
              <w:t> </w:t>
            </w:r>
            <w:r>
              <w:rPr>
                <w:rFonts w:ascii="Times New Roman;sans-serif" w:hAnsi="Times New Roman;sans-serif"/>
                <w:b w:val="false"/>
                <w:i/>
                <w:color w:val="000000"/>
                <w:sz w:val="20"/>
              </w:rPr>
              <w:t>Chairman and Chief Executive Officer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16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 Trent Ziegler, certify, pursuant to 18 U.S.C. Section 1350, as adopted pursuant to Section 906 of the Sarbanes-Oxley Act of 2002, that to my knowledge: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for the fiscal year ended December 31, 2023 of LendingTree, Inc. (the "Report") which this statement accompanies fully complies with the requirements of Section 13(a) or 15(d) of the Securities Exchange Act of 1934 (15 U.S.C. 78m or 78o(d));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LendingTree, Inc.</w:t>
      </w:r>
    </w:p>
    <w:p>
      <w:pPr>
        <w:pStyle w:val="TextBody"/>
        <w:bidi w:val="0"/>
        <w:spacing w:before="0" w:after="0"/>
        <w:jc w:val="both"/>
        <w:rPr/>
      </w:pPr>
      <w:r>
        <w:rPr/>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28, 2024</w:t>
      </w:r>
    </w:p>
    <w:tbl>
      <w:tblPr>
        <w:tblW w:w="341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705"/>
        <w:gridCol w:w="705"/>
        <w:gridCol w:w="10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 TRENT ZIEGLER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Trent Ziegler</w:t>
            </w:r>
          </w:p>
          <w:p>
            <w:pPr>
              <w:pStyle w:val="TableContents"/>
              <w:bidi w:val="0"/>
              <w:spacing w:lineRule="auto" w:line="240" w:before="0" w:after="0"/>
              <w:jc w:val="center"/>
              <w:rPr/>
            </w:pPr>
            <w:r>
              <w:rPr>
                <w:color w:val="000000"/>
              </w:rPr>
              <w:t> </w:t>
            </w:r>
            <w:r>
              <w:rPr>
                <w:rFonts w:ascii="Times New Roman;sans-serif" w:hAnsi="Times New Roman;sans-serif"/>
                <w:b w:val="false"/>
                <w:i/>
                <w:color w:val="000000"/>
                <w:sz w:val="20"/>
              </w:rPr>
              <w:t>Chief Financial Officer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LENDINGTREE, INC.</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CLAWBACK POLICY</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color w:val="000000"/>
          <w:sz w:val="24"/>
        </w:rPr>
        <w:t>I.</w:t>
      </w:r>
      <w:r>
        <w:rPr>
          <w:rFonts w:ascii="Times New Roman;sans-serif" w:hAnsi="Times New Roman;sans-serif"/>
          <w:b/>
          <w:color w:val="000000"/>
          <w:sz w:val="24"/>
          <w:u w:val="single"/>
        </w:rPr>
        <w:t>Purpose and Scope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The Board believes that it is in the best interests of the Company and its shareholders to create and maintain a culture that emphasizes integrity and accountability and that reinforces the Company’s pay-for-performance compensation philosophy. The Board has therefore adopted this compensation clawback policy (the “</w:t>
      </w:r>
      <w:r>
        <w:rPr>
          <w:rFonts w:ascii="Times New Roman;sans-serif" w:hAnsi="Times New Roman;sans-serif"/>
          <w:b/>
          <w:color w:val="000000"/>
          <w:sz w:val="24"/>
        </w:rPr>
        <w:t>Policy</w:t>
      </w:r>
      <w:r>
        <w:rPr>
          <w:color w:val="000000"/>
        </w:rPr>
        <w:t>”</w:t>
      </w:r>
      <w:r>
        <w:rPr>
          <w:rFonts w:ascii="Times New Roman;sans-serif" w:hAnsi="Times New Roman;sans-serif"/>
          <w:b w:val="false"/>
          <w:color w:val="000000"/>
          <w:sz w:val="24"/>
        </w:rPr>
        <w:t xml:space="preserve">), which provides for the recovery of erroneously awarded Compensation in the event of a Triggering Event (as defined below).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II.</w:t>
      </w:r>
      <w:r>
        <w:rPr>
          <w:rFonts w:ascii="Times New Roman;sans-serif" w:hAnsi="Times New Roman;sans-serif"/>
          <w:b/>
          <w:color w:val="000000"/>
          <w:sz w:val="24"/>
          <w:u w:val="single"/>
        </w:rPr>
        <w:t>Administration</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val="false"/>
          <w:color w:val="000000"/>
          <w:sz w:val="24"/>
        </w:rPr>
        <w:t>This Policy is designed to comply with, and shall be interpreted to be consistent with, Section 10D of the Exchange Act, Rule 10D-1 of the Exchange Act, Nasdaq Listing Rule 5608 (the “</w:t>
      </w:r>
      <w:r>
        <w:rPr>
          <w:rFonts w:ascii="Times New Roman;sans-serif" w:hAnsi="Times New Roman;sans-serif"/>
          <w:b/>
          <w:color w:val="000000"/>
          <w:sz w:val="24"/>
        </w:rPr>
        <w:t>Listing Standards</w:t>
      </w:r>
      <w:r>
        <w:rPr>
          <w:color w:val="000000"/>
        </w:rPr>
        <w:t>”</w:t>
      </w:r>
      <w:r>
        <w:rPr>
          <w:rFonts w:ascii="Times New Roman;sans-serif" w:hAnsi="Times New Roman;sans-serif"/>
          <w:b w:val="false"/>
          <w:color w:val="000000"/>
          <w:sz w:val="24"/>
        </w:rPr>
        <w:t>) and other regulations, rules and guidance of the Securities and Exchange Commission (the “</w:t>
      </w:r>
      <w:r>
        <w:rPr>
          <w:rFonts w:ascii="Times New Roman;sans-serif" w:hAnsi="Times New Roman;sans-serif"/>
          <w:b/>
          <w:color w:val="000000"/>
          <w:sz w:val="24"/>
        </w:rPr>
        <w:t>SEC</w:t>
      </w:r>
      <w:r>
        <w:rPr>
          <w:color w:val="000000"/>
        </w:rPr>
        <w:t>”</w:t>
      </w:r>
      <w:r>
        <w:rPr>
          <w:rFonts w:ascii="Times New Roman;sans-serif" w:hAnsi="Times New Roman;sans-serif"/>
          <w:b w:val="false"/>
          <w:color w:val="000000"/>
          <w:sz w:val="24"/>
        </w:rPr>
        <w:t>) thereunder, and related securities regulations and regulations of the stock exchange or association on which Company’s common shares are listed. This Policy shall be administered by the Compensation Committee of the Board (the “</w:t>
      </w:r>
      <w:r>
        <w:rPr>
          <w:rFonts w:ascii="Times New Roman;sans-serif" w:hAnsi="Times New Roman;sans-serif"/>
          <w:b/>
          <w:color w:val="000000"/>
          <w:sz w:val="24"/>
        </w:rPr>
        <w:t>Committee</w:t>
      </w:r>
      <w:r>
        <w:rPr>
          <w:color w:val="000000"/>
        </w:rPr>
        <w:t>”</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Any determinations made by the Committee shall be final and binding. In addition, the Company shall file all disclosures with respect to this Policy in accordance with Rule 10D of the Exchange Act and Rule 10D-1 promulgated by the SEC thereunder, including the disclosures required by the applicable SEC regulations, and with the disclosure required by any rules or standards adopted by the national securities exchange on which the Company’s securities are listed. The Committee hereby has the power and authority to enforce the terms and conditions of this Policy and to use any and all of the Company’s resources it deems appropriate to recoup any excess Compensation subject to this Policy.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III.</w:t>
      </w:r>
      <w:r>
        <w:rPr>
          <w:rFonts w:ascii="Times New Roman;sans-serif" w:hAnsi="Times New Roman;sans-serif"/>
          <w:b/>
          <w:color w:val="000000"/>
          <w:sz w:val="24"/>
          <w:u w:val="single"/>
        </w:rPr>
        <w:t>Covered Executives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applies to the Company’s current and former Covered Executives, as determined by the Committee in accordance with Section 10D of the Exchange Act, Rule 10D-1 promulgated by the SEC thereunder and the listing standards of the national securities exchange on which the Company’s securities are listed.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IV.</w:t>
      </w:r>
      <w:r>
        <w:rPr>
          <w:rFonts w:ascii="Times New Roman;sans-serif" w:hAnsi="Times New Roman;sans-serif"/>
          <w:b/>
          <w:color w:val="000000"/>
          <w:sz w:val="24"/>
          <w:u w:val="single"/>
        </w:rPr>
        <w:t>Events That Trigger Recoupment Under This Policy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The Board or Committee will be required to recoup any excess Compensation received by any Covered Executive during the three (3) completed fiscal years (together with any interim stub fiscal year period(s) of less than nine (9) months resulting from Company’s transition to different fiscal year measurement dates) immediately preceding the date the Company is deemed (as determined pursuant to the immediately following sentence) to be required to prepare a Covered Accounting Restatement (the “</w:t>
      </w:r>
      <w:r>
        <w:rPr>
          <w:rFonts w:ascii="Times New Roman;sans-serif" w:hAnsi="Times New Roman;sans-serif"/>
          <w:b/>
          <w:color w:val="000000"/>
          <w:sz w:val="24"/>
        </w:rPr>
        <w:t>Three-Year Recovery Period</w:t>
      </w:r>
      <w:r>
        <w:rPr>
          <w:color w:val="000000"/>
        </w:rPr>
        <w:t>”</w:t>
      </w:r>
      <w:r>
        <w:rPr>
          <w:rFonts w:ascii="Times New Roman;sans-serif" w:hAnsi="Times New Roman;sans-serif"/>
          <w:b w:val="false"/>
          <w:color w:val="000000"/>
          <w:sz w:val="24"/>
        </w:rPr>
        <w:t>) irrespective of any fault, misconduct or responsibility of such Covered Executive for the Covered Accounting Restatement. For purposes of immediately preceding sentence, the Company is deemed to be required to prepare a Covered Accounting Restatement on the earlier of: (A) the date upon which the Board or Committee, or the officer or officers of the Company authorized to take such action if Board action is not required, concludes, or reasonably should have concluded, that the Company is required to prepare a Covered Accounting Restatement; or (B) the date a court, regulator, or other legally authorized body directs the Company to prepare a Covered Accounting Restatement (the “</w:t>
      </w:r>
      <w:r>
        <w:rPr>
          <w:rFonts w:ascii="Times New Roman;sans-serif" w:hAnsi="Times New Roman;sans-serif"/>
          <w:b/>
          <w:color w:val="000000"/>
          <w:sz w:val="24"/>
        </w:rPr>
        <w:t>Triggering Event</w:t>
      </w:r>
      <w:r>
        <w:rPr>
          <w:color w:val="000000"/>
        </w:rPr>
        <w:t>”</w:t>
      </w:r>
      <w:r>
        <w:rPr>
          <w:rFonts w:ascii="Times New Roman;sans-serif" w:hAnsi="Times New Roman;sans-serif"/>
          <w:b w:val="false"/>
          <w:color w:val="000000"/>
          <w:sz w:val="24"/>
        </w:rPr>
        <w:t xml:space="preserve">). </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color w:val="000000"/>
          <w:sz w:val="24"/>
        </w:rPr>
        <w:t>V.</w:t>
      </w:r>
      <w:r>
        <w:rPr>
          <w:rFonts w:ascii="Times New Roman;sans-serif" w:hAnsi="Times New Roman;sans-serif"/>
          <w:b/>
          <w:color w:val="000000"/>
          <w:sz w:val="24"/>
          <w:u w:val="single"/>
        </w:rPr>
        <w:t>Excess Compensation: Amount Subject to Recovery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amount of Compensation to be recovered shall be the excess of the Compensation received by the Covered Executive over the amount of Compensation which would have been received by the Covered Executive had the amount of such Compensation been calculated based on the restated amounts in the Covered Accounting Restatement, as determined by the Committee. For purposes of this Policy, Compensation shall be deemed “received”, either wholly or in part, in the fiscal year during which any applicable Financial Reporting Measure is attained, even if the payment, vesting or grant of such Compensation occurs after the end of such fiscal year. The date of receipt of the compensation depends upon the terms of the award. For example:</w:t>
      </w:r>
    </w:p>
    <w:p>
      <w:pPr>
        <w:pStyle w:val="TextBody"/>
        <w:bidi w:val="0"/>
        <w:spacing w:lineRule="auto" w:line="240" w:before="0" w:after="0"/>
        <w:ind w:left="0" w:right="0" w:hanging="360"/>
        <w:jc w:val="both"/>
        <w:rPr/>
      </w:pPr>
      <w:r>
        <w:rPr>
          <w:rFonts w:ascii="Times New Roman;sans-serif" w:hAnsi="Times New Roman;sans-serif"/>
          <w:b w:val="false"/>
          <w:color w:val="000000"/>
          <w:sz w:val="24"/>
        </w:rPr>
        <w:t xml:space="preserve">a.If the </w:t>
      </w:r>
      <w:r>
        <w:rPr>
          <w:rFonts w:ascii="Times New Roman;sans-serif" w:hAnsi="Times New Roman;sans-serif"/>
          <w:b w:val="false"/>
          <w:i/>
          <w:color w:val="000000"/>
          <w:sz w:val="24"/>
        </w:rPr>
        <w:t>grant</w:t>
      </w:r>
      <w:r>
        <w:rPr>
          <w:color w:val="000000"/>
        </w:rPr>
        <w:t xml:space="preserve"> </w:t>
      </w:r>
      <w:r>
        <w:rPr>
          <w:rFonts w:ascii="Times New Roman;sans-serif" w:hAnsi="Times New Roman;sans-serif"/>
          <w:b w:val="false"/>
          <w:color w:val="000000"/>
          <w:sz w:val="24"/>
        </w:rPr>
        <w:t xml:space="preserve">of an award of Compensation is based, either wholly or in part, on the satisfaction of a Financial Reporting Measure performance goal, then the award would be deemed received in the fiscal period when that measure was </w:t>
      </w:r>
      <w:r>
        <w:rPr>
          <w:rFonts w:ascii="Times New Roman;sans-serif" w:hAnsi="Times New Roman;sans-serif"/>
          <w:b w:val="false"/>
          <w:i/>
          <w:color w:val="000000"/>
          <w:sz w:val="24"/>
        </w:rPr>
        <w:t>satisfied</w:t>
      </w:r>
      <w:r>
        <w:rPr>
          <w:rFonts w:ascii="Times New Roman;sans-serif" w:hAnsi="Times New Roman;sans-serif"/>
          <w:b w:val="false"/>
          <w:color w:val="000000"/>
          <w:sz w:val="24"/>
        </w:rPr>
        <w:t>;</w:t>
      </w:r>
    </w:p>
    <w:p>
      <w:pPr>
        <w:pStyle w:val="TextBody"/>
        <w:bidi w:val="0"/>
        <w:spacing w:lineRule="auto" w:line="240" w:before="0" w:after="0"/>
        <w:ind w:left="0" w:right="0" w:hanging="360"/>
        <w:jc w:val="both"/>
        <w:rPr/>
      </w:pPr>
      <w:r>
        <w:rPr>
          <w:rFonts w:ascii="Times New Roman;sans-serif" w:hAnsi="Times New Roman;sans-serif"/>
          <w:b w:val="false"/>
          <w:color w:val="000000"/>
          <w:sz w:val="24"/>
        </w:rPr>
        <w:t xml:space="preserve">b.If the </w:t>
      </w:r>
      <w:r>
        <w:rPr>
          <w:rFonts w:ascii="Times New Roman;sans-serif" w:hAnsi="Times New Roman;sans-serif"/>
          <w:b w:val="false"/>
          <w:i/>
          <w:color w:val="000000"/>
          <w:sz w:val="24"/>
        </w:rPr>
        <w:t>vesting</w:t>
      </w:r>
      <w:r>
        <w:rPr>
          <w:color w:val="000000"/>
        </w:rPr>
        <w:t xml:space="preserve"> </w:t>
      </w:r>
      <w:r>
        <w:rPr>
          <w:rFonts w:ascii="Times New Roman;sans-serif" w:hAnsi="Times New Roman;sans-serif"/>
          <w:b w:val="false"/>
          <w:color w:val="000000"/>
          <w:sz w:val="24"/>
        </w:rPr>
        <w:t xml:space="preserve">of an equity award of Compensation occurs </w:t>
      </w:r>
      <w:r>
        <w:rPr>
          <w:rFonts w:ascii="Times New Roman;sans-serif" w:hAnsi="Times New Roman;sans-serif"/>
          <w:b w:val="false"/>
          <w:i/>
          <w:color w:val="000000"/>
          <w:sz w:val="24"/>
        </w:rPr>
        <w:t xml:space="preserve">only </w:t>
      </w:r>
      <w:r>
        <w:rPr>
          <w:rFonts w:ascii="Times New Roman;sans-serif" w:hAnsi="Times New Roman;sans-serif"/>
          <w:b w:val="false"/>
          <w:color w:val="000000"/>
          <w:sz w:val="24"/>
        </w:rPr>
        <w:t xml:space="preserve">upon the satisfaction of a Financial Reporting Measure performance condition, then the award would be deemed received in the fiscal period when it </w:t>
      </w:r>
      <w:r>
        <w:rPr>
          <w:rFonts w:ascii="Times New Roman;sans-serif" w:hAnsi="Times New Roman;sans-serif"/>
          <w:b w:val="false"/>
          <w:i/>
          <w:color w:val="000000"/>
          <w:sz w:val="24"/>
        </w:rPr>
        <w:t>vests</w:t>
      </w:r>
      <w:r>
        <w:rPr>
          <w:rFonts w:ascii="Times New Roman;sans-serif" w:hAnsi="Times New Roman;sans-serif"/>
          <w:b w:val="false"/>
          <w:color w:val="000000"/>
          <w:sz w:val="24"/>
        </w:rPr>
        <w:t xml:space="preserve">; </w:t>
      </w:r>
    </w:p>
    <w:p>
      <w:pPr>
        <w:pStyle w:val="TextBody"/>
        <w:bidi w:val="0"/>
        <w:spacing w:lineRule="auto" w:line="240" w:before="0" w:after="0"/>
        <w:ind w:left="0" w:right="0" w:hanging="360"/>
        <w:jc w:val="both"/>
        <w:rPr/>
      </w:pPr>
      <w:r>
        <w:rPr>
          <w:rFonts w:ascii="Times New Roman;sans-serif" w:hAnsi="Times New Roman;sans-serif"/>
          <w:b w:val="false"/>
          <w:color w:val="000000"/>
          <w:sz w:val="24"/>
        </w:rPr>
        <w:t xml:space="preserve">c.If the </w:t>
      </w:r>
      <w:r>
        <w:rPr>
          <w:rFonts w:ascii="Times New Roman;sans-serif" w:hAnsi="Times New Roman;sans-serif"/>
          <w:b w:val="false"/>
          <w:i/>
          <w:color w:val="000000"/>
          <w:sz w:val="24"/>
        </w:rPr>
        <w:t>earning</w:t>
      </w:r>
      <w:r>
        <w:rPr>
          <w:color w:val="000000"/>
        </w:rPr>
        <w:t xml:space="preserve"> </w:t>
      </w:r>
      <w:r>
        <w:rPr>
          <w:rFonts w:ascii="Times New Roman;sans-serif" w:hAnsi="Times New Roman;sans-serif"/>
          <w:b w:val="false"/>
          <w:color w:val="000000"/>
          <w:sz w:val="24"/>
        </w:rPr>
        <w:t xml:space="preserve">of a non-equity incentive plan award of Compensation is based on the satisfaction of the relevant Financial Reporting Measure performance goal, then the non-equity incentive plan award will be deemed received in the fiscal year in which that performance goal is </w:t>
      </w:r>
      <w:r>
        <w:rPr>
          <w:rFonts w:ascii="Times New Roman;sans-serif" w:hAnsi="Times New Roman;sans-serif"/>
          <w:b w:val="false"/>
          <w:i/>
          <w:color w:val="000000"/>
          <w:sz w:val="24"/>
        </w:rPr>
        <w:t>satisfied</w:t>
      </w:r>
      <w:r>
        <w:rPr>
          <w:color w:val="000000"/>
        </w:rPr>
        <w:t xml:space="preserve"> </w:t>
      </w:r>
      <w:r>
        <w:rPr>
          <w:rFonts w:ascii="Times New Roman;sans-serif" w:hAnsi="Times New Roman;sans-serif"/>
          <w:b w:val="false"/>
          <w:color w:val="000000"/>
          <w:sz w:val="24"/>
        </w:rPr>
        <w:t>(rather than a subsequent date on which the award was paid); and</w:t>
      </w:r>
    </w:p>
    <w:p>
      <w:pPr>
        <w:pStyle w:val="TextBody"/>
        <w:bidi w:val="0"/>
        <w:spacing w:lineRule="auto" w:line="240" w:before="0" w:after="0"/>
        <w:ind w:left="0" w:right="0" w:hanging="360"/>
        <w:jc w:val="both"/>
        <w:rPr/>
      </w:pPr>
      <w:r>
        <w:rPr>
          <w:rFonts w:ascii="Times New Roman;sans-serif" w:hAnsi="Times New Roman;sans-serif"/>
          <w:b w:val="false"/>
          <w:color w:val="000000"/>
          <w:sz w:val="24"/>
        </w:rPr>
        <w:t xml:space="preserve">d.If the </w:t>
      </w:r>
      <w:r>
        <w:rPr>
          <w:rFonts w:ascii="Times New Roman;sans-serif" w:hAnsi="Times New Roman;sans-serif"/>
          <w:b w:val="false"/>
          <w:i/>
          <w:color w:val="000000"/>
          <w:sz w:val="24"/>
        </w:rPr>
        <w:t>earning</w:t>
      </w:r>
      <w:r>
        <w:rPr>
          <w:color w:val="000000"/>
        </w:rPr>
        <w:t xml:space="preserve"> </w:t>
      </w:r>
      <w:r>
        <w:rPr>
          <w:rFonts w:ascii="Times New Roman;sans-serif" w:hAnsi="Times New Roman;sans-serif"/>
          <w:b w:val="false"/>
          <w:color w:val="000000"/>
          <w:sz w:val="24"/>
        </w:rPr>
        <w:t xml:space="preserve">of a cash award of Compensation is based on the satisfaction of a Financial Reporting Measure performance goal, then the cash award will be deemed received in the fiscal period when that measure is </w:t>
      </w:r>
      <w:r>
        <w:rPr>
          <w:rFonts w:ascii="Times New Roman;sans-serif" w:hAnsi="Times New Roman;sans-serif"/>
          <w:b w:val="false"/>
          <w:i/>
          <w:color w:val="000000"/>
          <w:sz w:val="24"/>
        </w:rPr>
        <w:t>satisfied</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Amounts required to be recouped under this Policy will be calculated on a pre-tax basis. It is specifically understood that, to the extent that the impact of the Covered Accounting Restatement on the amount of Compensation received cannot be calculated directly from the information in the Covered Accounting Restatement (e.g., if such restatement’s impact on the Company’s share price is not clear), then such excess amount of Compensation shall be determined based on the Committee’s reasonable estimate of the effect of the Covered Accounting Restatement on the share price or total shareholder return upon which the Compensation was received. The Company shall maintain documentation for the determination of such excess amount and provide such documentation to the Nasdaq Stock Market (“</w:t>
      </w:r>
      <w:r>
        <w:rPr>
          <w:rFonts w:ascii="Times New Roman;sans-serif" w:hAnsi="Times New Roman;sans-serif"/>
          <w:b/>
          <w:color w:val="000000"/>
          <w:sz w:val="24"/>
        </w:rPr>
        <w:t>Nasdaq</w:t>
      </w:r>
      <w:r>
        <w:rPr>
          <w:color w:val="000000"/>
        </w:rPr>
        <w:t>”</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VI.</w:t>
      </w:r>
      <w:r>
        <w:rPr>
          <w:rFonts w:ascii="Times New Roman;sans-serif" w:hAnsi="Times New Roman;sans-serif"/>
          <w:b/>
          <w:color w:val="000000"/>
          <w:sz w:val="24"/>
          <w:u w:val="single"/>
        </w:rPr>
        <w:t>Method of Recovery</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will determine, in its sole discretion, the methods for recovering excess Compensation hereunder, which methods may include, without limitation:</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a.requiring reimbursement of cash Compensation previously paid;</w:t>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b.seeking recovery of any gain realized on the vesting, exercise, settlement, sale, transfer, or other disposition of any equity-based awards;</w:t>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c.offsetting the recouped amount from any compensation otherwise owed by the Company to the Covered Executive;</w:t>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d.cancelling outstanding vested or unvested equity awards; and/or</w:t>
      </w:r>
    </w:p>
    <w:p>
      <w:pPr>
        <w:pStyle w:val="TextBody"/>
        <w:bidi w:val="0"/>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e.taking any other remedial and recovery action permitted by law, as determined by the Committee. </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anything in this Section VI, and subject to applicable law, the Committee may cause recoupment under this Policy from any amount of compensation approved, awarded, </w:t>
      </w:r>
    </w:p>
    <w:p>
      <w:pPr>
        <w:pStyle w:val="TextBody"/>
        <w:bidi w:val="0"/>
        <w:spacing w:before="0" w:after="16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490220"/>
                <wp:effectExtent l="0" t="0" r="0" b="0"/>
                <wp:wrapNone/>
                <wp:docPr id="154" name="Frame151"/>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2</w:t>
                            </w:r>
                            <w:r>
                              <w:br w:type="page"/>
                            </w:r>
                          </w:p>
                          <w:p>
                            <w:pPr>
                              <w:pStyle w:val="TextBody"/>
                              <w:bidi w:val="0"/>
                              <w:spacing w:before="0" w:after="16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2</w:t>
                      </w:r>
                    </w:p>
                    <w:p>
                      <w:pPr>
                        <w:pStyle w:val="TextBody"/>
                        <w:bidi w:val="0"/>
                        <w:spacing w:before="0" w:after="160"/>
                        <w:jc w:val="righ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granted, paid, or payable to any Covered Executive prior to, on, or following the Effective Date (as defined below).</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I.</w:t>
      </w:r>
      <w:r>
        <w:rPr>
          <w:rFonts w:ascii="Times New Roman;sans-serif" w:hAnsi="Times New Roman;sans-serif"/>
          <w:b/>
          <w:color w:val="000000"/>
          <w:sz w:val="24"/>
          <w:u w:val="single"/>
        </w:rPr>
        <w:t>Impracticability</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Committee shall recover any excess Compensation in accordance with this Policy unless such recovery would be impracticable, as determined by the Committee in accordance with Rule 10D-1 of the Exchange Act and the listing standards of the national securities exchange on which the Company’s securities are listed. It is specifically understood that recovery will only be deemed impractical if: (A) the direct expense paid to a third party to assist in enforcing the Policy would exceed the amount to be recovered (before concluding that it would be impracticable to recover any amount of erroneously awarded Compensation based on expense of enforcement, the Committee shall make a reasonable attempt to recover such erroneously awarded Compensation, document such reasonable attempt(s) to recover, and provide that documentation to Nasdaq); (B) recovery would violate home country law where that law was adopted prior to the November 28, 2022 (before concluding that it would be impracticable to recover any amount of erroneously awarded Compensation based on violation of home country law, the Committee shall obtain an opinion of home country counsel, acceptable to the applicable national securities exchange or association on which Company’s common shares are trading, that recovery would result in such a violation, and must provide such opinion to the exchange or association); or (C) recovery would likely cause an otherwise tax-qualified retirement plan, under which benefits are broadly available to employees of the registrant, to fail to meet the requirements of 26 U.S.C. 401(a)(13) or 26 U.S.C. 411(a), and the regulations promulgated thereunder.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II.</w:t>
      </w:r>
      <w:r>
        <w:rPr>
          <w:rFonts w:ascii="Times New Roman;sans-serif" w:hAnsi="Times New Roman;sans-serif"/>
          <w:b/>
          <w:color w:val="000000"/>
          <w:sz w:val="24"/>
          <w:u w:val="single"/>
        </w:rPr>
        <w:t>Other Recoupment Rights; Acknowledgement</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The Committee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 The Company shall provide notice and seek written acknowledgement of this Policy from each Covered Executive (such written acknowledgement evidenced in the form attached in Appendix I hereto);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the failure to provide such notice or obtain such acknowledgement shall have no impact on the applicability or enforceability of this Policy to, or against, any Covered Executive.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III.</w:t>
      </w:r>
      <w:r>
        <w:rPr>
          <w:rFonts w:ascii="Times New Roman;sans-serif" w:hAnsi="Times New Roman;sans-serif"/>
          <w:b/>
          <w:color w:val="000000"/>
          <w:sz w:val="24"/>
          <w:u w:val="single"/>
        </w:rPr>
        <w:t>No Indemnification of Covered Executives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any right to indemnification under any plan, policy or agreement of the Company or any of its affiliates, the Company shall not indemnify any Covered Executives against the loss of any excess Compensation. In addition, the Company will be prohibited from paying or reimbursing a Covered Executive for premiums of any third-party insurance purchased to fund any potential recovery obligations.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IV.</w:t>
      </w:r>
      <w:r>
        <w:rPr>
          <w:rFonts w:ascii="Times New Roman;sans-serif" w:hAnsi="Times New Roman;sans-serif"/>
          <w:b/>
          <w:color w:val="000000"/>
          <w:sz w:val="24"/>
          <w:u w:val="single"/>
        </w:rPr>
        <w:t>Indemnification</w:t>
      </w:r>
    </w:p>
    <w:p>
      <w:pPr>
        <w:pStyle w:val="TextBody"/>
        <w:bidi w:val="0"/>
        <w:spacing w:before="0" w:after="0"/>
        <w:jc w:val="left"/>
        <w:rPr/>
      </w:pPr>
      <w:r>
        <w:rPr/>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the extent allowable pursuant to applicable law, each member of the Board and the Committee and any officer or other employee to whom authority to administer any component of this Policy is designated shall be indemnified and held harmless by the Company from any loss, cost, liability, or expense that may be imposed upon or reasonably incurred by such member in connection with or resulting from any claim, action, suit, or proceeding to which he or she may </w:t>
      </w:r>
    </w:p>
    <w:p>
      <w:pPr>
        <w:pStyle w:val="TextBody"/>
        <w:bidi w:val="0"/>
        <w:spacing w:before="0" w:after="16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490220"/>
                <wp:effectExtent l="0" t="0" r="0" b="0"/>
                <wp:wrapNone/>
                <wp:docPr id="155" name="Frame152"/>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3</w:t>
                            </w:r>
                            <w:r>
                              <w:br w:type="page"/>
                            </w:r>
                          </w:p>
                          <w:p>
                            <w:pPr>
                              <w:pStyle w:val="TextBody"/>
                              <w:bidi w:val="0"/>
                              <w:spacing w:before="0" w:after="16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3</w:t>
                      </w:r>
                    </w:p>
                    <w:p>
                      <w:pPr>
                        <w:pStyle w:val="TextBody"/>
                        <w:bidi w:val="0"/>
                        <w:spacing w:before="0" w:after="160"/>
                        <w:jc w:val="righ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 a party or in which he or she may be a party or in which he or she may be involved by reason of any action or failure to act pursuant to this Policy and against and from any and all amounts paid by him or her in satisfaction of judgment in such action, suit, or proceeding against him or her; provided, however, that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individuals may be entitled pursuant to the Company’s Certificate of Incorporation or Bylaws, as a matter of law, or otherwise, or any power that the Company may have to indemnify them or hold them harmless.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V.</w:t>
      </w:r>
      <w:r>
        <w:rPr>
          <w:rFonts w:ascii="Times New Roman;sans-serif" w:hAnsi="Times New Roman;sans-serif"/>
          <w:b/>
          <w:color w:val="000000"/>
          <w:sz w:val="24"/>
          <w:u w:val="single"/>
        </w:rPr>
        <w:t>Effective Date</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val="false"/>
          <w:color w:val="000000"/>
          <w:sz w:val="24"/>
        </w:rPr>
        <w:t>This Policy shall be effective as of the date the Policy is adopted by the Board (the “</w:t>
      </w:r>
      <w:r>
        <w:rPr>
          <w:rFonts w:ascii="Times New Roman;sans-serif" w:hAnsi="Times New Roman;sans-serif"/>
          <w:b/>
          <w:color w:val="000000"/>
          <w:sz w:val="24"/>
        </w:rPr>
        <w:t>Board Adoption Date</w:t>
      </w:r>
      <w:r>
        <w:rPr>
          <w:color w:val="000000"/>
        </w:rPr>
        <w:t>”</w:t>
      </w:r>
      <w:r>
        <w:rPr>
          <w:rFonts w:ascii="Times New Roman;sans-serif" w:hAnsi="Times New Roman;sans-serif"/>
          <w:b w:val="false"/>
          <w:color w:val="000000"/>
          <w:sz w:val="24"/>
        </w:rPr>
        <w:t>). This Policy shall apply to any Compensation that is received by Covered Executives on or after October 2, 2023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even if such Compensation was approved, awarded, granted, or paid to Covered Executives prior to the Effective Date or the Board Adoption Date.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4"/>
        </w:rPr>
        <w:t>VI.</w:t>
      </w:r>
      <w:r>
        <w:rPr>
          <w:rFonts w:ascii="Times New Roman;sans-serif" w:hAnsi="Times New Roman;sans-serif"/>
          <w:b/>
          <w:color w:val="000000"/>
          <w:sz w:val="24"/>
          <w:u w:val="single"/>
        </w:rPr>
        <w:t>Amendment and Termination; Interpretation</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Board may amend this Policy from time to time in its discretion and shall amend this Policy as it deems necessary to reflect and comply with further regulations, rules and guidance of the SEC, and rules of Nasdaq. The Board may terminate this Policy at any time. The Committee is authorized to interpret and construe this Policy and to make all determinations necessary, appropriate, or advisable for the administration of this Policy. This Policy is designed and intended be interpreted in a manner that is consistent with the requirements of Section 10D of the Exchange Act, Rule 10D-1 of the Exchange Act, the Listing Standards, and other regulations, rules and guidance of the SEC thereunder, and related securities regulations and regulations of the stock exchange or association on which Company’s common shares are listed. To the extent of any inconsistency between this Policy and such regulations, rules and guidance, such regulations, rules and guidance shall control and this Policy shall be deemed amended to incorporate such regulations, rules and guidance unless the Board or the Committee shall expressly determine otherwise. This Policy shall be applicable, binding and enforceable against all Covered Executives and their beneficiaries, heirs, executors, administrators or other legal representatives, to the fullest extent of the law. For the avoidance of doubt, this Policy shall be in addition to (and not in substitution of) any other clawback policy of the Company in effect from time to time or applicable to any Covered Executive. Further, the Executive Compensation Recovery Policy adopted by the Company effective April 21, 2021 (the “Prior Policy”), shall remain in effect with respect to all “Incentive Compensation” (as defined in the Prior Policy) “received” prior to the Effective Date hereof.</w:t>
      </w:r>
    </w:p>
    <w:p>
      <w:pPr>
        <w:pStyle w:val="TextBody"/>
        <w:bidi w:val="0"/>
        <w:spacing w:before="0" w:after="0"/>
        <w:jc w:val="both"/>
        <w:rPr/>
      </w:pPr>
      <w:r>
        <w:rPr/>
      </w:r>
    </w:p>
    <w:p>
      <w:pPr>
        <w:pStyle w:val="TextBody"/>
        <w:bidi w:val="0"/>
        <w:spacing w:lineRule="auto" w:line="300" w:before="0" w:after="160"/>
        <w:jc w:val="both"/>
        <w:rPr/>
      </w:pPr>
      <w:r>
        <w:rPr>
          <w:rFonts w:ascii="Times New Roman;sans-serif" w:hAnsi="Times New Roman;sans-serif"/>
          <w:b/>
          <w:color w:val="000000"/>
          <w:sz w:val="22"/>
        </w:rPr>
        <w:t>VII.</w:t>
      </w:r>
      <w:r>
        <w:rPr>
          <w:rFonts w:ascii="Times New Roman;sans-serif" w:hAnsi="Times New Roman;sans-serif"/>
          <w:b/>
          <w:color w:val="000000"/>
          <w:sz w:val="22"/>
          <w:u w:val="single"/>
        </w:rPr>
        <w:t>Definitions</w:t>
      </w:r>
    </w:p>
    <w:p>
      <w:pPr>
        <w:pStyle w:val="TextBody"/>
        <w:bidi w:val="0"/>
        <w:spacing w:before="0" w:after="0"/>
        <w:jc w:val="left"/>
        <w:rPr/>
      </w:pPr>
      <w:r>
        <w:rPr/>
      </w:r>
    </w:p>
    <w:p>
      <w:pPr>
        <w:pStyle w:val="TextBody"/>
        <w:bidi w:val="0"/>
        <w:spacing w:lineRule="auto" w:line="300" w:before="0" w:after="16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Policy, the following terms shall have the following meanings:</w:t>
      </w:r>
    </w:p>
    <w:p>
      <w:pPr>
        <w:pStyle w:val="TextBody"/>
        <w:bidi w:val="0"/>
        <w:spacing w:before="0" w:after="160"/>
        <w:jc w:val="both"/>
        <w:rPr/>
      </w:pPr>
      <w:r>
        <w:rPr/>
      </w:r>
    </w:p>
    <w:p>
      <w:pPr>
        <w:pStyle w:val="TextBody"/>
        <w:bidi w:val="0"/>
        <w:spacing w:lineRule="auto" w:line="300" w:before="0" w:after="0"/>
        <w:ind w:left="0" w:right="0" w:hanging="360"/>
        <w:jc w:val="both"/>
        <w:rPr/>
      </w:pPr>
      <w:r>
        <w:rPr>
          <w:rFonts w:ascii="Times New Roman;sans-serif" w:hAnsi="Times New Roman;sans-serif"/>
          <w:b w:val="false"/>
          <w:color w:val="000000"/>
          <w:sz w:val="22"/>
        </w:rPr>
        <w:t>1.</w:t>
      </w:r>
      <w:r>
        <w:rPr>
          <w:color w:val="000000"/>
        </w:rPr>
        <w:t>“</w:t>
      </w:r>
      <w:r>
        <w:rPr>
          <w:rFonts w:ascii="Times New Roman;sans-serif" w:hAnsi="Times New Roman;sans-serif"/>
          <w:b/>
          <w:color w:val="000000"/>
          <w:sz w:val="22"/>
        </w:rPr>
        <w:t>Board</w:t>
      </w:r>
      <w:r>
        <w:rPr>
          <w:color w:val="000000"/>
        </w:rPr>
        <w:t xml:space="preserve">” </w:t>
      </w:r>
      <w:r>
        <w:rPr>
          <w:rFonts w:ascii="Times New Roman;sans-serif" w:hAnsi="Times New Roman;sans-serif"/>
          <w:b w:val="false"/>
          <w:color w:val="000000"/>
          <w:sz w:val="22"/>
        </w:rPr>
        <w:t>means the Board of Directors of the Company.</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ans-serif" w:hAnsi="Times New Roman;sans-serif"/>
          <w:b w:val="false"/>
          <w:color w:val="000000"/>
          <w:sz w:val="22"/>
        </w:rPr>
        <w:t>2.</w:t>
      </w:r>
      <w:r>
        <w:rPr>
          <w:color w:val="000000"/>
        </w:rPr>
        <w:t>“</w:t>
      </w:r>
      <w:r>
        <w:rPr>
          <w:rFonts w:ascii="Times New Roman;sans-serif" w:hAnsi="Times New Roman;sans-serif"/>
          <w:b/>
          <w:color w:val="000000"/>
          <w:sz w:val="22"/>
        </w:rPr>
        <w:t>Company</w:t>
      </w:r>
      <w:r>
        <w:rPr>
          <w:color w:val="000000"/>
        </w:rPr>
        <w:t xml:space="preserve">” </w:t>
      </w:r>
      <w:r>
        <w:rPr>
          <w:rFonts w:ascii="Times New Roman;sans-serif" w:hAnsi="Times New Roman;sans-serif"/>
          <w:b w:val="false"/>
          <w:color w:val="000000"/>
          <w:sz w:val="22"/>
        </w:rPr>
        <w:t>means LendingTree, Inc., a Delaware corporation and its subsidiaries, or their successors.</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490220"/>
                <wp:effectExtent l="0" t="0" r="0" b="0"/>
                <wp:wrapNone/>
                <wp:docPr id="156" name="Frame153"/>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4</w:t>
                            </w:r>
                            <w:r>
                              <w:br w:type="page"/>
                            </w:r>
                          </w:p>
                          <w:p>
                            <w:pPr>
                              <w:pStyle w:val="TextBody"/>
                              <w:bidi w:val="0"/>
                              <w:spacing w:before="0" w:after="16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4</w:t>
                      </w:r>
                    </w:p>
                    <w:p>
                      <w:pPr>
                        <w:pStyle w:val="TextBody"/>
                        <w:bidi w:val="0"/>
                        <w:spacing w:before="0" w:after="160"/>
                        <w:jc w:val="right"/>
                        <w:rPr/>
                      </w:pPr>
                      <w:r>
                        <w:rPr/>
                      </w:r>
                    </w:p>
                  </w:txbxContent>
                </v:textbox>
                <w10:wrap type="none"/>
              </v:rect>
            </w:pict>
          </mc:Fallback>
        </mc:AlternateContent>
      </w:r>
    </w:p>
    <w:p>
      <w:pPr>
        <w:pStyle w:val="TextBody"/>
        <w:bidi w:val="0"/>
        <w:spacing w:lineRule="auto" w:line="300" w:before="0" w:after="0"/>
        <w:ind w:left="0" w:right="0" w:hanging="360"/>
        <w:jc w:val="both"/>
        <w:rPr/>
      </w:pPr>
      <w:r>
        <w:rPr>
          <w:rFonts w:ascii="Times New Roman;sans-serif" w:hAnsi="Times New Roman;sans-serif"/>
          <w:b w:val="false"/>
          <w:color w:val="000000"/>
          <w:sz w:val="22"/>
        </w:rPr>
        <w:t>3.</w:t>
      </w:r>
      <w:r>
        <w:rPr>
          <w:color w:val="000000"/>
        </w:rPr>
        <w:t>“</w:t>
      </w:r>
      <w:r>
        <w:rPr>
          <w:rFonts w:ascii="Times New Roman;sans-serif" w:hAnsi="Times New Roman;sans-serif"/>
          <w:b/>
          <w:color w:val="000000"/>
          <w:sz w:val="22"/>
        </w:rPr>
        <w:t>Compensation</w:t>
      </w:r>
      <w:r>
        <w:rPr>
          <w:color w:val="000000"/>
        </w:rPr>
        <w:t xml:space="preserve">” </w:t>
      </w:r>
      <w:r>
        <w:rPr>
          <w:rFonts w:ascii="Times New Roman;sans-serif" w:hAnsi="Times New Roman;sans-serif"/>
          <w:b w:val="false"/>
          <w:color w:val="000000"/>
          <w:sz w:val="22"/>
        </w:rPr>
        <w:t>means any compensation that is granted, earned, or vested based wholly or in part upon the attainment of any Financial Reporting Measure. This Policy shall only apply to Compensation that was (A) “received” while the Company has a class of securities listed on a national securities exchange or a national securities association, and (B) “received” following on or after the Effective Date. Compensation may include (but is not limited to) any of the following:</w:t>
      </w:r>
    </w:p>
    <w:p>
      <w:pPr>
        <w:pStyle w:val="TextBody"/>
        <w:bidi w:val="0"/>
        <w:spacing w:before="0" w:after="0"/>
        <w:jc w:val="both"/>
        <w:rPr/>
      </w:pPr>
      <w:r>
        <w:rPr/>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a.Annual bonuses and other short- and long-term cash incentives;</w:t>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b.Stock options;</w:t>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c.Stock appreciation rights;</w:t>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d.Restricted shares;</w:t>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e.Restricted share units;</w:t>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f.Performance shares; and </w:t>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g.Performance units.</w:t>
      </w:r>
    </w:p>
    <w:p>
      <w:pPr>
        <w:pStyle w:val="TextBody"/>
        <w:bidi w:val="0"/>
        <w:spacing w:before="0" w:after="0"/>
        <w:jc w:val="left"/>
        <w:rPr/>
      </w:pPr>
      <w:r>
        <w:rPr/>
      </w:r>
    </w:p>
    <w:p>
      <w:pPr>
        <w:pStyle w:val="TextBody"/>
        <w:bidi w:val="0"/>
        <w:spacing w:lineRule="auto" w:line="300" w:before="0" w:after="0"/>
        <w:ind w:left="0" w:right="0" w:hanging="360"/>
        <w:jc w:val="both"/>
        <w:rPr/>
      </w:pPr>
      <w:r>
        <w:rPr>
          <w:rFonts w:ascii="Times New Roman;sans-serif" w:hAnsi="Times New Roman;sans-serif"/>
          <w:b w:val="false"/>
          <w:color w:val="000000"/>
          <w:sz w:val="22"/>
        </w:rPr>
        <w:t>4.A “</w:t>
      </w:r>
      <w:r>
        <w:rPr>
          <w:rFonts w:ascii="Times New Roman;sans-serif" w:hAnsi="Times New Roman;sans-serif"/>
          <w:b/>
          <w:color w:val="000000"/>
          <w:sz w:val="22"/>
        </w:rPr>
        <w:t>Covered Accounting Restatement</w:t>
      </w:r>
      <w:r>
        <w:rPr>
          <w:color w:val="000000"/>
        </w:rPr>
        <w:t xml:space="preserve">” </w:t>
      </w:r>
      <w:r>
        <w:rPr>
          <w:rFonts w:ascii="Times New Roman;sans-serif" w:hAnsi="Times New Roman;sans-serif"/>
          <w:b w:val="false"/>
          <w:color w:val="000000"/>
          <w:sz w:val="22"/>
        </w:rPr>
        <w:t xml:space="preserve">is any accounting restatement of the Company’s financial statements due to the Company’s material noncompliance with any financial reporting requirement under U.S. securities laws. A Covered Accounting Restatement includes any required accounting restatement to correct an error in previously issued financial statements that is material to the previously issued financial statements (commonly referred to as “Big R” restatements), or that would result in a material misstatement if the error were corrected in the current period or left uncorrected in the current period (commonly referred to as “little r” restatements). A Covered Accounting Restatement does not include an out-of-period adjustment when the error is immaterial to the previously issued financial statements, and the correction of the error is also immaterial to the current period; retrospective application of a change in accounting principle; retrospective revision to reportable segment information due to a change in the structure of an issuer’s internal organization; retrospective reclassification due to a discontinued operation; retrospective application of a change in reporting entity, such as from a reorganization of entities under common control; and retrospective revision for stock splits, reverse stock splits, stock dividends or other changes in capital structure. </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ans-serif" w:hAnsi="Times New Roman;sans-serif"/>
          <w:b w:val="false"/>
          <w:color w:val="000000"/>
          <w:sz w:val="22"/>
        </w:rPr>
        <w:t>5.</w:t>
      </w:r>
      <w:r>
        <w:rPr>
          <w:color w:val="000000"/>
        </w:rPr>
        <w:t>“</w:t>
      </w:r>
      <w:r>
        <w:rPr>
          <w:rFonts w:ascii="Times New Roman;sans-serif" w:hAnsi="Times New Roman;sans-serif"/>
          <w:b/>
          <w:color w:val="000000"/>
          <w:sz w:val="22"/>
        </w:rPr>
        <w:t>Covered Executive</w:t>
      </w:r>
      <w:r>
        <w:rPr>
          <w:color w:val="000000"/>
        </w:rPr>
        <w:t xml:space="preserve">” </w:t>
      </w:r>
      <w:r>
        <w:rPr>
          <w:rFonts w:ascii="Times New Roman;sans-serif" w:hAnsi="Times New Roman;sans-serif"/>
          <w:b w:val="false"/>
          <w:color w:val="000000"/>
          <w:sz w:val="22"/>
        </w:rPr>
        <w:t xml:space="preserve">means any person who: </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ans-serif" w:hAnsi="Times New Roman;sans-serif"/>
          <w:b w:val="false"/>
          <w:color w:val="000000"/>
          <w:sz w:val="20"/>
        </w:rPr>
        <w:t>a.</w:t>
      </w:r>
      <w:r>
        <w:rPr>
          <w:rFonts w:ascii="Times New Roman;sans-serif" w:hAnsi="Times New Roman;sans-serif"/>
          <w:b w:val="false"/>
          <w:color w:val="000000"/>
          <w:sz w:val="22"/>
        </w:rPr>
        <w:t xml:space="preserve">Has received applicable Compensation: </w:t>
      </w:r>
    </w:p>
    <w:p>
      <w:pPr>
        <w:pStyle w:val="TextBody"/>
        <w:bidi w:val="0"/>
        <w:spacing w:lineRule="auto" w:line="300" w:before="0" w:after="0"/>
        <w:ind w:left="0" w:right="0" w:hanging="180"/>
        <w:jc w:val="both"/>
        <w:rPr/>
      </w:pPr>
      <w:r>
        <w:rPr>
          <w:rFonts w:ascii="Times New Roman;sans-serif" w:hAnsi="Times New Roman;sans-serif"/>
          <w:b w:val="false"/>
          <w:color w:val="000000"/>
          <w:sz w:val="22"/>
        </w:rPr>
        <w:t>i.</w:t>
      </w:r>
      <w:r>
        <w:rPr>
          <w:color w:val="000000"/>
        </w:rPr>
        <w:t> </w:t>
      </w:r>
      <w:r>
        <w:rPr>
          <w:rFonts w:ascii="Times New Roman;sans-serif" w:hAnsi="Times New Roman;sans-serif"/>
          <w:b w:val="false"/>
          <w:color w:val="000000"/>
          <w:sz w:val="22"/>
        </w:rPr>
        <w:t xml:space="preserve">During the Three-Year Recovery Period; and </w:t>
      </w:r>
    </w:p>
    <w:p>
      <w:pPr>
        <w:pStyle w:val="TextBody"/>
        <w:bidi w:val="0"/>
        <w:spacing w:lineRule="auto" w:line="300" w:before="0" w:after="0"/>
        <w:ind w:left="0" w:right="0" w:hanging="180"/>
        <w:jc w:val="both"/>
        <w:rPr/>
      </w:pPr>
      <w:r>
        <w:rPr>
          <w:rFonts w:ascii="Times New Roman;sans-serif" w:hAnsi="Times New Roman;sans-serif"/>
          <w:b w:val="false"/>
          <w:color w:val="000000"/>
          <w:sz w:val="22"/>
        </w:rPr>
        <w:t>ii.</w:t>
      </w:r>
      <w:r>
        <w:rPr>
          <w:color w:val="000000"/>
        </w:rPr>
        <w:t> </w:t>
      </w:r>
      <w:r>
        <w:rPr>
          <w:rFonts w:ascii="Times New Roman;sans-serif" w:hAnsi="Times New Roman;sans-serif"/>
          <w:b w:val="false"/>
          <w:color w:val="000000"/>
          <w:sz w:val="22"/>
        </w:rPr>
        <w:t>After beginning service as an Executive Officer; and</w:t>
      </w:r>
    </w:p>
    <w:p>
      <w:pPr>
        <w:pStyle w:val="TextBody"/>
        <w:bidi w:val="0"/>
        <w:spacing w:lineRule="auto" w:line="300"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b.Has served as an Executive Officer at any time during the performance period for such Compensation.</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ans-serif" w:hAnsi="Times New Roman;sans-serif"/>
          <w:b w:val="false"/>
          <w:color w:val="000000"/>
          <w:sz w:val="22"/>
        </w:rPr>
        <w:t>6.</w:t>
      </w:r>
      <w:r>
        <w:rPr>
          <w:color w:val="000000"/>
        </w:rPr>
        <w:t>“</w:t>
      </w:r>
      <w:r>
        <w:rPr>
          <w:rFonts w:ascii="Times New Roman;sans-serif" w:hAnsi="Times New Roman;sans-serif"/>
          <w:b/>
          <w:color w:val="000000"/>
          <w:sz w:val="22"/>
        </w:rPr>
        <w:t>Exchange Act</w:t>
      </w:r>
      <w:r>
        <w:rPr>
          <w:color w:val="000000"/>
        </w:rPr>
        <w:t xml:space="preserve">” </w:t>
      </w:r>
      <w:r>
        <w:rPr>
          <w:rFonts w:ascii="Times New Roman;sans-serif" w:hAnsi="Times New Roman;sans-serif"/>
          <w:b w:val="false"/>
          <w:color w:val="000000"/>
          <w:sz w:val="22"/>
        </w:rPr>
        <w:t xml:space="preserve">means the Securities Exchange Act of 1934, as amended. </w:t>
      </w:r>
    </w:p>
    <w:p>
      <w:pPr>
        <w:pStyle w:val="TextBody"/>
        <w:bidi w:val="0"/>
        <w:spacing w:before="0" w:after="0"/>
        <w:jc w:val="both"/>
        <w:rPr/>
      </w:pPr>
      <w:r>
        <w:rPr/>
      </w:r>
    </w:p>
    <w:p>
      <w:pPr>
        <w:pStyle w:val="TextBody"/>
        <w:bidi w:val="0"/>
        <w:spacing w:lineRule="auto" w:line="300"/>
        <w:ind w:left="0" w:right="0" w:hanging="360"/>
        <w:jc w:val="both"/>
        <w:rPr/>
      </w:pPr>
      <w:r>
        <w:rPr>
          <w:rFonts w:ascii="Times New Roman;sans-serif" w:hAnsi="Times New Roman;sans-serif"/>
          <w:b w:val="false"/>
          <w:color w:val="000000"/>
          <w:sz w:val="22"/>
        </w:rPr>
        <w:t>7.</w:t>
      </w:r>
      <w:r>
        <w:rPr>
          <w:color w:val="000000"/>
        </w:rPr>
        <w:t>“</w:t>
      </w:r>
      <w:r>
        <w:rPr>
          <w:rFonts w:ascii="Times New Roman;sans-serif" w:hAnsi="Times New Roman;sans-serif"/>
          <w:b/>
          <w:color w:val="000000"/>
          <w:sz w:val="22"/>
        </w:rPr>
        <w:t>Executive Officer(s)</w:t>
      </w:r>
      <w:r>
        <w:rPr>
          <w:color w:val="000000"/>
        </w:rPr>
        <w:t xml:space="preserve">” </w:t>
      </w:r>
      <w:r>
        <w:rPr>
          <w:rFonts w:ascii="Times New Roman;sans-serif" w:hAnsi="Times New Roman;sans-serif"/>
          <w:b w:val="false"/>
          <w:color w:val="000000"/>
          <w:sz w:val="22"/>
        </w:rPr>
        <w:t xml:space="preserve">means an “executive officer” as defined in Exchange Act Rule 10D-1(d) and the Listing Standards, and includes any person who is the Company’s president, principal financial officer, principal accounting officer (or if there is no such accounting officer, the controller), any vice-president of the issuer in charge of a principal business unit, division, or function (such as sales, administration, or finance), any other officer who performs a policy-making function, or any other person who performs similar policy-making functions for the </w:t>
      </w:r>
    </w:p>
    <w:p>
      <w:pPr>
        <w:pStyle w:val="TextBody"/>
        <w:bidi w:val="0"/>
        <w:spacing w:before="0" w:after="16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490220"/>
                <wp:effectExtent l="0" t="0" r="0" b="0"/>
                <wp:wrapNone/>
                <wp:docPr id="157" name="Frame154"/>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5</w:t>
                            </w:r>
                            <w:r>
                              <w:br w:type="page"/>
                            </w:r>
                          </w:p>
                          <w:p>
                            <w:pPr>
                              <w:pStyle w:val="TextBody"/>
                              <w:bidi w:val="0"/>
                              <w:spacing w:before="0" w:after="16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5</w:t>
                      </w:r>
                    </w:p>
                    <w:p>
                      <w:pPr>
                        <w:pStyle w:val="TextBody"/>
                        <w:bidi w:val="0"/>
                        <w:spacing w:before="0" w:after="160"/>
                        <w:jc w:val="right"/>
                        <w:rPr/>
                      </w:pPr>
                      <w:r>
                        <w:rPr/>
                      </w:r>
                    </w:p>
                  </w:txbxContent>
                </v:textbox>
                <w10:wrap type="none"/>
              </v:rect>
            </w:pict>
          </mc:Fallback>
        </mc:AlternateContent>
      </w:r>
    </w:p>
    <w:p>
      <w:pPr>
        <w:pStyle w:val="TextBody"/>
        <w:bidi w:val="0"/>
        <w:spacing w:lineRule="auto" w:line="3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Company (with any executive officers of the Company’s parent(s) or subsidiaries being deemed Covered Executives of the Company if they perform such policy making functions for the Company), and such other senior executives or employees who may from time to time be deemed subject to the Policy by the Board in its sole discretion. All executive officers of the Company identified by the Board pursuant to 17 CFR 229.401(b) shall be deemed “Executive Officers.”</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ans-serif" w:hAnsi="Times New Roman;sans-serif"/>
          <w:b w:val="false"/>
          <w:color w:val="000000"/>
          <w:sz w:val="22"/>
        </w:rPr>
        <w:t>8.</w:t>
      </w:r>
      <w:r>
        <w:rPr>
          <w:color w:val="000000"/>
        </w:rPr>
        <w:t>“</w:t>
      </w:r>
      <w:r>
        <w:rPr>
          <w:rFonts w:ascii="Times New Roman;sans-serif" w:hAnsi="Times New Roman;sans-serif"/>
          <w:b/>
          <w:color w:val="000000"/>
          <w:sz w:val="22"/>
        </w:rPr>
        <w:t>Financial Reporting Measure(s)</w:t>
      </w:r>
      <w:r>
        <w:rPr>
          <w:color w:val="000000"/>
        </w:rPr>
        <w:t xml:space="preserve">” </w:t>
      </w:r>
      <w:r>
        <w:rPr>
          <w:rFonts w:ascii="Times New Roman;sans-serif" w:hAnsi="Times New Roman;sans-serif"/>
          <w:b w:val="false"/>
          <w:color w:val="000000"/>
          <w:sz w:val="22"/>
        </w:rPr>
        <w:t>means any measures that are determined and presented in accordance with the accounting principles used in preparing the Company’s financial statements, and any measure that is derived wholly or in part from such measures, including share price and total shareholder return, including, but not limited to, financial reporting measures including “non-GAAP financial measures” for purposes of Exchange Act Regulation G and 17 CFR 229.10, as well other measures, metrics and ratios that are not non-GAAP measures, like same store sales. Financial Reporting Measures may or may not be included in a filing with the SEC, and may be presented outside the Company’s financial statements, such as in Management’s Discussion and Analysis of Financial Conditions and Results of Operations or the performance graph. Financial Reporting Measures include, without limitation:</w:t>
      </w:r>
    </w:p>
    <w:p>
      <w:pPr>
        <w:pStyle w:val="TextBody"/>
        <w:bidi w:val="0"/>
        <w:spacing w:before="0" w:after="0"/>
        <w:jc w:val="both"/>
        <w:rPr/>
      </w:pPr>
      <w:r>
        <w:rPr/>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a.Company share price;</w:t>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b.Total shareholder return;</w:t>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c.Revenues;</w:t>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d.Net income;</w:t>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e.Earnings before interest, taxes, depreciation, and amortization (EBITDA);</w:t>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f.Funds from operations;</w:t>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g.Liquidity measures such as working capital or operating cash flow;</w:t>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h.Return measures such as return on invested capital or return on assets; and</w:t>
      </w:r>
    </w:p>
    <w:p>
      <w:pPr>
        <w:pStyle w:val="TextBody"/>
        <w:bidi w:val="0"/>
        <w:spacing w:lineRule="auto" w:line="300"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i.Earnings measures such as earnings per share.</w:t>
      </w:r>
    </w:p>
    <w:p>
      <w:pPr>
        <w:pStyle w:val="TextBody"/>
        <w:bidi w:val="0"/>
        <w:spacing w:before="0" w:after="160"/>
        <w:jc w:val="both"/>
        <w:rPr/>
      </w:pPr>
      <w:r>
        <w:rPr/>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490220"/>
                <wp:effectExtent l="0" t="0" r="0" b="0"/>
                <wp:wrapNone/>
                <wp:docPr id="158" name="Frame155"/>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6</w:t>
                            </w:r>
                            <w:r>
                              <w:br w:type="page"/>
                            </w:r>
                          </w:p>
                          <w:p>
                            <w:pPr>
                              <w:pStyle w:val="TextBody"/>
                              <w:bidi w:val="0"/>
                              <w:spacing w:before="0" w:after="16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6</w:t>
                      </w:r>
                    </w:p>
                    <w:p>
                      <w:pPr>
                        <w:pStyle w:val="TextBody"/>
                        <w:bidi w:val="0"/>
                        <w:spacing w:before="0" w:after="160"/>
                        <w:jc w:val="righ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APPENDIX I</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Acknowledgment of Clawback Policy</w:t>
      </w:r>
    </w:p>
    <w:p>
      <w:pPr>
        <w:pStyle w:val="TextBody"/>
        <w:bidi w:val="0"/>
        <w:spacing w:before="0" w:after="0"/>
        <w:jc w:val="center"/>
        <w:rPr/>
      </w:pPr>
      <w:r>
        <w:rPr/>
      </w:r>
    </w:p>
    <w:p>
      <w:pPr>
        <w:pStyle w:val="TextBody"/>
        <w:bidi w:val="0"/>
        <w:spacing w:lineRule="auto" w:line="240" w:before="0" w:after="0"/>
        <w:jc w:val="both"/>
        <w:rPr/>
      </w:pPr>
      <w:r>
        <w:rPr>
          <w:rFonts w:ascii="Times New Roman;sans-serif" w:hAnsi="Times New Roman;sans-serif"/>
          <w:b w:val="false"/>
          <w:color w:val="000000"/>
          <w:sz w:val="24"/>
        </w:rPr>
        <w:t>I, the undersigned, agree and acknowledge that I am fully bound by, and subject to, all of the terms and conditions of the LendingTree, Inc. Clawback Policy (as may be amended, restated, supplemented or otherwise modified from time to time, the “</w:t>
      </w:r>
      <w:r>
        <w:rPr>
          <w:rFonts w:ascii="Times New Roman;sans-serif" w:hAnsi="Times New Roman;sans-serif"/>
          <w:b/>
          <w:color w:val="000000"/>
          <w:sz w:val="24"/>
        </w:rPr>
        <w:t>Policy</w:t>
      </w:r>
      <w:r>
        <w:rPr>
          <w:color w:val="000000"/>
        </w:rPr>
        <w:t>”</w:t>
      </w:r>
      <w:r>
        <w:rPr>
          <w:rFonts w:ascii="Times New Roman;sans-serif" w:hAnsi="Times New Roman;sans-serif"/>
          <w:b w:val="false"/>
          <w:color w:val="000000"/>
          <w:sz w:val="24"/>
        </w:rPr>
        <w:t xml:space="preserve">) if I am a “Covered Executive” or become a “Covered Executive.”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of any inconsistency between the Policy and the terms of any agreement to which I am a party, or the terms of any compensation plan, program or agreement under which any compensation has been, or will be, granted, awarded, earned or paid, the terms of the Policy shall govern. In the event it is determined by the Committee that any amounts granted, awarded, earned or paid to me must be forfeited or reimbursed to the Company, I will promptly take any action necessary to effectuate such forfeiture and/or reimbursement. Any capitalized terms used in this Acknowledgment without definition shall have the meaning set forth in the Policy.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By:</w:t>
      </w:r>
      <w:r>
        <w:rPr>
          <w:color w:val="000000"/>
          <w:u w:val="single"/>
        </w:rPr>
        <w:t>                        </w:t>
      </w:r>
      <w:r>
        <w:rPr>
          <w:color w:val="000000"/>
        </w:rPr>
        <w:t>    </w:t>
      </w:r>
      <w:r>
        <w:rPr>
          <w:rFonts w:ascii="Times New Roman;sans-serif" w:hAnsi="Times New Roman;sans-serif"/>
          <w:b w:val="false"/>
          <w:color w:val="000000"/>
          <w:sz w:val="24"/>
        </w:rPr>
        <w:t>Date:</w:t>
      </w:r>
      <w:r>
        <w:rPr>
          <w:color w:val="000000"/>
          <w:u w:val="single"/>
        </w:rPr>
        <w:t>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490220"/>
                <wp:effectExtent l="0" t="0" r="0" b="0"/>
                <wp:wrapNone/>
                <wp:docPr id="159" name="Frame156"/>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7</w:t>
                            </w:r>
                            <w:r>
                              <w:br w:type="page"/>
                            </w:r>
                          </w:p>
                          <w:p>
                            <w:pPr>
                              <w:pStyle w:val="TextBody"/>
                              <w:bidi w:val="0"/>
                              <w:spacing w:before="0" w:after="16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Calibri;sans-serif" w:hAnsi="Calibri;sans-serif"/>
                          <w:b w:val="false"/>
                          <w:color w:val="000000"/>
                          <w:sz w:val="22"/>
                        </w:rPr>
                      </w:pPr>
                      <w:r>
                        <w:rPr>
                          <w:rFonts w:ascii="Calibri;sans-serif" w:hAnsi="Calibri;sans-serif"/>
                          <w:b w:val="false"/>
                          <w:color w:val="000000"/>
                          <w:sz w:val="22"/>
                        </w:rPr>
                        <w:t>7</w:t>
                      </w:r>
                    </w:p>
                    <w:p>
                      <w:pPr>
                        <w:pStyle w:val="TextBody"/>
                        <w:bidi w:val="0"/>
                        <w:spacing w:before="0" w:after="16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ourier New">
    <w:altName w:val="monospace"/>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434621/000104746908008622/a2187113zex-2_1.htm" TargetMode="External"/><Relationship Id="rId6" Type="http://schemas.openxmlformats.org/officeDocument/2006/relationships/hyperlink" Target="http://www.sec.gov/Archives/edgar/data/1434621/000110465908054882/a08-22125_1ex10d2.htm" TargetMode="External"/><Relationship Id="rId7" Type="http://schemas.openxmlformats.org/officeDocument/2006/relationships/hyperlink" Target="http://www.sec.gov/Archives/edgar/data/1434621/000110465908054882/a08-22125_1ex10d3.htm" TargetMode="External"/><Relationship Id="rId8" Type="http://schemas.openxmlformats.org/officeDocument/2006/relationships/hyperlink" Target="http://www.sec.gov/Archives/edgar/data/1434621/000110465908054882/a08-22125_1ex10d4.htm" TargetMode="External"/><Relationship Id="rId9" Type="http://schemas.openxmlformats.org/officeDocument/2006/relationships/hyperlink" Target="http://www.sec.gov/Archives/edgar/data/1434621/000110465908054882/a08-22125_1ex10d6.htm" TargetMode="External"/><Relationship Id="rId10" Type="http://schemas.openxmlformats.org/officeDocument/2006/relationships/hyperlink" Target="http://www.sec.gov/Archives/edgar/data/1434621/000110465910058747/a10-21366_1ex2d1.htm" TargetMode="External"/><Relationship Id="rId11" Type="http://schemas.openxmlformats.org/officeDocument/2006/relationships/hyperlink" Target="http://www.sec.gov/Archives/edgar/data/1434621/000110465911015602/a11-8401_1ex2d1.htm" TargetMode="External"/><Relationship Id="rId12" Type="http://schemas.openxmlformats.org/officeDocument/2006/relationships/hyperlink" Target="http://www.sec.gov/Archives/edgar/data/1434621/000110465911015602/a11-8401_1ex2d2.htm" TargetMode="External"/><Relationship Id="rId13" Type="http://schemas.openxmlformats.org/officeDocument/2006/relationships/hyperlink" Target="http://www.sec.gov/Archives/edgar/data/1434621/000110465911029396/a11-12364_1ex2d1.htm" TargetMode="External"/><Relationship Id="rId14" Type="http://schemas.openxmlformats.org/officeDocument/2006/relationships/hyperlink" Target="http://www.sec.gov/Archives/edgar/data/1434621/000110465911052643/a11-26750_1ex2d1.htm" TargetMode="External"/><Relationship Id="rId15" Type="http://schemas.openxmlformats.org/officeDocument/2006/relationships/hyperlink" Target="http://www.sec.gov/Archives/edgar/data/1434621/000110465912007840/a12-4544_1ex2d1.htm" TargetMode="External"/><Relationship Id="rId16" Type="http://schemas.openxmlformats.org/officeDocument/2006/relationships/hyperlink" Target="http://www.sec.gov/Archives/edgar/data/1434621/000143462116000102/ex21ironhorsepurchaseagree.htm" TargetMode="External"/><Relationship Id="rId17" Type="http://schemas.openxmlformats.org/officeDocument/2006/relationships/hyperlink" Target="http://www.sec.gov/Archives/edgar/data/1355096/000110465917066108/a17-25170_1ex99d7d.htm" TargetMode="External"/><Relationship Id="rId18" Type="http://schemas.openxmlformats.org/officeDocument/2006/relationships/hyperlink" Target="http://www.sec.gov/Archives/edgar/data/1434621/000143462118000036/exhibit21-quotewizardpurch.htm" TargetMode="External"/><Relationship Id="rId19" Type="http://schemas.openxmlformats.org/officeDocument/2006/relationships/hyperlink" Target="http://www.sec.gov/Archives/edgar/data/1434621/000143462118000054/exhibit21-valuepenguinpurc.htm" TargetMode="External"/><Relationship Id="rId20" Type="http://schemas.openxmlformats.org/officeDocument/2006/relationships/hyperlink" Target="http://www.sec.gov/Archives/edgar/data/1434621/000110465908054882/a08-22125_1ex3d1.htm" TargetMode="External"/><Relationship Id="rId21" Type="http://schemas.openxmlformats.org/officeDocument/2006/relationships/hyperlink" Target="http://www.sec.gov/Archives/edgar/data/1434621/000143462117000080/fourthamendedandrestatedby.htm" TargetMode="External"/><Relationship Id="rId22" Type="http://schemas.openxmlformats.org/officeDocument/2006/relationships/hyperlink" Target="http://www.sec.gov/Archives/edgar/data/891103/000104746903023716/a2111938zex-99_4.htm" TargetMode="External"/><Relationship Id="rId23" Type="http://schemas.openxmlformats.org/officeDocument/2006/relationships/hyperlink" Target="http://www.sec.gov/Archives/edgar/data/1434621/000110465908054882/a08-22125_1ex10d5.htm" TargetMode="External"/><Relationship Id="rId24" Type="http://schemas.openxmlformats.org/officeDocument/2006/relationships/hyperlink" Target="http://www.sec.gov/Archives/edgar/data/1434621/000143462117000036/exhibit41-indenture.htm" TargetMode="External"/><Relationship Id="rId25" Type="http://schemas.openxmlformats.org/officeDocument/2006/relationships/hyperlink" Target="http://www.sec.gov/Archives/edgar/data/1434621/000143462117000036/exhibit991-purchaseagreeme.htm" TargetMode="External"/><Relationship Id="rId26" Type="http://schemas.openxmlformats.org/officeDocument/2006/relationships/hyperlink" Target="http://www.sec.gov/Archives/edgar/data/1434621/000143462117000036/exhibit994-basewarrantconf.htm" TargetMode="External"/><Relationship Id="rId27" Type="http://schemas.openxmlformats.org/officeDocument/2006/relationships/hyperlink" Target="http://www.sec.gov/Archives/edgar/data/1434621/000143462117000036/exhibit995-additionalwarra.htm" TargetMode="External"/><Relationship Id="rId28" Type="http://schemas.openxmlformats.org/officeDocument/2006/relationships/hyperlink" Target="https://www.sec.gov/Archives/edgar/data/1434621/000143462120000015/tree-12312019xex47.htm" TargetMode="External"/><Relationship Id="rId29" Type="http://schemas.openxmlformats.org/officeDocument/2006/relationships/hyperlink" Target="https://www.sec.gov/Archives/edgar/data/1434621/000095010320014161/dp132751_ex0401.htm" TargetMode="External"/><Relationship Id="rId30" Type="http://schemas.openxmlformats.org/officeDocument/2006/relationships/hyperlink" Target="https://www.sec.gov/Archives/edgar/data/1434621/000143462121000002/tree-12312020xex102.htm" TargetMode="External"/><Relationship Id="rId31" Type="http://schemas.openxmlformats.org/officeDocument/2006/relationships/hyperlink" Target="http://www.sec.gov/Archives/edgar/data/1434621/000143462117000039/exhibit44a-2017inducementg.htm" TargetMode="External"/><Relationship Id="rId32" Type="http://schemas.openxmlformats.org/officeDocument/2006/relationships/hyperlink" Target="http://www.sec.gov/Archives/edgar/data/1434621/000143462117000039/exhibit44b-formofnoticeofr.htm" TargetMode="External"/><Relationship Id="rId33" Type="http://schemas.openxmlformats.org/officeDocument/2006/relationships/hyperlink" Target="http://www.sec.gov/Archives/edgar/data/1434621/000143462117000039/exhibit44c-formofnoticeofr.htm" TargetMode="External"/><Relationship Id="rId34" Type="http://schemas.openxmlformats.org/officeDocument/2006/relationships/hyperlink" Target="http://www.sec.gov/Archives/edgar/data/1434621/000143462115000024/tree-deferredcompplanbodex.htm" TargetMode="External"/><Relationship Id="rId35" Type="http://schemas.openxmlformats.org/officeDocument/2006/relationships/hyperlink" Target="http://www.sec.gov/Archives/edgar/data/1434621/000104746908008622/a2187113zex-10_15.htm" TargetMode="External"/><Relationship Id="rId36" Type="http://schemas.openxmlformats.org/officeDocument/2006/relationships/hyperlink" Target="http://www.sec.gov/Archives/edgar/data/1434621/000110465911004845/a11-5223_1ex10d2.htm" TargetMode="External"/><Relationship Id="rId37" Type="http://schemas.openxmlformats.org/officeDocument/2006/relationships/hyperlink" Target="http://www.sec.gov/Archives/edgar/data/1434621/000143462117000036/exhibit992-formofbasebondh.htm" TargetMode="External"/><Relationship Id="rId38" Type="http://schemas.openxmlformats.org/officeDocument/2006/relationships/hyperlink" Target="http://www.sec.gov/Archives/edgar/data/1434621/000143462117000036/exhibit993-additionalbondh.htm" TargetMode="External"/><Relationship Id="rId39" Type="http://schemas.openxmlformats.org/officeDocument/2006/relationships/hyperlink" Target="https://www.sec.gov/Archives/edgar/data/1434621/000095010321014050/dp157935_ex9901.htm" TargetMode="External"/><Relationship Id="rId40" Type="http://schemas.openxmlformats.org/officeDocument/2006/relationships/hyperlink" Target="http://www.sec.gov/Archives/edgar/data/1434621/000143462117000017/tree-12312016xex1031.htm" TargetMode="External"/><Relationship Id="rId41" Type="http://schemas.openxmlformats.org/officeDocument/2006/relationships/hyperlink" Target="http://www.sec.gov/Archives/edgar/data/1434621/000143462117000017/tree-12312016xex1032.htm" TargetMode="External"/><Relationship Id="rId42" Type="http://schemas.openxmlformats.org/officeDocument/2006/relationships/hyperlink" Target="http://www.sec.gov/Archives/edgar/data/1434621/000143462118000017/tree-2018331x10qexx101.htm" TargetMode="External"/><Relationship Id="rId43" Type="http://schemas.openxmlformats.org/officeDocument/2006/relationships/hyperlink" Target="https://www.sec.gov/Archives/edgar/data/1434621/000114036121014919/nc10023359x1_def14a.htm" TargetMode="External"/><Relationship Id="rId44" Type="http://schemas.openxmlformats.org/officeDocument/2006/relationships/hyperlink" Target="https://www.sec.gov/Archives/edgar/data/1434621/000143462120000030/tree-2020630x10qexx101.htm" TargetMode="External"/><Relationship Id="rId45" Type="http://schemas.openxmlformats.org/officeDocument/2006/relationships/hyperlink" Target="https://www.sec.gov/Archives/edgar/data/1434621/000143462123000003/tree-12312022xex1016.htm" TargetMode="External"/><Relationship Id="rId46" Type="http://schemas.openxmlformats.org/officeDocument/2006/relationships/hyperlink" Target="https://www.sec.gov/Archives/edgar/data/1434621/000143462120000030/tree-2020630x10qexx103.htm" TargetMode="External"/><Relationship Id="rId47" Type="http://schemas.openxmlformats.org/officeDocument/2006/relationships/hyperlink" Target="https://www.sec.gov/Archives/edgar/data/1434621/000143462120000030/tree-2020630x10qexx104.htm" TargetMode="External"/><Relationship Id="rId48" Type="http://schemas.openxmlformats.org/officeDocument/2006/relationships/hyperlink" Target="https://www.sec.gov/Archives/edgar/data/1434621/000095010320014161/dp132751_ex9902.htm" TargetMode="External"/><Relationship Id="rId49" Type="http://schemas.openxmlformats.org/officeDocument/2006/relationships/hyperlink" Target="https://www.sec.gov/Archives/edgar/data/1434621/000095010320014161/dp132751_ex9903.htm" TargetMode="External"/><Relationship Id="rId50" Type="http://schemas.openxmlformats.org/officeDocument/2006/relationships/hyperlink" Target="https://www.sec.gov/Archives/edgar/data/1434621/000095010320014161/dp132751_ex9904.htm" TargetMode="External"/><Relationship Id="rId51" Type="http://schemas.openxmlformats.org/officeDocument/2006/relationships/hyperlink" Target="https://www.sec.gov/Archives/edgar/data/1434621/000095010320014161/dp132751_ex9905.htm" TargetMode="External"/><Relationship Id="rId52" Type="http://schemas.openxmlformats.org/officeDocument/2006/relationships/hyperlink" Target="https://www.sec.gov/Archives/edgar/data/1434621/000143462121000002/tree-12312020xex1041.htm" TargetMode="External"/><Relationship Id="rId53" Type="http://schemas.openxmlformats.org/officeDocument/2006/relationships/hyperlink" Target="https://www.sec.gov/Archives/edgar/data/0001434621/000143462121000019/tree-20210630x10qexx101.htm" TargetMode="External"/><Relationship Id="rId54" Type="http://schemas.openxmlformats.org/officeDocument/2006/relationships/hyperlink" Target="https://www.sec.gov/Archives/edgar/data/1434621/000114036121014919/nc10023359x1_def14a.htm" TargetMode="External"/><Relationship Id="rId55" Type="http://schemas.openxmlformats.org/officeDocument/2006/relationships/hyperlink" Target="https://www.sec.gov/Archives/edgar/data/1434621/000095010321011752/dp155487_ex9903.htm" TargetMode="External"/><Relationship Id="rId56" Type="http://schemas.openxmlformats.org/officeDocument/2006/relationships/hyperlink" Target="https://www.sec.gov/Archives/edgar/data/1434621/000114036123022080/ny20007139x1_def14a.htm" TargetMode="External"/><Relationship Id="rId57" Type="http://schemas.openxmlformats.org/officeDocument/2006/relationships/hyperlink" Target="https://www.sec.gov/Archives/edgar/data/1434621/000143462123000017/tree-2023630x10qexx101.htm" TargetMode="External"/><Relationship Id="rId58" Type="http://schemas.openxmlformats.org/officeDocument/2006/relationships/hyperlink" Target="https://www.sec.gov/Archives/edgar/data/1434621/000168316823005177/lendingtree_ex1003.htm" TargetMode="External"/><Relationship Id="rId59" Type="http://schemas.openxmlformats.org/officeDocument/2006/relationships/hyperlink" Target="https://www.sec.gov/Archives/edgar/data/1434621/000168316823005177/lendingtree_ex1004.htm" TargetMode="External"/><Relationship Id="rId60" Type="http://schemas.openxmlformats.org/officeDocument/2006/relationships/hyperlink" Target="https://www.sec.gov/Archives/edgar/data/1434621/000143462123000017/tree-2023630x10qexx103.htm" TargetMode="External"/><Relationship Id="rId61" Type="http://schemas.openxmlformats.org/officeDocument/2006/relationships/hyperlink" Target="https://www.sec.gov/Archives/edgar/data/1434621/000143462123000017/tree-2023630x10qexx102.htm" TargetMode="External"/><Relationship Id="rId62" Type="http://schemas.openxmlformats.org/officeDocument/2006/relationships/hyperlink" Target="https://www.sec.gov/Archives/edgar/data/1434621/000143462122000009/tree-123121xex1039.htm" TargetMode="External"/><Relationship Id="rId63" Type="http://schemas.openxmlformats.org/officeDocument/2006/relationships/hyperlink" Target="https://www.sec.gov/Archives/edgar/data/1434621/000143462122000009/tree-123121xex1040.htm" TargetMode="External"/><Relationship Id="rId64" Type="http://schemas.openxmlformats.org/officeDocument/2006/relationships/hyperlink" Target="https://www.sec.gov/Archives/edgar/data/1434621/000168316823001381/lendingtree_ex1001.htm" TargetMode="External"/><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86209</Words>
  <Characters>481780</Characters>
  <CharactersWithSpaces>565778</CharactersWithSpaces>
  <Paragraphs>4805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